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839"/>
        <w:jc w:val="center"/>
        <w:rPr>
          <w:rFonts w:hint="eastAsia"/>
          <w:b/>
          <w:bCs/>
          <w:sz w:val="72"/>
        </w:rPr>
      </w:pPr>
    </w:p>
    <w:p>
      <w:pPr>
        <w:jc w:val="center"/>
        <w:rPr>
          <w:b/>
          <w:bCs/>
          <w:color w:val="0000FF"/>
          <w:sz w:val="72"/>
        </w:rPr>
      </w:pPr>
      <w:r>
        <w:rPr>
          <w:b/>
          <w:bCs/>
          <w:color w:val="0000FF"/>
          <w:sz w:val="72"/>
        </w:rPr>
        <w:t>建设项目环境影响报告表</w:t>
      </w:r>
    </w:p>
    <w:p>
      <w:pPr>
        <w:rPr>
          <w:color w:val="0000FF"/>
          <w:sz w:val="28"/>
        </w:rPr>
      </w:pPr>
      <w:r>
        <w:rPr>
          <w:color w:val="0000FF"/>
          <w:sz w:val="28"/>
        </w:rPr>
        <w:t xml:space="preserve">                     </w:t>
      </w:r>
      <w:r>
        <w:rPr>
          <w:b/>
          <w:bCs/>
          <w:color w:val="0000FF"/>
          <w:sz w:val="36"/>
          <w:szCs w:val="28"/>
        </w:rPr>
        <w:t xml:space="preserve"> </w:t>
      </w:r>
    </w:p>
    <w:p>
      <w:pPr>
        <w:rPr>
          <w:color w:val="0000FF"/>
          <w:sz w:val="28"/>
        </w:rPr>
      </w:pPr>
    </w:p>
    <w:p>
      <w:pPr>
        <w:rPr>
          <w:color w:val="0000FF"/>
          <w:sz w:val="28"/>
        </w:rPr>
      </w:pPr>
    </w:p>
    <w:p>
      <w:pPr>
        <w:rPr>
          <w:color w:val="0000FF"/>
          <w:sz w:val="28"/>
        </w:rPr>
      </w:pPr>
    </w:p>
    <w:p>
      <w:pPr>
        <w:rPr>
          <w:rFonts w:hint="eastAsia"/>
          <w:color w:val="0000FF"/>
          <w:sz w:val="28"/>
        </w:rPr>
      </w:pPr>
    </w:p>
    <w:p>
      <w:pPr>
        <w:rPr>
          <w:rFonts w:hint="eastAsia"/>
          <w:color w:val="0000FF"/>
          <w:sz w:val="28"/>
        </w:rPr>
      </w:pPr>
    </w:p>
    <w:p>
      <w:pPr>
        <w:rPr>
          <w:rFonts w:hint="eastAsia"/>
          <w:color w:val="0000FF"/>
          <w:sz w:val="28"/>
        </w:rPr>
      </w:pPr>
    </w:p>
    <w:p>
      <w:pPr>
        <w:rPr>
          <w:color w:val="0000FF"/>
          <w:sz w:val="28"/>
        </w:rPr>
      </w:pPr>
    </w:p>
    <w:p>
      <w:pPr>
        <w:rPr>
          <w:color w:val="0000FF"/>
          <w:sz w:val="28"/>
        </w:rPr>
      </w:pPr>
    </w:p>
    <w:p>
      <w:pPr>
        <w:rPr>
          <w:color w:val="0000FF"/>
          <w:sz w:val="28"/>
        </w:rPr>
      </w:pPr>
    </w:p>
    <w:p>
      <w:pPr>
        <w:adjustRightInd w:val="0"/>
        <w:snapToGrid w:val="0"/>
        <w:spacing w:line="480" w:lineRule="auto"/>
        <w:ind w:left="1699" w:hanging="1692" w:hangingChars="529"/>
        <w:jc w:val="center"/>
        <w:rPr>
          <w:b/>
          <w:color w:val="0000FF"/>
          <w:sz w:val="28"/>
          <w:szCs w:val="28"/>
          <w:u w:val="single"/>
        </w:rPr>
      </w:pPr>
      <w:r>
        <w:rPr>
          <w:rFonts w:hint="eastAsia"/>
          <w:b/>
          <w:color w:val="0000FF"/>
          <w:sz w:val="32"/>
          <w:szCs w:val="32"/>
        </w:rPr>
        <w:t xml:space="preserve">  </w:t>
      </w:r>
      <w:r>
        <w:rPr>
          <w:b/>
          <w:color w:val="0000FF"/>
          <w:sz w:val="32"/>
          <w:szCs w:val="32"/>
        </w:rPr>
        <w:t>项目名称：</w:t>
      </w:r>
      <w:r>
        <w:rPr>
          <w:rFonts w:hint="eastAsia"/>
          <w:b/>
          <w:color w:val="0000FF"/>
          <w:sz w:val="28"/>
          <w:szCs w:val="28"/>
          <w:u w:val="single"/>
        </w:rPr>
        <w:t>亿信德通煤炭装箱运输项目</w:t>
      </w:r>
    </w:p>
    <w:p>
      <w:pPr>
        <w:adjustRightInd w:val="0"/>
        <w:snapToGrid w:val="0"/>
        <w:spacing w:line="480" w:lineRule="auto"/>
        <w:jc w:val="center"/>
        <w:rPr>
          <w:b/>
          <w:color w:val="0000FF"/>
          <w:sz w:val="32"/>
          <w:szCs w:val="32"/>
        </w:rPr>
      </w:pPr>
      <w:r>
        <w:rPr>
          <w:b/>
          <w:color w:val="0000FF"/>
          <w:sz w:val="32"/>
          <w:szCs w:val="32"/>
        </w:rPr>
        <w:t>建设单位（盖章）：</w:t>
      </w:r>
      <w:r>
        <w:rPr>
          <w:rFonts w:hint="eastAsia"/>
          <w:b/>
          <w:color w:val="0000FF"/>
          <w:sz w:val="28"/>
          <w:szCs w:val="28"/>
          <w:u w:val="single"/>
        </w:rPr>
        <w:t>庆阳亿信德通货运物流有限公司</w:t>
      </w:r>
    </w:p>
    <w:p>
      <w:pPr>
        <w:rPr>
          <w:sz w:val="28"/>
        </w:rPr>
      </w:pPr>
    </w:p>
    <w:p>
      <w:pPr>
        <w:rPr>
          <w:sz w:val="28"/>
        </w:rPr>
      </w:pPr>
    </w:p>
    <w:p>
      <w:pPr>
        <w:rPr>
          <w:sz w:val="28"/>
        </w:rPr>
      </w:pPr>
    </w:p>
    <w:p>
      <w:pPr>
        <w:jc w:val="center"/>
        <w:rPr>
          <w:b/>
          <w:bCs/>
          <w:color w:val="0000FF"/>
          <w:sz w:val="32"/>
          <w:szCs w:val="32"/>
        </w:rPr>
      </w:pPr>
      <w:r>
        <w:rPr>
          <w:b/>
          <w:bCs/>
          <w:color w:val="0000FF"/>
          <w:sz w:val="32"/>
          <w:szCs w:val="32"/>
        </w:rPr>
        <w:t>编制日期：201</w:t>
      </w:r>
      <w:r>
        <w:rPr>
          <w:rFonts w:hint="eastAsia"/>
          <w:b/>
          <w:bCs/>
          <w:color w:val="0000FF"/>
          <w:sz w:val="32"/>
          <w:szCs w:val="32"/>
        </w:rPr>
        <w:t>9</w:t>
      </w:r>
      <w:r>
        <w:rPr>
          <w:b/>
          <w:bCs/>
          <w:color w:val="0000FF"/>
          <w:sz w:val="32"/>
          <w:szCs w:val="32"/>
        </w:rPr>
        <w:t>年</w:t>
      </w:r>
      <w:r>
        <w:rPr>
          <w:rFonts w:hint="eastAsia"/>
          <w:b/>
          <w:bCs/>
          <w:color w:val="0000FF"/>
          <w:sz w:val="32"/>
          <w:szCs w:val="32"/>
        </w:rPr>
        <w:t>3</w:t>
      </w:r>
      <w:r>
        <w:rPr>
          <w:b/>
          <w:bCs/>
          <w:color w:val="0000FF"/>
          <w:sz w:val="32"/>
          <w:szCs w:val="32"/>
        </w:rPr>
        <w:t>月</w:t>
      </w:r>
    </w:p>
    <w:p>
      <w:pPr>
        <w:jc w:val="center"/>
        <w:rPr>
          <w:rFonts w:hint="eastAsia"/>
          <w:b/>
          <w:bCs/>
          <w:color w:val="0000FF"/>
          <w:sz w:val="32"/>
          <w:szCs w:val="32"/>
        </w:rPr>
      </w:pPr>
      <w:r>
        <w:rPr>
          <w:b/>
          <w:bCs/>
          <w:color w:val="0000FF"/>
          <w:sz w:val="32"/>
          <w:szCs w:val="32"/>
        </w:rPr>
        <w:t>国家环境保护部制</w:t>
      </w:r>
    </w:p>
    <w:p>
      <w:pPr>
        <w:jc w:val="center"/>
        <w:rPr>
          <w:b/>
          <w:bCs/>
          <w:color w:val="0000FF"/>
          <w:sz w:val="32"/>
        </w:rPr>
      </w:pPr>
      <w:r>
        <w:rPr>
          <w:b/>
          <w:bCs/>
          <w:sz w:val="32"/>
        </w:rPr>
        <w:br w:type="page"/>
      </w:r>
      <w:r>
        <w:rPr>
          <w:b/>
          <w:bCs/>
          <w:color w:val="0000FF"/>
          <w:sz w:val="32"/>
        </w:rPr>
        <w:t>《建设项目环境影响报告表》编制说明</w:t>
      </w:r>
    </w:p>
    <w:p>
      <w:pPr>
        <w:pStyle w:val="56"/>
        <w:ind w:firstLine="560"/>
        <w:rPr>
          <w:color w:val="0000FF"/>
        </w:rPr>
      </w:pPr>
      <w:r>
        <w:rPr>
          <w:color w:val="0000FF"/>
        </w:rPr>
        <w:t>《建设项目环境影响报告表》由具有从事环境影响评价工作资质的单位编制。</w:t>
      </w:r>
    </w:p>
    <w:p>
      <w:pPr>
        <w:pStyle w:val="56"/>
        <w:ind w:firstLine="560" w:firstLineChars="0"/>
        <w:rPr>
          <w:color w:val="0000FF"/>
        </w:rPr>
      </w:pPr>
      <w:r>
        <w:rPr>
          <w:color w:val="0000FF"/>
        </w:rPr>
        <w:t>1、项目名称——指项目立项批复时的名称，应不超过30个字（两个英文字段作一个汉字）。</w:t>
      </w:r>
    </w:p>
    <w:p>
      <w:pPr>
        <w:pStyle w:val="56"/>
        <w:ind w:firstLine="560"/>
        <w:rPr>
          <w:color w:val="0000FF"/>
        </w:rPr>
      </w:pPr>
      <w:r>
        <w:rPr>
          <w:color w:val="0000FF"/>
        </w:rPr>
        <w:t>2、建设地址——指项目所在地详细地址，公路、铁路应填写起止地点。</w:t>
      </w:r>
    </w:p>
    <w:p>
      <w:pPr>
        <w:pStyle w:val="56"/>
        <w:ind w:firstLine="560"/>
        <w:rPr>
          <w:color w:val="0000FF"/>
        </w:rPr>
      </w:pPr>
      <w:r>
        <w:rPr>
          <w:color w:val="0000FF"/>
        </w:rPr>
        <w:t>3、行业类别——按国标填写。</w:t>
      </w:r>
    </w:p>
    <w:p>
      <w:pPr>
        <w:pStyle w:val="56"/>
        <w:ind w:firstLine="560"/>
        <w:rPr>
          <w:color w:val="0000FF"/>
        </w:rPr>
      </w:pPr>
      <w:r>
        <w:rPr>
          <w:color w:val="0000FF"/>
        </w:rPr>
        <w:t>4、总投资——指项目投资总额。</w:t>
      </w:r>
    </w:p>
    <w:p>
      <w:pPr>
        <w:pStyle w:val="56"/>
        <w:ind w:firstLine="560"/>
        <w:rPr>
          <w:color w:val="0000FF"/>
        </w:rPr>
      </w:pPr>
      <w:r>
        <w:rPr>
          <w:color w:val="0000FF"/>
        </w:rPr>
        <w:t>5、主要环境保护目标——指项目区周围一定范围内集中居民住宅区、学校医院、保护文物、风景名胜区、水源地和生态敏感点等，应尽可能给出保护目标、性质、规模和距厂界距离等。</w:t>
      </w:r>
    </w:p>
    <w:p>
      <w:pPr>
        <w:pStyle w:val="56"/>
        <w:ind w:firstLine="560"/>
        <w:rPr>
          <w:color w:val="0000FF"/>
        </w:rPr>
      </w:pPr>
      <w:r>
        <w:rPr>
          <w:color w:val="0000FF"/>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56"/>
        <w:ind w:firstLine="560"/>
        <w:rPr>
          <w:color w:val="0000FF"/>
        </w:rPr>
      </w:pPr>
      <w:r>
        <w:rPr>
          <w:color w:val="0000FF"/>
        </w:rPr>
        <w:t>7、预审意见——由行业主管部门填写答复意见，无主管部门项目，可不填。</w:t>
      </w:r>
    </w:p>
    <w:p>
      <w:pPr>
        <w:pStyle w:val="56"/>
        <w:ind w:firstLine="560"/>
        <w:rPr>
          <w:color w:val="0000FF"/>
        </w:rPr>
      </w:pPr>
      <w:r>
        <w:rPr>
          <w:color w:val="0000FF"/>
        </w:rPr>
        <w:t>8、审批意见——由负责审批该项目的环境保护行政主管部门批复。</w:t>
      </w:r>
    </w:p>
    <w:p>
      <w:pPr>
        <w:pStyle w:val="56"/>
        <w:ind w:firstLine="560"/>
      </w:pPr>
    </w:p>
    <w:p>
      <w:pPr>
        <w:pStyle w:val="56"/>
        <w:ind w:firstLine="560"/>
      </w:pPr>
    </w:p>
    <w:p>
      <w:pPr>
        <w:pStyle w:val="56"/>
        <w:ind w:firstLine="560"/>
        <w:sectPr>
          <w:headerReference r:id="rId3" w:type="default"/>
          <w:pgSz w:w="11907" w:h="16840"/>
          <w:pgMar w:top="1440" w:right="1797" w:bottom="1440" w:left="1797" w:header="851" w:footer="992" w:gutter="0"/>
          <w:cols w:space="720" w:num="1"/>
          <w:docGrid w:type="linesAndChars" w:linePitch="312" w:charSpace="0"/>
        </w:sect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建设项目基本情况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039"/>
        <w:gridCol w:w="1227"/>
        <w:gridCol w:w="352"/>
        <w:gridCol w:w="733"/>
        <w:gridCol w:w="521"/>
        <w:gridCol w:w="775"/>
        <w:gridCol w:w="236"/>
        <w:gridCol w:w="246"/>
        <w:gridCol w:w="239"/>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931" w:type="dxa"/>
            <w:vAlign w:val="center"/>
          </w:tcPr>
          <w:p>
            <w:pPr>
              <w:pStyle w:val="56"/>
              <w:spacing w:line="0" w:lineRule="atLeast"/>
              <w:ind w:firstLine="0" w:firstLineChars="0"/>
              <w:jc w:val="center"/>
              <w:rPr>
                <w:color w:val="0000FF"/>
                <w:sz w:val="24"/>
              </w:rPr>
            </w:pPr>
            <w:r>
              <w:rPr>
                <w:color w:val="0000FF"/>
                <w:sz w:val="24"/>
              </w:rPr>
              <w:t>项目名称</w:t>
            </w:r>
          </w:p>
        </w:tc>
        <w:tc>
          <w:tcPr>
            <w:tcW w:w="6598" w:type="dxa"/>
            <w:gridSpan w:val="10"/>
            <w:vAlign w:val="center"/>
          </w:tcPr>
          <w:p>
            <w:pPr>
              <w:pStyle w:val="56"/>
              <w:spacing w:line="0" w:lineRule="atLeast"/>
              <w:ind w:firstLine="0" w:firstLineChars="0"/>
              <w:jc w:val="center"/>
              <w:rPr>
                <w:color w:val="0000FF"/>
                <w:sz w:val="24"/>
                <w:szCs w:val="28"/>
              </w:rPr>
            </w:pPr>
            <w:r>
              <w:rPr>
                <w:rFonts w:hint="eastAsia"/>
                <w:color w:val="0000FF"/>
                <w:sz w:val="24"/>
                <w:szCs w:val="28"/>
              </w:rPr>
              <w:t>亿信德通煤炭装箱运输项目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931" w:type="dxa"/>
            <w:vAlign w:val="center"/>
          </w:tcPr>
          <w:p>
            <w:pPr>
              <w:pStyle w:val="56"/>
              <w:spacing w:line="0" w:lineRule="atLeast"/>
              <w:ind w:firstLine="0" w:firstLineChars="0"/>
              <w:jc w:val="center"/>
              <w:rPr>
                <w:color w:val="0000FF"/>
                <w:sz w:val="24"/>
              </w:rPr>
            </w:pPr>
            <w:r>
              <w:rPr>
                <w:color w:val="0000FF"/>
                <w:sz w:val="24"/>
              </w:rPr>
              <w:t>建设单位</w:t>
            </w:r>
          </w:p>
        </w:tc>
        <w:tc>
          <w:tcPr>
            <w:tcW w:w="6598" w:type="dxa"/>
            <w:gridSpan w:val="10"/>
            <w:vAlign w:val="center"/>
          </w:tcPr>
          <w:p>
            <w:pPr>
              <w:pStyle w:val="56"/>
              <w:spacing w:line="0" w:lineRule="atLeast"/>
              <w:ind w:firstLine="0" w:firstLineChars="0"/>
              <w:jc w:val="center"/>
              <w:rPr>
                <w:color w:val="0000FF"/>
                <w:sz w:val="24"/>
                <w:szCs w:val="28"/>
              </w:rPr>
            </w:pPr>
            <w:r>
              <w:rPr>
                <w:rFonts w:hint="eastAsia"/>
                <w:color w:val="0000FF"/>
                <w:sz w:val="24"/>
                <w:szCs w:val="28"/>
              </w:rPr>
              <w:t>庆阳亿信德通货运物流有限公司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931" w:type="dxa"/>
            <w:vAlign w:val="center"/>
          </w:tcPr>
          <w:p>
            <w:pPr>
              <w:pStyle w:val="56"/>
              <w:spacing w:line="0" w:lineRule="atLeast"/>
              <w:ind w:firstLine="0" w:firstLineChars="0"/>
              <w:jc w:val="center"/>
              <w:rPr>
                <w:color w:val="0000FF"/>
                <w:sz w:val="24"/>
              </w:rPr>
            </w:pPr>
            <w:r>
              <w:rPr>
                <w:color w:val="0000FF"/>
                <w:sz w:val="24"/>
              </w:rPr>
              <w:t>法人代表</w:t>
            </w:r>
          </w:p>
        </w:tc>
        <w:tc>
          <w:tcPr>
            <w:tcW w:w="3351" w:type="dxa"/>
            <w:gridSpan w:val="4"/>
            <w:vAlign w:val="center"/>
          </w:tcPr>
          <w:p>
            <w:pPr>
              <w:pStyle w:val="56"/>
              <w:spacing w:line="0" w:lineRule="atLeast"/>
              <w:ind w:firstLine="480"/>
              <w:jc w:val="center"/>
              <w:rPr>
                <w:color w:val="0000FF"/>
                <w:sz w:val="24"/>
              </w:rPr>
            </w:pPr>
            <w:r>
              <w:rPr>
                <w:rFonts w:hint="eastAsia"/>
                <w:color w:val="0000FF"/>
                <w:sz w:val="24"/>
              </w:rPr>
              <w:t>史万虎</w:t>
            </w:r>
          </w:p>
        </w:tc>
        <w:tc>
          <w:tcPr>
            <w:tcW w:w="1532" w:type="dxa"/>
            <w:gridSpan w:val="3"/>
            <w:vAlign w:val="center"/>
          </w:tcPr>
          <w:p>
            <w:pPr>
              <w:pStyle w:val="56"/>
              <w:spacing w:line="0" w:lineRule="atLeast"/>
              <w:ind w:firstLine="0" w:firstLineChars="0"/>
              <w:jc w:val="center"/>
              <w:rPr>
                <w:color w:val="0000FF"/>
                <w:sz w:val="24"/>
              </w:rPr>
            </w:pPr>
            <w:r>
              <w:rPr>
                <w:color w:val="0000FF"/>
                <w:sz w:val="24"/>
              </w:rPr>
              <w:t>联系人</w:t>
            </w:r>
          </w:p>
        </w:tc>
        <w:tc>
          <w:tcPr>
            <w:tcW w:w="1715" w:type="dxa"/>
            <w:gridSpan w:val="3"/>
            <w:vAlign w:val="center"/>
          </w:tcPr>
          <w:p>
            <w:pPr>
              <w:pStyle w:val="56"/>
              <w:spacing w:line="0" w:lineRule="atLeast"/>
              <w:ind w:firstLine="0" w:firstLineChars="0"/>
              <w:jc w:val="center"/>
              <w:rPr>
                <w:color w:val="0000FF"/>
                <w:sz w:val="24"/>
              </w:rPr>
            </w:pPr>
            <w:r>
              <w:rPr>
                <w:rFonts w:hint="eastAsia"/>
                <w:color w:val="0000FF"/>
                <w:sz w:val="24"/>
              </w:rPr>
              <w:t>张彤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31" w:type="dxa"/>
            <w:vAlign w:val="center"/>
          </w:tcPr>
          <w:p>
            <w:pPr>
              <w:pStyle w:val="56"/>
              <w:spacing w:line="0" w:lineRule="atLeast"/>
              <w:ind w:firstLine="0" w:firstLineChars="0"/>
              <w:jc w:val="center"/>
              <w:rPr>
                <w:color w:val="0000FF"/>
                <w:sz w:val="24"/>
              </w:rPr>
            </w:pPr>
            <w:r>
              <w:rPr>
                <w:color w:val="0000FF"/>
                <w:sz w:val="24"/>
              </w:rPr>
              <w:t>通讯地址</w:t>
            </w:r>
          </w:p>
        </w:tc>
        <w:tc>
          <w:tcPr>
            <w:tcW w:w="6598" w:type="dxa"/>
            <w:gridSpan w:val="10"/>
            <w:vAlign w:val="center"/>
          </w:tcPr>
          <w:p>
            <w:pPr>
              <w:pStyle w:val="56"/>
              <w:spacing w:line="0" w:lineRule="atLeast"/>
              <w:ind w:firstLine="0" w:firstLineChars="0"/>
              <w:jc w:val="center"/>
              <w:rPr>
                <w:color w:val="0000FF"/>
                <w:sz w:val="24"/>
              </w:rPr>
            </w:pPr>
            <w:r>
              <w:rPr>
                <w:rFonts w:hint="eastAsia"/>
                <w:color w:val="0000FF"/>
                <w:sz w:val="24"/>
                <w:szCs w:val="28"/>
              </w:rPr>
              <w:t>甘肃省庆阳市宁县长庆桥工业园区一区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931" w:type="dxa"/>
            <w:vAlign w:val="center"/>
          </w:tcPr>
          <w:p>
            <w:pPr>
              <w:pStyle w:val="56"/>
              <w:spacing w:line="0" w:lineRule="atLeast"/>
              <w:ind w:firstLine="0" w:firstLineChars="0"/>
              <w:jc w:val="center"/>
              <w:rPr>
                <w:color w:val="0000FF"/>
                <w:sz w:val="24"/>
              </w:rPr>
            </w:pPr>
            <w:r>
              <w:rPr>
                <w:color w:val="0000FF"/>
                <w:sz w:val="24"/>
              </w:rPr>
              <w:t>联系电话</w:t>
            </w:r>
          </w:p>
        </w:tc>
        <w:tc>
          <w:tcPr>
            <w:tcW w:w="2266" w:type="dxa"/>
            <w:gridSpan w:val="2"/>
            <w:vAlign w:val="center"/>
          </w:tcPr>
          <w:p>
            <w:pPr>
              <w:pStyle w:val="56"/>
              <w:spacing w:line="0" w:lineRule="atLeast"/>
              <w:ind w:firstLine="0" w:firstLineChars="0"/>
              <w:jc w:val="center"/>
              <w:rPr>
                <w:color w:val="0000FF"/>
                <w:sz w:val="24"/>
                <w:szCs w:val="28"/>
              </w:rPr>
            </w:pPr>
            <w:r>
              <w:rPr>
                <w:color w:val="0000FF"/>
                <w:sz w:val="24"/>
                <w:szCs w:val="28"/>
              </w:rPr>
              <w:t>17709342020</w:t>
            </w:r>
          </w:p>
        </w:tc>
        <w:tc>
          <w:tcPr>
            <w:tcW w:w="1085" w:type="dxa"/>
            <w:gridSpan w:val="2"/>
            <w:vAlign w:val="center"/>
          </w:tcPr>
          <w:p>
            <w:pPr>
              <w:pStyle w:val="56"/>
              <w:spacing w:line="0" w:lineRule="atLeast"/>
              <w:ind w:firstLine="0" w:firstLineChars="0"/>
              <w:jc w:val="center"/>
              <w:rPr>
                <w:color w:val="0000FF"/>
                <w:sz w:val="24"/>
              </w:rPr>
            </w:pPr>
            <w:r>
              <w:rPr>
                <w:color w:val="0000FF"/>
                <w:sz w:val="24"/>
              </w:rPr>
              <w:t>传真</w:t>
            </w:r>
          </w:p>
        </w:tc>
        <w:tc>
          <w:tcPr>
            <w:tcW w:w="521" w:type="dxa"/>
            <w:vAlign w:val="center"/>
          </w:tcPr>
          <w:p>
            <w:pPr>
              <w:pStyle w:val="56"/>
              <w:spacing w:line="0" w:lineRule="atLeast"/>
              <w:ind w:firstLine="0" w:firstLineChars="0"/>
              <w:jc w:val="center"/>
              <w:rPr>
                <w:color w:val="0000FF"/>
                <w:sz w:val="24"/>
              </w:rPr>
            </w:pPr>
          </w:p>
        </w:tc>
        <w:tc>
          <w:tcPr>
            <w:tcW w:w="1257" w:type="dxa"/>
            <w:gridSpan w:val="3"/>
            <w:vAlign w:val="center"/>
          </w:tcPr>
          <w:p>
            <w:pPr>
              <w:pStyle w:val="56"/>
              <w:spacing w:line="0" w:lineRule="atLeast"/>
              <w:ind w:firstLine="0" w:firstLineChars="0"/>
              <w:jc w:val="center"/>
              <w:rPr>
                <w:color w:val="0000FF"/>
                <w:sz w:val="24"/>
              </w:rPr>
            </w:pPr>
            <w:r>
              <w:rPr>
                <w:color w:val="0000FF"/>
                <w:sz w:val="24"/>
              </w:rPr>
              <w:t>邮政编码</w:t>
            </w:r>
          </w:p>
        </w:tc>
        <w:tc>
          <w:tcPr>
            <w:tcW w:w="1469" w:type="dxa"/>
            <w:gridSpan w:val="2"/>
            <w:vAlign w:val="center"/>
          </w:tcPr>
          <w:p>
            <w:pPr>
              <w:pStyle w:val="56"/>
              <w:spacing w:line="0" w:lineRule="atLeast"/>
              <w:ind w:firstLine="0" w:firstLineChars="0"/>
              <w:jc w:val="center"/>
              <w:rPr>
                <w:color w:val="0000FF"/>
                <w:sz w:val="24"/>
              </w:rPr>
            </w:pPr>
            <w:r>
              <w:rPr>
                <w:rFonts w:eastAsia="微软雅黑"/>
                <w:color w:val="0000FF"/>
                <w:sz w:val="24"/>
                <w:szCs w:val="28"/>
                <w:shd w:val="clear" w:color="auto" w:fill="FFFFFF"/>
              </w:rPr>
              <w:t>745200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931" w:type="dxa"/>
            <w:tcBorders>
              <w:bottom w:val="single" w:color="auto" w:sz="4" w:space="0"/>
            </w:tcBorders>
            <w:vAlign w:val="center"/>
          </w:tcPr>
          <w:p>
            <w:pPr>
              <w:pStyle w:val="56"/>
              <w:spacing w:line="0" w:lineRule="atLeast"/>
              <w:ind w:firstLine="0" w:firstLineChars="0"/>
              <w:jc w:val="center"/>
              <w:rPr>
                <w:color w:val="0000FF"/>
                <w:sz w:val="24"/>
              </w:rPr>
            </w:pPr>
            <w:r>
              <w:rPr>
                <w:color w:val="0000FF"/>
                <w:sz w:val="24"/>
              </w:rPr>
              <w:t>建设地点</w:t>
            </w:r>
          </w:p>
        </w:tc>
        <w:tc>
          <w:tcPr>
            <w:tcW w:w="6598" w:type="dxa"/>
            <w:gridSpan w:val="10"/>
            <w:tcBorders>
              <w:bottom w:val="single" w:color="auto" w:sz="4" w:space="0"/>
            </w:tcBorders>
            <w:vAlign w:val="center"/>
          </w:tcPr>
          <w:p>
            <w:pPr>
              <w:pStyle w:val="56"/>
              <w:spacing w:line="0" w:lineRule="atLeast"/>
              <w:ind w:firstLine="0" w:firstLineChars="0"/>
              <w:jc w:val="center"/>
              <w:rPr>
                <w:color w:val="0000FF"/>
                <w:sz w:val="24"/>
                <w:szCs w:val="28"/>
              </w:rPr>
            </w:pPr>
            <w:r>
              <w:rPr>
                <w:rFonts w:hint="eastAsia"/>
                <w:color w:val="0000FF"/>
                <w:sz w:val="24"/>
                <w:szCs w:val="28"/>
              </w:rPr>
              <w:t>甘肃省庆阳市宁县长庆桥工业园区一区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1931" w:type="dxa"/>
            <w:tcBorders>
              <w:top w:val="single" w:color="auto" w:sz="4" w:space="0"/>
              <w:left w:val="single" w:color="auto" w:sz="4" w:space="0"/>
              <w:bottom w:val="single" w:color="auto" w:sz="4" w:space="0"/>
            </w:tcBorders>
            <w:vAlign w:val="center"/>
          </w:tcPr>
          <w:p>
            <w:pPr>
              <w:pStyle w:val="56"/>
              <w:spacing w:line="0" w:lineRule="atLeast"/>
              <w:ind w:firstLine="0" w:firstLineChars="0"/>
              <w:jc w:val="center"/>
              <w:rPr>
                <w:color w:val="0000FF"/>
                <w:sz w:val="24"/>
              </w:rPr>
            </w:pPr>
            <w:r>
              <w:rPr>
                <w:color w:val="0000FF"/>
                <w:sz w:val="24"/>
              </w:rPr>
              <w:t>立项审批部门</w:t>
            </w:r>
          </w:p>
        </w:tc>
        <w:tc>
          <w:tcPr>
            <w:tcW w:w="3872" w:type="dxa"/>
            <w:gridSpan w:val="5"/>
            <w:tcBorders>
              <w:top w:val="single" w:color="auto" w:sz="4" w:space="0"/>
              <w:bottom w:val="single" w:color="auto" w:sz="4" w:space="0"/>
            </w:tcBorders>
            <w:vAlign w:val="center"/>
          </w:tcPr>
          <w:p>
            <w:pPr>
              <w:pStyle w:val="56"/>
              <w:spacing w:line="0" w:lineRule="atLeast"/>
              <w:ind w:firstLine="0" w:firstLineChars="0"/>
              <w:jc w:val="center"/>
              <w:rPr>
                <w:color w:val="0000FF"/>
                <w:sz w:val="24"/>
              </w:rPr>
            </w:pPr>
          </w:p>
        </w:tc>
        <w:tc>
          <w:tcPr>
            <w:tcW w:w="775" w:type="dxa"/>
            <w:tcBorders>
              <w:top w:val="single" w:color="auto" w:sz="4" w:space="0"/>
              <w:bottom w:val="single" w:color="auto" w:sz="4" w:space="0"/>
            </w:tcBorders>
            <w:vAlign w:val="center"/>
          </w:tcPr>
          <w:p>
            <w:pPr>
              <w:pStyle w:val="56"/>
              <w:spacing w:line="0" w:lineRule="atLeast"/>
              <w:ind w:firstLine="0" w:firstLineChars="0"/>
              <w:jc w:val="center"/>
              <w:rPr>
                <w:color w:val="0000FF"/>
                <w:sz w:val="24"/>
              </w:rPr>
            </w:pPr>
            <w:r>
              <w:rPr>
                <w:color w:val="0000FF"/>
                <w:sz w:val="24"/>
              </w:rPr>
              <w:t>批准文号</w:t>
            </w:r>
          </w:p>
        </w:tc>
        <w:tc>
          <w:tcPr>
            <w:tcW w:w="1951" w:type="dxa"/>
            <w:gridSpan w:val="4"/>
            <w:tcBorders>
              <w:top w:val="single" w:color="auto" w:sz="4" w:space="0"/>
              <w:bottom w:val="single" w:color="auto" w:sz="4" w:space="0"/>
              <w:right w:val="single" w:color="auto" w:sz="4" w:space="0"/>
            </w:tcBorders>
            <w:vAlign w:val="center"/>
          </w:tcPr>
          <w:p>
            <w:pPr>
              <w:pStyle w:val="56"/>
              <w:spacing w:line="0" w:lineRule="atLeast"/>
              <w:ind w:firstLine="0" w:firstLineChars="0"/>
              <w:jc w:val="center"/>
              <w:rPr>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931" w:type="dxa"/>
            <w:tcBorders>
              <w:top w:val="single" w:color="auto" w:sz="4" w:space="0"/>
            </w:tcBorders>
            <w:vAlign w:val="center"/>
          </w:tcPr>
          <w:p>
            <w:pPr>
              <w:pStyle w:val="56"/>
              <w:spacing w:line="0" w:lineRule="atLeast"/>
              <w:ind w:firstLine="0" w:firstLineChars="0"/>
              <w:jc w:val="center"/>
              <w:rPr>
                <w:color w:val="0000FF"/>
                <w:sz w:val="24"/>
              </w:rPr>
            </w:pPr>
            <w:r>
              <w:rPr>
                <w:color w:val="0000FF"/>
                <w:sz w:val="24"/>
              </w:rPr>
              <w:t>建设性质</w:t>
            </w:r>
          </w:p>
        </w:tc>
        <w:tc>
          <w:tcPr>
            <w:tcW w:w="2618" w:type="dxa"/>
            <w:gridSpan w:val="3"/>
            <w:tcBorders>
              <w:top w:val="single" w:color="auto" w:sz="4" w:space="0"/>
            </w:tcBorders>
            <w:vAlign w:val="center"/>
          </w:tcPr>
          <w:p>
            <w:pPr>
              <w:pStyle w:val="56"/>
              <w:spacing w:line="0" w:lineRule="atLeast"/>
              <w:ind w:firstLine="0" w:firstLineChars="0"/>
              <w:jc w:val="center"/>
              <w:rPr>
                <w:color w:val="0000FF"/>
                <w:sz w:val="24"/>
              </w:rPr>
            </w:pPr>
            <w:r>
              <w:rPr>
                <w:color w:val="0000FF"/>
                <w:sz w:val="24"/>
              </w:rPr>
              <w:t>新建■改扩建□技改□</w:t>
            </w:r>
          </w:p>
        </w:tc>
        <w:tc>
          <w:tcPr>
            <w:tcW w:w="1254" w:type="dxa"/>
            <w:gridSpan w:val="2"/>
            <w:tcBorders>
              <w:top w:val="single" w:color="auto" w:sz="4" w:space="0"/>
            </w:tcBorders>
            <w:vAlign w:val="center"/>
          </w:tcPr>
          <w:p>
            <w:pPr>
              <w:pStyle w:val="56"/>
              <w:spacing w:line="0" w:lineRule="atLeast"/>
              <w:ind w:firstLine="0" w:firstLineChars="0"/>
              <w:jc w:val="center"/>
              <w:rPr>
                <w:color w:val="0000FF"/>
                <w:sz w:val="24"/>
              </w:rPr>
            </w:pPr>
            <w:r>
              <w:rPr>
                <w:color w:val="0000FF"/>
                <w:sz w:val="24"/>
              </w:rPr>
              <w:t>行业类别及代码</w:t>
            </w:r>
          </w:p>
        </w:tc>
        <w:tc>
          <w:tcPr>
            <w:tcW w:w="2726" w:type="dxa"/>
            <w:gridSpan w:val="5"/>
            <w:tcBorders>
              <w:top w:val="single" w:color="auto" w:sz="4" w:space="0"/>
            </w:tcBorders>
            <w:vAlign w:val="center"/>
          </w:tcPr>
          <w:p>
            <w:pPr>
              <w:pStyle w:val="56"/>
              <w:spacing w:line="0" w:lineRule="atLeast"/>
              <w:ind w:firstLine="0" w:firstLineChars="0"/>
              <w:jc w:val="center"/>
              <w:rPr>
                <w:color w:val="0000FF"/>
                <w:sz w:val="24"/>
                <w:szCs w:val="28"/>
              </w:rPr>
            </w:pPr>
            <w:r>
              <w:rPr>
                <w:rFonts w:hint="eastAsia"/>
                <w:color w:val="0000FF"/>
                <w:kern w:val="2"/>
                <w:sz w:val="24"/>
                <w:szCs w:val="28"/>
              </w:rPr>
              <w:t>F5161 煤炭及制品批发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931" w:type="dxa"/>
            <w:vAlign w:val="center"/>
          </w:tcPr>
          <w:p>
            <w:pPr>
              <w:pStyle w:val="56"/>
              <w:spacing w:line="0" w:lineRule="atLeast"/>
              <w:ind w:firstLine="0" w:firstLineChars="0"/>
              <w:jc w:val="center"/>
              <w:rPr>
                <w:color w:val="0000FF"/>
                <w:sz w:val="24"/>
              </w:rPr>
            </w:pPr>
            <w:r>
              <w:rPr>
                <w:color w:val="0000FF"/>
                <w:sz w:val="24"/>
              </w:rPr>
              <w:t>占地面积（平方米）</w:t>
            </w:r>
          </w:p>
        </w:tc>
        <w:tc>
          <w:tcPr>
            <w:tcW w:w="2618" w:type="dxa"/>
            <w:gridSpan w:val="3"/>
            <w:vAlign w:val="center"/>
          </w:tcPr>
          <w:p>
            <w:pPr>
              <w:pStyle w:val="56"/>
              <w:spacing w:line="0" w:lineRule="atLeast"/>
              <w:ind w:firstLine="0" w:firstLineChars="0"/>
              <w:jc w:val="center"/>
              <w:rPr>
                <w:color w:val="0000FF"/>
                <w:sz w:val="24"/>
              </w:rPr>
            </w:pPr>
            <w:r>
              <w:rPr>
                <w:rFonts w:hint="eastAsia"/>
                <w:color w:val="0000FF"/>
                <w:sz w:val="24"/>
              </w:rPr>
              <w:t>8000</w:t>
            </w:r>
          </w:p>
        </w:tc>
        <w:tc>
          <w:tcPr>
            <w:tcW w:w="1254" w:type="dxa"/>
            <w:gridSpan w:val="2"/>
            <w:vAlign w:val="center"/>
          </w:tcPr>
          <w:p>
            <w:pPr>
              <w:pStyle w:val="56"/>
              <w:spacing w:line="0" w:lineRule="atLeast"/>
              <w:ind w:firstLine="0" w:firstLineChars="0"/>
              <w:jc w:val="center"/>
              <w:rPr>
                <w:color w:val="0000FF"/>
                <w:sz w:val="24"/>
              </w:rPr>
            </w:pPr>
            <w:r>
              <w:rPr>
                <w:color w:val="0000FF"/>
                <w:sz w:val="24"/>
              </w:rPr>
              <w:t>建筑面积(平方米)</w:t>
            </w:r>
          </w:p>
        </w:tc>
        <w:tc>
          <w:tcPr>
            <w:tcW w:w="2726" w:type="dxa"/>
            <w:gridSpan w:val="5"/>
            <w:vAlign w:val="center"/>
          </w:tcPr>
          <w:p>
            <w:pPr>
              <w:pStyle w:val="56"/>
              <w:spacing w:line="0" w:lineRule="atLeast"/>
              <w:ind w:firstLine="0" w:firstLineChars="0"/>
              <w:jc w:val="center"/>
              <w:rPr>
                <w:color w:val="0000FF"/>
                <w:sz w:val="24"/>
              </w:rPr>
            </w:pPr>
            <w:r>
              <w:rPr>
                <w:rFonts w:hint="eastAsia"/>
                <w:color w:val="0000FF"/>
                <w:sz w:val="24"/>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31" w:type="dxa"/>
            <w:vAlign w:val="center"/>
          </w:tcPr>
          <w:p>
            <w:pPr>
              <w:pStyle w:val="56"/>
              <w:spacing w:line="0" w:lineRule="atLeast"/>
              <w:ind w:firstLine="0" w:firstLineChars="0"/>
              <w:jc w:val="center"/>
              <w:rPr>
                <w:color w:val="0000FF"/>
                <w:sz w:val="24"/>
              </w:rPr>
            </w:pPr>
            <w:r>
              <w:rPr>
                <w:color w:val="0000FF"/>
                <w:sz w:val="24"/>
              </w:rPr>
              <w:t>总投资</w:t>
            </w:r>
          </w:p>
          <w:p>
            <w:pPr>
              <w:pStyle w:val="56"/>
              <w:spacing w:line="0" w:lineRule="atLeast"/>
              <w:ind w:firstLine="0" w:firstLineChars="0"/>
              <w:jc w:val="center"/>
              <w:rPr>
                <w:color w:val="0000FF"/>
                <w:sz w:val="24"/>
              </w:rPr>
            </w:pPr>
            <w:r>
              <w:rPr>
                <w:color w:val="0000FF"/>
                <w:sz w:val="24"/>
              </w:rPr>
              <w:t>（万元）</w:t>
            </w:r>
          </w:p>
        </w:tc>
        <w:tc>
          <w:tcPr>
            <w:tcW w:w="1039" w:type="dxa"/>
            <w:vAlign w:val="center"/>
          </w:tcPr>
          <w:p>
            <w:pPr>
              <w:pStyle w:val="56"/>
              <w:spacing w:line="0" w:lineRule="atLeast"/>
              <w:ind w:firstLine="0" w:firstLineChars="0"/>
              <w:jc w:val="center"/>
              <w:rPr>
                <w:color w:val="0000FF"/>
                <w:sz w:val="24"/>
              </w:rPr>
            </w:pPr>
            <w:r>
              <w:rPr>
                <w:rFonts w:hint="eastAsia"/>
                <w:color w:val="0000FF"/>
                <w:sz w:val="24"/>
              </w:rPr>
              <w:t>200</w:t>
            </w:r>
          </w:p>
        </w:tc>
        <w:tc>
          <w:tcPr>
            <w:tcW w:w="1579" w:type="dxa"/>
            <w:gridSpan w:val="2"/>
            <w:vAlign w:val="center"/>
          </w:tcPr>
          <w:p>
            <w:pPr>
              <w:pStyle w:val="56"/>
              <w:spacing w:line="0" w:lineRule="atLeast"/>
              <w:ind w:firstLine="0" w:firstLineChars="0"/>
              <w:jc w:val="center"/>
              <w:rPr>
                <w:color w:val="0000FF"/>
                <w:sz w:val="24"/>
              </w:rPr>
            </w:pPr>
            <w:r>
              <w:rPr>
                <w:color w:val="0000FF"/>
                <w:sz w:val="24"/>
              </w:rPr>
              <w:t>其中：环保投资（万元）</w:t>
            </w:r>
          </w:p>
        </w:tc>
        <w:tc>
          <w:tcPr>
            <w:tcW w:w="1254" w:type="dxa"/>
            <w:gridSpan w:val="2"/>
            <w:vAlign w:val="center"/>
          </w:tcPr>
          <w:p>
            <w:pPr>
              <w:pStyle w:val="56"/>
              <w:spacing w:line="0" w:lineRule="atLeast"/>
              <w:ind w:firstLine="0" w:firstLineChars="0"/>
              <w:jc w:val="center"/>
              <w:rPr>
                <w:rFonts w:hint="eastAsia"/>
                <w:color w:val="0000FF"/>
                <w:sz w:val="24"/>
              </w:rPr>
            </w:pPr>
            <w:r>
              <w:rPr>
                <w:rFonts w:hint="eastAsia"/>
                <w:color w:val="0000FF"/>
                <w:sz w:val="24"/>
              </w:rPr>
              <w:t>44.9</w:t>
            </w:r>
          </w:p>
        </w:tc>
        <w:tc>
          <w:tcPr>
            <w:tcW w:w="1496" w:type="dxa"/>
            <w:gridSpan w:val="4"/>
            <w:vAlign w:val="center"/>
          </w:tcPr>
          <w:p>
            <w:pPr>
              <w:pStyle w:val="56"/>
              <w:spacing w:line="0" w:lineRule="atLeast"/>
              <w:ind w:firstLine="0" w:firstLineChars="0"/>
              <w:jc w:val="center"/>
              <w:rPr>
                <w:color w:val="0000FF"/>
                <w:sz w:val="24"/>
              </w:rPr>
            </w:pPr>
            <w:r>
              <w:rPr>
                <w:color w:val="0000FF"/>
                <w:sz w:val="24"/>
              </w:rPr>
              <w:t>环保投资占总投资比例</w:t>
            </w:r>
          </w:p>
        </w:tc>
        <w:tc>
          <w:tcPr>
            <w:tcW w:w="1230" w:type="dxa"/>
            <w:vAlign w:val="center"/>
          </w:tcPr>
          <w:p>
            <w:pPr>
              <w:pStyle w:val="56"/>
              <w:tabs>
                <w:tab w:val="left" w:pos="300"/>
              </w:tabs>
              <w:spacing w:line="0" w:lineRule="atLeast"/>
              <w:ind w:firstLine="0" w:firstLineChars="0"/>
              <w:jc w:val="left"/>
              <w:rPr>
                <w:rFonts w:hint="eastAsia"/>
                <w:color w:val="0000FF"/>
                <w:sz w:val="24"/>
              </w:rPr>
            </w:pPr>
            <w:r>
              <w:rPr>
                <w:rFonts w:hint="eastAsia"/>
                <w:color w:val="0000FF"/>
                <w:sz w:val="24"/>
              </w:rPr>
              <w:tab/>
            </w:r>
            <w:r>
              <w:rPr>
                <w:rFonts w:hint="eastAsia"/>
                <w:color w:val="0000FF"/>
                <w:sz w:val="24"/>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931" w:type="dxa"/>
            <w:tcBorders>
              <w:bottom w:val="single" w:color="auto" w:sz="4" w:space="0"/>
            </w:tcBorders>
            <w:vAlign w:val="center"/>
          </w:tcPr>
          <w:p>
            <w:pPr>
              <w:pStyle w:val="56"/>
              <w:spacing w:line="0" w:lineRule="atLeast"/>
              <w:ind w:firstLine="0" w:firstLineChars="0"/>
              <w:jc w:val="center"/>
              <w:rPr>
                <w:color w:val="0000FF"/>
                <w:sz w:val="24"/>
              </w:rPr>
            </w:pPr>
            <w:r>
              <w:rPr>
                <w:color w:val="0000FF"/>
                <w:sz w:val="24"/>
              </w:rPr>
              <w:t>投产日期</w:t>
            </w:r>
          </w:p>
        </w:tc>
        <w:tc>
          <w:tcPr>
            <w:tcW w:w="6598" w:type="dxa"/>
            <w:gridSpan w:val="10"/>
            <w:tcBorders>
              <w:bottom w:val="single" w:color="auto" w:sz="4" w:space="0"/>
            </w:tcBorders>
            <w:vAlign w:val="center"/>
          </w:tcPr>
          <w:p>
            <w:pPr>
              <w:pStyle w:val="56"/>
              <w:spacing w:line="0" w:lineRule="atLeast"/>
              <w:ind w:firstLine="0" w:firstLineChars="0"/>
              <w:jc w:val="center"/>
              <w:rPr>
                <w:color w:val="0000FF"/>
                <w:sz w:val="24"/>
              </w:rPr>
            </w:pPr>
            <w:r>
              <w:rPr>
                <w:color w:val="0000FF"/>
                <w:sz w:val="24"/>
              </w:rPr>
              <w:t>20</w:t>
            </w:r>
            <w:r>
              <w:rPr>
                <w:rFonts w:hint="eastAsia"/>
                <w:color w:val="0000FF"/>
                <w:sz w:val="24"/>
              </w:rPr>
              <w:t>19</w:t>
            </w:r>
            <w:r>
              <w:rPr>
                <w:color w:val="0000FF"/>
                <w:sz w:val="24"/>
              </w:rPr>
              <w:t>年</w:t>
            </w:r>
            <w:r>
              <w:rPr>
                <w:rFonts w:hint="eastAsia"/>
                <w:color w:val="0000FF"/>
                <w:sz w:val="24"/>
              </w:rPr>
              <w:t>6</w:t>
            </w:r>
            <w:r>
              <w:rPr>
                <w:color w:val="0000FF"/>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4" w:hRule="atLeast"/>
        </w:trPr>
        <w:tc>
          <w:tcPr>
            <w:tcW w:w="8529" w:type="dxa"/>
            <w:gridSpan w:val="11"/>
            <w:vAlign w:val="center"/>
          </w:tcPr>
          <w:p>
            <w:pPr>
              <w:spacing w:line="360" w:lineRule="auto"/>
              <w:rPr>
                <w:b/>
                <w:color w:val="0000FF"/>
                <w:sz w:val="24"/>
                <w:szCs w:val="28"/>
                <w:lang w:val="zh-CN"/>
              </w:rPr>
            </w:pPr>
            <w:r>
              <w:rPr>
                <w:b/>
                <w:color w:val="0000FF"/>
                <w:sz w:val="24"/>
                <w:szCs w:val="28"/>
                <w:lang w:val="zh-CN"/>
              </w:rPr>
              <w:t>项目背景</w:t>
            </w:r>
          </w:p>
          <w:p>
            <w:pPr>
              <w:spacing w:line="360" w:lineRule="auto"/>
              <w:ind w:firstLine="480" w:firstLineChars="200"/>
              <w:rPr>
                <w:rFonts w:hint="eastAsia"/>
                <w:color w:val="0000FF"/>
                <w:sz w:val="24"/>
                <w:szCs w:val="22"/>
              </w:rPr>
            </w:pPr>
            <w:r>
              <w:rPr>
                <w:rFonts w:hint="eastAsia"/>
                <w:color w:val="0000FF"/>
                <w:sz w:val="24"/>
                <w:szCs w:val="22"/>
              </w:rPr>
              <w:t>煤炭行业是我国国民经济的主导产业之一，也是我国的主要能源，在国民经济中占据着重要的位置，发挥着重要作用。它不仅要保证冶金部门的需要，而且要满足化工部门及各行业动力用煤的需求，尤其随着国民经济的快速发展，煤炭行业已成为我国市场经济发展的推动力。为此，在煤炭资源加工利用的同时，发展煤炭筛分加工业，稳定煤炭产品质量，更重要的是可以改变煤炭产品结构，增加品种及质量级别，提高煤炭生产企业的市场竞争能力。</w:t>
            </w:r>
          </w:p>
          <w:p>
            <w:pPr>
              <w:spacing w:line="360" w:lineRule="auto"/>
              <w:ind w:firstLine="480" w:firstLineChars="200"/>
              <w:rPr>
                <w:rFonts w:hint="eastAsia"/>
                <w:color w:val="0000FF"/>
                <w:sz w:val="24"/>
                <w:szCs w:val="22"/>
              </w:rPr>
            </w:pPr>
            <w:r>
              <w:rPr>
                <w:rFonts w:hint="eastAsia"/>
                <w:color w:val="0000FF"/>
                <w:sz w:val="24"/>
                <w:szCs w:val="22"/>
              </w:rPr>
              <w:t>建设单位在详细调研的基础上，决定利用</w:t>
            </w:r>
            <w:r>
              <w:rPr>
                <w:rFonts w:hint="eastAsia"/>
                <w:color w:val="0000FF"/>
                <w:sz w:val="24"/>
                <w:szCs w:val="28"/>
                <w:highlight w:val="yellow"/>
              </w:rPr>
              <w:t>庆阳亿信肥业有限公司</w:t>
            </w:r>
            <w:r>
              <w:rPr>
                <w:rFonts w:hint="eastAsia"/>
                <w:color w:val="0000FF"/>
                <w:sz w:val="24"/>
                <w:szCs w:val="28"/>
              </w:rPr>
              <w:t>的一跨厂房和预留用地建设两座储煤库，项目全厂煤炭年流通量30万吨。</w:t>
            </w:r>
            <w:r>
              <w:rPr>
                <w:rFonts w:hint="eastAsia"/>
                <w:color w:val="0000FF"/>
                <w:sz w:val="24"/>
                <w:szCs w:val="22"/>
              </w:rPr>
              <w:t>项目距离较近的新庄煤矿即将开始出煤，利用地理交通优势，建设储煤场具有优越的地理资源条件。</w:t>
            </w:r>
          </w:p>
          <w:p>
            <w:pPr>
              <w:spacing w:line="360" w:lineRule="auto"/>
              <w:ind w:firstLine="480" w:firstLineChars="200"/>
              <w:rPr>
                <w:rFonts w:hint="eastAsia"/>
                <w:sz w:val="24"/>
                <w:szCs w:val="22"/>
              </w:rPr>
            </w:pPr>
            <w:r>
              <w:rPr>
                <w:rFonts w:hint="eastAsia"/>
                <w:color w:val="0000FF"/>
                <w:sz w:val="24"/>
                <w:szCs w:val="22"/>
              </w:rPr>
              <w:t>根据《中华人民共和国环境保护法》（2015年1月1日实施）、《中华人民共和国环境影响评价法》（2016年9月1日实施）的要求，该项目需要开展环境影响评价工作；按照《建设项目环境影响评价分类管理名录》（2018年4月28日起施行），该项目属于“四十一、煤炭开采和洗选业、130、煤炭储存、集运”，本项目是属于煤炭储存、集运，需编制环境影响报告表，因此，庆阳亿信德通货运物流有限公司委托我单位对《亿信德通煤炭装箱运输项目》进行环境影响评价工作。接受委托后，我公司根据项目特点，组织有关技术人员进行了现场踏勘及资料收集工作，在详细了解该工程及其周围环境状况后，编制了《亿信德通煤炭装箱运输项目环境影响报告表》，为项目环境工程的设计、环境管理与监督提供依据。</w:t>
            </w:r>
          </w:p>
          <w:p>
            <w:pPr>
              <w:spacing w:line="360" w:lineRule="auto"/>
              <w:rPr>
                <w:b/>
                <w:color w:val="0000FF"/>
                <w:sz w:val="24"/>
                <w:szCs w:val="28"/>
                <w:lang w:val="zh-CN"/>
              </w:rPr>
            </w:pPr>
            <w:r>
              <w:rPr>
                <w:rFonts w:hint="eastAsia"/>
                <w:b/>
                <w:color w:val="0000FF"/>
                <w:sz w:val="24"/>
                <w:szCs w:val="28"/>
                <w:lang w:val="zh-CN"/>
              </w:rPr>
              <w:t>一、</w:t>
            </w:r>
            <w:r>
              <w:rPr>
                <w:b/>
                <w:color w:val="0000FF"/>
                <w:sz w:val="24"/>
                <w:szCs w:val="28"/>
                <w:lang w:val="zh-CN"/>
              </w:rPr>
              <w:t>评价依据</w:t>
            </w:r>
          </w:p>
          <w:p>
            <w:pPr>
              <w:spacing w:line="360" w:lineRule="auto"/>
              <w:outlineLvl w:val="2"/>
              <w:rPr>
                <w:b/>
                <w:color w:val="0000FF"/>
                <w:sz w:val="24"/>
                <w:szCs w:val="28"/>
              </w:rPr>
            </w:pPr>
            <w:r>
              <w:rPr>
                <w:b/>
                <w:color w:val="0000FF"/>
                <w:sz w:val="24"/>
                <w:szCs w:val="28"/>
              </w:rPr>
              <w:t>1、法律、法规</w:t>
            </w:r>
          </w:p>
          <w:p>
            <w:pPr>
              <w:adjustRightInd w:val="0"/>
              <w:snapToGrid w:val="0"/>
              <w:spacing w:line="360" w:lineRule="auto"/>
              <w:ind w:firstLine="480" w:firstLineChars="200"/>
              <w:rPr>
                <w:rFonts w:hint="eastAsia"/>
                <w:color w:val="0000FF"/>
                <w:sz w:val="24"/>
              </w:rPr>
            </w:pPr>
            <w:r>
              <w:rPr>
                <w:rFonts w:hint="eastAsia"/>
                <w:color w:val="0000FF"/>
                <w:sz w:val="24"/>
              </w:rPr>
              <w:t>（1）《中华人民共和国环境保护法》，2015年1月1日；</w:t>
            </w:r>
          </w:p>
          <w:p>
            <w:pPr>
              <w:adjustRightInd w:val="0"/>
              <w:snapToGrid w:val="0"/>
              <w:spacing w:line="360" w:lineRule="auto"/>
              <w:ind w:firstLine="480" w:firstLineChars="200"/>
              <w:rPr>
                <w:rFonts w:hint="eastAsia"/>
                <w:color w:val="0000FF"/>
                <w:sz w:val="24"/>
              </w:rPr>
            </w:pPr>
            <w:r>
              <w:rPr>
                <w:rFonts w:hint="eastAsia"/>
                <w:color w:val="0000FF"/>
                <w:sz w:val="24"/>
              </w:rPr>
              <w:t>（2）《中华人民共和国环境影响评价法》，2016年9月1日；</w:t>
            </w:r>
          </w:p>
          <w:p>
            <w:pPr>
              <w:adjustRightInd w:val="0"/>
              <w:snapToGrid w:val="0"/>
              <w:spacing w:line="360" w:lineRule="auto"/>
              <w:ind w:firstLine="480" w:firstLineChars="200"/>
              <w:rPr>
                <w:rFonts w:hint="eastAsia"/>
                <w:color w:val="0000FF"/>
                <w:sz w:val="24"/>
              </w:rPr>
            </w:pPr>
            <w:r>
              <w:rPr>
                <w:rFonts w:hint="eastAsia"/>
                <w:color w:val="0000FF"/>
                <w:sz w:val="24"/>
              </w:rPr>
              <w:t>（3）《中华人民共和国大气污染防治法》，2018年10月26日修订；</w:t>
            </w:r>
          </w:p>
          <w:p>
            <w:pPr>
              <w:adjustRightInd w:val="0"/>
              <w:snapToGrid w:val="0"/>
              <w:spacing w:line="360" w:lineRule="auto"/>
              <w:ind w:firstLine="480" w:firstLineChars="200"/>
              <w:rPr>
                <w:rFonts w:hint="eastAsia"/>
                <w:color w:val="0000FF"/>
                <w:sz w:val="24"/>
              </w:rPr>
            </w:pPr>
            <w:r>
              <w:rPr>
                <w:rFonts w:hint="eastAsia"/>
                <w:color w:val="0000FF"/>
                <w:sz w:val="24"/>
              </w:rPr>
              <w:t>（4）《中华人民共和国水污染防治法》， 2018年1月1日实施；</w:t>
            </w:r>
          </w:p>
          <w:p>
            <w:pPr>
              <w:adjustRightInd w:val="0"/>
              <w:snapToGrid w:val="0"/>
              <w:spacing w:line="360" w:lineRule="auto"/>
              <w:ind w:firstLine="480" w:firstLineChars="200"/>
              <w:rPr>
                <w:rFonts w:hint="eastAsia"/>
                <w:color w:val="0000FF"/>
                <w:sz w:val="24"/>
              </w:rPr>
            </w:pPr>
            <w:r>
              <w:rPr>
                <w:rFonts w:hint="eastAsia"/>
                <w:color w:val="0000FF"/>
                <w:sz w:val="24"/>
              </w:rPr>
              <w:t>（5）《中华人民共和国固体废物污染环境防治法》，2016年11月7日修订；</w:t>
            </w:r>
          </w:p>
          <w:p>
            <w:pPr>
              <w:adjustRightInd w:val="0"/>
              <w:snapToGrid w:val="0"/>
              <w:spacing w:line="360" w:lineRule="auto"/>
              <w:ind w:firstLine="480" w:firstLineChars="200"/>
              <w:rPr>
                <w:rFonts w:hint="eastAsia"/>
                <w:color w:val="0000FF"/>
                <w:sz w:val="24"/>
              </w:rPr>
            </w:pPr>
            <w:r>
              <w:rPr>
                <w:rFonts w:hint="eastAsia"/>
                <w:color w:val="0000FF"/>
                <w:sz w:val="24"/>
              </w:rPr>
              <w:t>（6）《中华人民共和国环境噪声污染防治法》，1997年3月1日；</w:t>
            </w:r>
          </w:p>
          <w:p>
            <w:pPr>
              <w:adjustRightInd w:val="0"/>
              <w:snapToGrid w:val="0"/>
              <w:spacing w:line="360" w:lineRule="auto"/>
              <w:ind w:firstLine="480" w:firstLineChars="200"/>
              <w:rPr>
                <w:rFonts w:hint="eastAsia"/>
                <w:color w:val="0000FF"/>
                <w:sz w:val="24"/>
              </w:rPr>
            </w:pPr>
            <w:r>
              <w:rPr>
                <w:rFonts w:hint="eastAsia"/>
                <w:color w:val="0000FF"/>
                <w:sz w:val="24"/>
              </w:rPr>
              <w:t>（7）《中华人民共和国清洁生产促进法》，2016年7月1日；</w:t>
            </w:r>
          </w:p>
          <w:p>
            <w:pPr>
              <w:adjustRightInd w:val="0"/>
              <w:snapToGrid w:val="0"/>
              <w:spacing w:line="360" w:lineRule="auto"/>
              <w:ind w:firstLine="480" w:firstLineChars="200"/>
              <w:rPr>
                <w:rFonts w:hint="eastAsia"/>
                <w:color w:val="0000FF"/>
                <w:sz w:val="24"/>
              </w:rPr>
            </w:pPr>
            <w:r>
              <w:rPr>
                <w:rFonts w:hint="eastAsia"/>
                <w:color w:val="0000FF"/>
                <w:sz w:val="24"/>
              </w:rPr>
              <w:t>（8）《中华人民共和国循环经济促进法》，2009年1月1日；</w:t>
            </w:r>
          </w:p>
          <w:p>
            <w:pPr>
              <w:adjustRightInd w:val="0"/>
              <w:snapToGrid w:val="0"/>
              <w:spacing w:line="360" w:lineRule="auto"/>
              <w:ind w:firstLine="480" w:firstLineChars="200"/>
              <w:rPr>
                <w:rFonts w:hint="eastAsia"/>
                <w:color w:val="0000FF"/>
                <w:sz w:val="24"/>
              </w:rPr>
            </w:pPr>
            <w:r>
              <w:rPr>
                <w:rFonts w:hint="eastAsia"/>
                <w:color w:val="0000FF"/>
                <w:sz w:val="24"/>
              </w:rPr>
              <w:t>（9）《建设项目环境保护管理条例》，2017年7月16日；</w:t>
            </w:r>
          </w:p>
          <w:p>
            <w:pPr>
              <w:adjustRightInd w:val="0"/>
              <w:snapToGrid w:val="0"/>
              <w:spacing w:line="360" w:lineRule="auto"/>
              <w:ind w:firstLine="480" w:firstLineChars="200"/>
              <w:rPr>
                <w:rFonts w:hint="eastAsia"/>
                <w:color w:val="0000FF"/>
                <w:sz w:val="24"/>
              </w:rPr>
            </w:pPr>
            <w:r>
              <w:rPr>
                <w:rFonts w:hint="eastAsia"/>
                <w:color w:val="0000FF"/>
                <w:sz w:val="24"/>
              </w:rPr>
              <w:t>（10）《建设项目环境影响评价分类管理名录》，2018年4月28日；</w:t>
            </w:r>
          </w:p>
          <w:p>
            <w:pPr>
              <w:adjustRightInd w:val="0"/>
              <w:snapToGrid w:val="0"/>
              <w:spacing w:line="360" w:lineRule="auto"/>
              <w:ind w:firstLine="480" w:firstLineChars="200"/>
              <w:rPr>
                <w:color w:val="0000FF"/>
                <w:sz w:val="24"/>
              </w:rPr>
            </w:pPr>
            <w:r>
              <w:rPr>
                <w:rFonts w:hint="eastAsia"/>
                <w:color w:val="0000FF"/>
                <w:sz w:val="24"/>
              </w:rPr>
              <w:t>（11）《产业结构调整指导目录（2011年本）》（2013年21号令修订、2013年36号令修订），中华人民共和国国家发展和改革委员会第21号令，2013年2月16日。</w:t>
            </w:r>
          </w:p>
          <w:p>
            <w:pPr>
              <w:spacing w:beforeLines="50" w:afterLines="50" w:line="360" w:lineRule="auto"/>
              <w:outlineLvl w:val="2"/>
              <w:rPr>
                <w:b/>
                <w:color w:val="0000FF"/>
                <w:sz w:val="24"/>
                <w:szCs w:val="28"/>
              </w:rPr>
            </w:pPr>
            <w:r>
              <w:rPr>
                <w:b/>
                <w:color w:val="0000FF"/>
                <w:sz w:val="24"/>
                <w:szCs w:val="28"/>
              </w:rPr>
              <w:t>2、技术规范、依据</w:t>
            </w:r>
          </w:p>
          <w:p>
            <w:pPr>
              <w:spacing w:line="360" w:lineRule="auto"/>
              <w:ind w:firstLine="460" w:firstLineChars="192"/>
              <w:rPr>
                <w:rFonts w:hint="eastAsia"/>
                <w:color w:val="0000FF"/>
                <w:sz w:val="24"/>
              </w:rPr>
            </w:pPr>
            <w:r>
              <w:rPr>
                <w:rFonts w:hint="eastAsia"/>
                <w:color w:val="0000FF"/>
                <w:sz w:val="24"/>
              </w:rPr>
              <w:t>（1）《建设项目环境影响评价技术导则  总纲》（HJ2.1-2016）；</w:t>
            </w:r>
          </w:p>
          <w:p>
            <w:pPr>
              <w:spacing w:line="360" w:lineRule="auto"/>
              <w:ind w:firstLine="460" w:firstLineChars="192"/>
              <w:rPr>
                <w:rFonts w:hint="eastAsia"/>
                <w:color w:val="0000FF"/>
                <w:sz w:val="24"/>
              </w:rPr>
            </w:pPr>
            <w:r>
              <w:rPr>
                <w:rFonts w:hint="eastAsia"/>
                <w:color w:val="0000FF"/>
                <w:sz w:val="24"/>
              </w:rPr>
              <w:t>（2）《环境影响评价技术导则--大气环境》（HJ2.2-2018）；</w:t>
            </w:r>
          </w:p>
          <w:p>
            <w:pPr>
              <w:spacing w:line="360" w:lineRule="auto"/>
              <w:ind w:firstLine="460" w:firstLineChars="192"/>
              <w:rPr>
                <w:rFonts w:hint="eastAsia"/>
                <w:color w:val="0000FF"/>
                <w:sz w:val="24"/>
              </w:rPr>
            </w:pPr>
            <w:r>
              <w:rPr>
                <w:rFonts w:hint="eastAsia"/>
                <w:color w:val="0000FF"/>
                <w:sz w:val="24"/>
              </w:rPr>
              <w:t>（3）《环境影响评价技术导则--地面水环境》（HJ2.3-2018）；</w:t>
            </w:r>
          </w:p>
          <w:p>
            <w:pPr>
              <w:spacing w:line="360" w:lineRule="auto"/>
              <w:ind w:firstLine="460" w:firstLineChars="192"/>
              <w:rPr>
                <w:rFonts w:hint="eastAsia"/>
                <w:color w:val="0000FF"/>
                <w:sz w:val="24"/>
              </w:rPr>
            </w:pPr>
            <w:r>
              <w:rPr>
                <w:rFonts w:hint="eastAsia"/>
                <w:color w:val="0000FF"/>
                <w:sz w:val="24"/>
              </w:rPr>
              <w:t>（4）《环境影响评价技术导则--声环境》（HJ2.4-2009）；</w:t>
            </w:r>
          </w:p>
          <w:p>
            <w:pPr>
              <w:spacing w:line="360" w:lineRule="auto"/>
              <w:ind w:firstLine="460" w:firstLineChars="192"/>
              <w:rPr>
                <w:rFonts w:hint="eastAsia"/>
                <w:color w:val="0000FF"/>
                <w:sz w:val="24"/>
              </w:rPr>
            </w:pPr>
            <w:r>
              <w:rPr>
                <w:rFonts w:hint="eastAsia"/>
                <w:color w:val="0000FF"/>
                <w:sz w:val="24"/>
              </w:rPr>
              <w:t>（5）《环境影响评价技术导则--生态影响》( HJ 19-2011)；</w:t>
            </w:r>
          </w:p>
          <w:p>
            <w:pPr>
              <w:spacing w:line="360" w:lineRule="auto"/>
              <w:ind w:firstLine="460" w:firstLineChars="192"/>
              <w:rPr>
                <w:rFonts w:hint="eastAsia"/>
                <w:color w:val="0000FF"/>
                <w:sz w:val="24"/>
              </w:rPr>
            </w:pPr>
            <w:r>
              <w:rPr>
                <w:rFonts w:hint="eastAsia"/>
                <w:color w:val="0000FF"/>
                <w:sz w:val="24"/>
              </w:rPr>
              <w:t>（6）《环境影响评价技术导则--地下水环境》（HJ610-2016）；</w:t>
            </w:r>
          </w:p>
          <w:p>
            <w:pPr>
              <w:spacing w:line="360" w:lineRule="auto"/>
              <w:ind w:firstLine="480" w:firstLineChars="200"/>
              <w:rPr>
                <w:color w:val="0000FF"/>
                <w:sz w:val="24"/>
              </w:rPr>
            </w:pPr>
            <w:r>
              <w:rPr>
                <w:rFonts w:hint="eastAsia"/>
                <w:color w:val="0000FF"/>
                <w:sz w:val="24"/>
              </w:rPr>
              <w:t>（7）《建设项目环境风险评价技术导则》（HJ169-2018）</w:t>
            </w:r>
          </w:p>
          <w:p>
            <w:pPr>
              <w:spacing w:line="360" w:lineRule="auto"/>
              <w:outlineLvl w:val="2"/>
              <w:rPr>
                <w:b/>
                <w:color w:val="0000FF"/>
                <w:sz w:val="24"/>
                <w:szCs w:val="28"/>
              </w:rPr>
            </w:pPr>
            <w:r>
              <w:rPr>
                <w:rFonts w:hint="eastAsia"/>
                <w:b/>
                <w:color w:val="0000FF"/>
                <w:sz w:val="24"/>
                <w:szCs w:val="28"/>
              </w:rPr>
              <w:t>二、</w:t>
            </w:r>
            <w:r>
              <w:rPr>
                <w:b/>
                <w:color w:val="0000FF"/>
                <w:sz w:val="24"/>
                <w:szCs w:val="28"/>
              </w:rPr>
              <w:t>项目概况</w:t>
            </w:r>
          </w:p>
          <w:p>
            <w:pPr>
              <w:widowControl/>
              <w:spacing w:line="360" w:lineRule="auto"/>
              <w:ind w:firstLine="560"/>
              <w:rPr>
                <w:rFonts w:hint="eastAsia"/>
                <w:b/>
                <w:color w:val="0000FF"/>
                <w:sz w:val="24"/>
              </w:rPr>
            </w:pPr>
            <w:r>
              <w:rPr>
                <w:rFonts w:hint="eastAsia"/>
                <w:b/>
                <w:color w:val="0000FF"/>
                <w:sz w:val="24"/>
              </w:rPr>
              <w:t>1、项目概况</w:t>
            </w:r>
          </w:p>
          <w:p>
            <w:pPr>
              <w:widowControl/>
              <w:spacing w:line="360" w:lineRule="auto"/>
              <w:ind w:firstLine="560"/>
              <w:rPr>
                <w:color w:val="0000FF"/>
                <w:sz w:val="24"/>
              </w:rPr>
            </w:pPr>
            <w:r>
              <w:rPr>
                <w:color w:val="0000FF"/>
                <w:sz w:val="24"/>
              </w:rPr>
              <w:t>项目名称：</w:t>
            </w:r>
            <w:r>
              <w:rPr>
                <w:rFonts w:hint="eastAsia"/>
                <w:color w:val="0000FF"/>
                <w:sz w:val="24"/>
              </w:rPr>
              <w:t>亿信德通煤炭装箱运输项目</w:t>
            </w:r>
          </w:p>
          <w:p>
            <w:pPr>
              <w:widowControl/>
              <w:spacing w:line="360" w:lineRule="auto"/>
              <w:ind w:firstLine="560"/>
              <w:rPr>
                <w:sz w:val="24"/>
              </w:rPr>
            </w:pPr>
            <w:r>
              <w:rPr>
                <w:color w:val="0000FF"/>
                <w:sz w:val="24"/>
              </w:rPr>
              <w:t>项目性质：新建</w:t>
            </w:r>
            <w:r>
              <w:rPr>
                <w:rFonts w:hint="eastAsia"/>
                <w:sz w:val="24"/>
              </w:rPr>
              <w:t xml:space="preserve">  </w:t>
            </w:r>
          </w:p>
          <w:p>
            <w:pPr>
              <w:widowControl/>
              <w:spacing w:line="360" w:lineRule="auto"/>
              <w:ind w:firstLine="560"/>
              <w:rPr>
                <w:color w:val="0000FF"/>
                <w:sz w:val="24"/>
                <w:szCs w:val="28"/>
              </w:rPr>
            </w:pPr>
            <w:r>
              <w:rPr>
                <w:color w:val="0000FF"/>
                <w:sz w:val="24"/>
              </w:rPr>
              <w:t>占地面积：</w:t>
            </w:r>
            <w:r>
              <w:rPr>
                <w:rFonts w:hint="eastAsia"/>
                <w:color w:val="0000FF"/>
                <w:sz w:val="24"/>
              </w:rPr>
              <w:t>8000</w:t>
            </w:r>
            <w:r>
              <w:rPr>
                <w:color w:val="0000FF"/>
                <w:sz w:val="24"/>
                <w:szCs w:val="28"/>
              </w:rPr>
              <w:t>m</w:t>
            </w:r>
            <w:r>
              <w:rPr>
                <w:color w:val="0000FF"/>
                <w:sz w:val="24"/>
                <w:szCs w:val="28"/>
                <w:vertAlign w:val="superscript"/>
              </w:rPr>
              <w:t>2</w:t>
            </w:r>
          </w:p>
          <w:p>
            <w:pPr>
              <w:widowControl/>
              <w:spacing w:line="360" w:lineRule="auto"/>
              <w:ind w:firstLine="560"/>
              <w:rPr>
                <w:color w:val="0000FF"/>
                <w:sz w:val="24"/>
                <w:szCs w:val="28"/>
              </w:rPr>
            </w:pPr>
            <w:r>
              <w:rPr>
                <w:color w:val="0000FF"/>
                <w:sz w:val="24"/>
                <w:szCs w:val="28"/>
              </w:rPr>
              <w:t>建设单位：</w:t>
            </w:r>
            <w:r>
              <w:rPr>
                <w:rFonts w:hint="eastAsia"/>
                <w:color w:val="0000FF"/>
                <w:sz w:val="24"/>
                <w:szCs w:val="28"/>
              </w:rPr>
              <w:t>庆阳亿信德通货运物流有限公司</w:t>
            </w:r>
          </w:p>
          <w:p>
            <w:pPr>
              <w:widowControl/>
              <w:spacing w:line="360" w:lineRule="auto"/>
              <w:ind w:firstLine="560"/>
              <w:rPr>
                <w:color w:val="0000FF"/>
                <w:sz w:val="24"/>
                <w:szCs w:val="28"/>
              </w:rPr>
            </w:pPr>
            <w:r>
              <w:rPr>
                <w:color w:val="0000FF"/>
                <w:sz w:val="24"/>
                <w:szCs w:val="28"/>
              </w:rPr>
              <w:t>生产规模：</w:t>
            </w:r>
            <w:r>
              <w:rPr>
                <w:rFonts w:hint="eastAsia"/>
                <w:color w:val="0000FF"/>
                <w:sz w:val="24"/>
                <w:szCs w:val="28"/>
              </w:rPr>
              <w:t>一期建成后煤炭年流通量年煤炭流通量30万t。</w:t>
            </w:r>
          </w:p>
          <w:p>
            <w:pPr>
              <w:widowControl/>
              <w:spacing w:line="360" w:lineRule="auto"/>
              <w:ind w:firstLine="560"/>
              <w:rPr>
                <w:color w:val="0000FF"/>
                <w:sz w:val="24"/>
              </w:rPr>
            </w:pPr>
            <w:r>
              <w:rPr>
                <w:color w:val="0000FF"/>
                <w:sz w:val="24"/>
                <w:szCs w:val="28"/>
              </w:rPr>
              <w:t>建设周期：201</w:t>
            </w:r>
            <w:r>
              <w:rPr>
                <w:rFonts w:hint="eastAsia"/>
                <w:color w:val="0000FF"/>
                <w:sz w:val="24"/>
                <w:szCs w:val="28"/>
              </w:rPr>
              <w:t>9</w:t>
            </w:r>
            <w:r>
              <w:rPr>
                <w:color w:val="0000FF"/>
                <w:sz w:val="24"/>
                <w:szCs w:val="28"/>
              </w:rPr>
              <w:t>年</w:t>
            </w:r>
            <w:r>
              <w:rPr>
                <w:rFonts w:hint="eastAsia"/>
                <w:color w:val="0000FF"/>
                <w:sz w:val="24"/>
                <w:szCs w:val="28"/>
              </w:rPr>
              <w:t>4</w:t>
            </w:r>
            <w:r>
              <w:rPr>
                <w:color w:val="0000FF"/>
                <w:sz w:val="24"/>
                <w:szCs w:val="28"/>
              </w:rPr>
              <w:t>月到201</w:t>
            </w:r>
            <w:r>
              <w:rPr>
                <w:rFonts w:hint="eastAsia"/>
                <w:color w:val="0000FF"/>
                <w:sz w:val="24"/>
                <w:szCs w:val="28"/>
              </w:rPr>
              <w:t>9</w:t>
            </w:r>
            <w:r>
              <w:rPr>
                <w:color w:val="0000FF"/>
                <w:sz w:val="24"/>
                <w:szCs w:val="28"/>
              </w:rPr>
              <w:t>年</w:t>
            </w:r>
            <w:r>
              <w:rPr>
                <w:rFonts w:hint="eastAsia"/>
                <w:color w:val="0000FF"/>
                <w:sz w:val="24"/>
                <w:szCs w:val="28"/>
              </w:rPr>
              <w:t>6</w:t>
            </w:r>
            <w:r>
              <w:rPr>
                <w:color w:val="0000FF"/>
                <w:sz w:val="24"/>
                <w:szCs w:val="28"/>
              </w:rPr>
              <w:t>月</w:t>
            </w:r>
          </w:p>
          <w:p>
            <w:pPr>
              <w:spacing w:beforeLines="50" w:afterLines="50" w:line="360" w:lineRule="auto"/>
              <w:outlineLvl w:val="2"/>
              <w:rPr>
                <w:b/>
                <w:color w:val="0000FF"/>
                <w:sz w:val="24"/>
                <w:szCs w:val="28"/>
              </w:rPr>
            </w:pPr>
            <w:r>
              <w:rPr>
                <w:b/>
                <w:color w:val="0000FF"/>
                <w:sz w:val="24"/>
                <w:szCs w:val="28"/>
              </w:rPr>
              <w:t>2、项目建设地点</w:t>
            </w:r>
          </w:p>
          <w:p>
            <w:pPr>
              <w:spacing w:line="360" w:lineRule="auto"/>
              <w:ind w:firstLine="480" w:firstLineChars="200"/>
              <w:rPr>
                <w:color w:val="0000FF"/>
                <w:sz w:val="24"/>
                <w:szCs w:val="28"/>
              </w:rPr>
            </w:pPr>
            <w:r>
              <w:rPr>
                <w:color w:val="0000FF"/>
                <w:sz w:val="24"/>
                <w:szCs w:val="28"/>
              </w:rPr>
              <w:t>本项目建设地点位于</w:t>
            </w:r>
            <w:r>
              <w:rPr>
                <w:rFonts w:hint="eastAsia"/>
                <w:color w:val="0000FF"/>
                <w:sz w:val="24"/>
                <w:szCs w:val="28"/>
              </w:rPr>
              <w:t>甘肃省庆阳市宁县长庆桥工业园区一区</w:t>
            </w:r>
            <w:r>
              <w:rPr>
                <w:rFonts w:hint="eastAsia"/>
                <w:color w:val="0000FF"/>
                <w:sz w:val="24"/>
                <w:szCs w:val="28"/>
                <w:highlight w:val="yellow"/>
              </w:rPr>
              <w:t>庆阳亿信肥业有限责任公司</w:t>
            </w:r>
            <w:r>
              <w:rPr>
                <w:rFonts w:hint="eastAsia"/>
                <w:color w:val="0000FF"/>
                <w:sz w:val="24"/>
                <w:szCs w:val="28"/>
              </w:rPr>
              <w:t>内。</w:t>
            </w:r>
            <w:r>
              <w:rPr>
                <w:color w:val="0000FF"/>
                <w:sz w:val="24"/>
                <w:szCs w:val="28"/>
              </w:rPr>
              <w:t>地理坐标为</w:t>
            </w:r>
            <w:r>
              <w:rPr>
                <w:bCs/>
                <w:color w:val="0000FF"/>
                <w:sz w:val="24"/>
                <w:szCs w:val="28"/>
              </w:rPr>
              <w:t>北纬35°17′46″，东经107°47′23″</w:t>
            </w:r>
            <w:r>
              <w:rPr>
                <w:color w:val="0000FF"/>
                <w:sz w:val="24"/>
                <w:szCs w:val="28"/>
              </w:rPr>
              <w:t>。项目所在地东侧为</w:t>
            </w:r>
            <w:r>
              <w:rPr>
                <w:rFonts w:hint="eastAsia"/>
                <w:color w:val="0000FF"/>
                <w:sz w:val="24"/>
                <w:szCs w:val="28"/>
              </w:rPr>
              <w:t>荒地</w:t>
            </w:r>
            <w:r>
              <w:rPr>
                <w:color w:val="0000FF"/>
                <w:sz w:val="24"/>
                <w:szCs w:val="28"/>
              </w:rPr>
              <w:t>，北</w:t>
            </w:r>
            <w:r>
              <w:rPr>
                <w:rFonts w:hint="eastAsia"/>
                <w:color w:val="0000FF"/>
                <w:sz w:val="24"/>
                <w:szCs w:val="28"/>
              </w:rPr>
              <w:t>侧为亿信有机肥成品库房</w:t>
            </w:r>
            <w:r>
              <w:rPr>
                <w:color w:val="0000FF"/>
                <w:sz w:val="24"/>
                <w:szCs w:val="28"/>
              </w:rPr>
              <w:t>，西侧</w:t>
            </w:r>
            <w:r>
              <w:rPr>
                <w:rFonts w:hint="eastAsia"/>
                <w:color w:val="0000FF"/>
                <w:sz w:val="24"/>
                <w:szCs w:val="28"/>
              </w:rPr>
              <w:t>为亿信有机肥生产车间</w:t>
            </w:r>
            <w:r>
              <w:rPr>
                <w:color w:val="0000FF"/>
                <w:sz w:val="24"/>
                <w:szCs w:val="28"/>
              </w:rPr>
              <w:t>，南侧</w:t>
            </w:r>
            <w:r>
              <w:rPr>
                <w:rFonts w:hint="eastAsia"/>
                <w:color w:val="0000FF"/>
                <w:sz w:val="24"/>
                <w:szCs w:val="28"/>
              </w:rPr>
              <w:t>为空地</w:t>
            </w:r>
            <w:r>
              <w:rPr>
                <w:color w:val="0000FF"/>
                <w:sz w:val="24"/>
                <w:szCs w:val="28"/>
              </w:rPr>
              <w:t>。项目地理位置图见图1，项目四至图见图2，项目周边情况见图3。</w:t>
            </w:r>
          </w:p>
          <w:p>
            <w:pPr>
              <w:jc w:val="center"/>
              <w:rPr>
                <w:rFonts w:hint="eastAsia"/>
              </w:rPr>
            </w:pPr>
            <w:r>
              <w:rPr>
                <w:lang w:val="en-US" w:eastAsia="zh-CN"/>
              </w:rPr>
              <w:pict>
                <v:shape id="_x0000_s1107" o:spid="_x0000_s1107" o:spt="202" type="#_x0000_t202" style="position:absolute;left:0pt;margin-left:192.4pt;margin-top:127.45pt;height:24.15pt;width:76pt;z-index:251666432;mso-width-relative:margin;mso-height-relative:margin;" stroked="f" coordsize="21600,21600">
                  <v:path/>
                  <v:fill focussize="0,0"/>
                  <v:stroke on="f" joinstyle="miter"/>
                  <v:imagedata o:title=""/>
                  <o:lock v:ext="edit"/>
                  <v:textbox>
                    <w:txbxContent>
                      <w:p>
                        <w:pPr>
                          <w:rPr>
                            <w:b/>
                          </w:rPr>
                        </w:pPr>
                        <w:r>
                          <w:rPr>
                            <w:rFonts w:hint="eastAsia"/>
                            <w:b/>
                          </w:rPr>
                          <w:t>项目所在地</w:t>
                        </w:r>
                      </w:p>
                    </w:txbxContent>
                  </v:textbox>
                </v:shape>
              </w:pict>
            </w:r>
            <w:r>
              <w:rPr>
                <w:lang w:val="en-US" w:eastAsia="zh-CN"/>
              </w:rPr>
              <w:pict>
                <v:shape id="_x0000_s1106" o:spid="_x0000_s1106" o:spt="12" type="#_x0000_t12" style="position:absolute;left:0pt;margin-left:178.7pt;margin-top:132.9pt;height:13.55pt;width:13.2pt;z-index:251665408;mso-width-relative:margin;mso-height-relative:margin;" fillcolor="#FF0000" filled="t" coordsize="21600,21600">
                  <v:path/>
                  <v:fill on="t" focussize="0,0"/>
                  <v:stroke joinstyle="miter"/>
                  <v:imagedata o:title=""/>
                  <o:lock v:ext="edit"/>
                  <v:textbox style="mso-fit-shape-to-text:t;"/>
                </v:shape>
              </w:pict>
            </w:r>
            <w:r>
              <w:drawing>
                <wp:anchor distT="0" distB="0" distL="114300" distR="114300" simplePos="0" relativeHeight="251659264" behindDoc="0" locked="0" layoutInCell="1" allowOverlap="1">
                  <wp:simplePos x="0" y="0"/>
                  <wp:positionH relativeFrom="column">
                    <wp:posOffset>4361180</wp:posOffset>
                  </wp:positionH>
                  <wp:positionV relativeFrom="paragraph">
                    <wp:posOffset>144780</wp:posOffset>
                  </wp:positionV>
                  <wp:extent cx="852170" cy="835025"/>
                  <wp:effectExtent l="19050" t="0" r="5080" b="0"/>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7" cstate="print"/>
                          <a:srcRect/>
                          <a:stretch>
                            <a:fillRect/>
                          </a:stretch>
                        </pic:blipFill>
                        <pic:spPr>
                          <a:xfrm>
                            <a:off x="0" y="0"/>
                            <a:ext cx="852170" cy="835025"/>
                          </a:xfrm>
                          <a:prstGeom prst="rect">
                            <a:avLst/>
                          </a:prstGeom>
                          <a:noFill/>
                          <a:ln w="9525" cmpd="sng">
                            <a:noFill/>
                            <a:miter lim="800000"/>
                            <a:headEnd/>
                            <a:tailEnd/>
                          </a:ln>
                        </pic:spPr>
                      </pic:pic>
                    </a:graphicData>
                  </a:graphic>
                </wp:anchor>
              </w:drawing>
            </w:r>
            <w:r>
              <w:drawing>
                <wp:inline distT="0" distB="0" distL="0" distR="0">
                  <wp:extent cx="5233670" cy="3766820"/>
                  <wp:effectExtent l="1905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5233670" cy="3766820"/>
                          </a:xfrm>
                          <a:prstGeom prst="rect">
                            <a:avLst/>
                          </a:prstGeom>
                          <a:noFill/>
                          <a:ln w="9525" cmpd="sng">
                            <a:noFill/>
                            <a:miter lim="800000"/>
                            <a:headEnd/>
                            <a:tailEnd/>
                          </a:ln>
                        </pic:spPr>
                      </pic:pic>
                    </a:graphicData>
                  </a:graphic>
                </wp:inline>
              </w:drawing>
            </w:r>
          </w:p>
          <w:p>
            <w:pPr>
              <w:spacing w:line="360" w:lineRule="auto"/>
              <w:jc w:val="center"/>
              <w:rPr>
                <w:rFonts w:hint="eastAsia"/>
                <w:b/>
                <w:color w:val="0000FF"/>
                <w:sz w:val="24"/>
                <w:lang w:val="zh-CN"/>
              </w:rPr>
            </w:pPr>
            <w:r>
              <w:rPr>
                <w:b/>
                <w:color w:val="0000FF"/>
                <w:sz w:val="24"/>
                <w:lang w:val="zh-CN"/>
              </w:rPr>
              <w:t>图1  项目所在地</w:t>
            </w:r>
          </w:p>
          <w:p>
            <w:pPr>
              <w:jc w:val="center"/>
              <w:rPr>
                <w:rFonts w:hint="eastAsia"/>
                <w:lang w:val="en-US" w:eastAsia="zh-CN"/>
              </w:rPr>
            </w:pPr>
            <w:r>
              <w:drawing>
                <wp:inline distT="0" distB="0" distL="0" distR="0">
                  <wp:extent cx="5015865" cy="390334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cstate="print"/>
                          <a:srcRect/>
                          <a:stretch>
                            <a:fillRect/>
                          </a:stretch>
                        </pic:blipFill>
                        <pic:spPr>
                          <a:xfrm>
                            <a:off x="0" y="0"/>
                            <a:ext cx="5015865" cy="3903345"/>
                          </a:xfrm>
                          <a:prstGeom prst="rect">
                            <a:avLst/>
                          </a:prstGeom>
                          <a:noFill/>
                          <a:ln w="9525" cmpd="sng">
                            <a:noFill/>
                            <a:miter lim="800000"/>
                            <a:headEnd/>
                            <a:tailEnd/>
                          </a:ln>
                        </pic:spPr>
                      </pic:pic>
                    </a:graphicData>
                  </a:graphic>
                </wp:inline>
              </w:drawing>
            </w:r>
          </w:p>
          <w:p>
            <w:pPr>
              <w:jc w:val="center"/>
              <w:rPr>
                <w:rFonts w:hint="eastAsia"/>
                <w:b/>
                <w:color w:val="0000FF"/>
                <w:sz w:val="24"/>
                <w:lang w:val="zh-CN"/>
              </w:rPr>
            </w:pPr>
            <w:r>
              <w:rPr>
                <w:b/>
                <w:color w:val="0000FF"/>
                <w:sz w:val="24"/>
                <w:lang w:val="zh-CN"/>
              </w:rPr>
              <w:t>图2   项目四至图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exact"/>
              </w:trPr>
              <w:tc>
                <w:tcPr>
                  <w:tcW w:w="4294" w:type="dxa"/>
                </w:tcPr>
                <w:p>
                  <w:pPr>
                    <w:jc w:val="center"/>
                    <w:rPr>
                      <w:rFonts w:hint="eastAsia"/>
                      <w:color w:val="0000FF"/>
                      <w:lang w:val="en-US" w:eastAsia="zh-CN"/>
                    </w:rPr>
                  </w:pPr>
                  <w:r>
                    <w:rPr>
                      <w:color w:val="0000FF"/>
                    </w:rPr>
                    <w:drawing>
                      <wp:inline distT="0" distB="0" distL="0" distR="0">
                        <wp:extent cx="2484120" cy="1910715"/>
                        <wp:effectExtent l="19050" t="0" r="0" b="0"/>
                        <wp:docPr id="3" name="图片 3" descr="IMG_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178"/>
                                <pic:cNvPicPr>
                                  <a:picLocks noChangeAspect="1" noChangeArrowheads="1"/>
                                </pic:cNvPicPr>
                              </pic:nvPicPr>
                              <pic:blipFill>
                                <a:blip r:embed="rId10" cstate="print"/>
                                <a:srcRect/>
                                <a:stretch>
                                  <a:fillRect/>
                                </a:stretch>
                              </pic:blipFill>
                              <pic:spPr>
                                <a:xfrm>
                                  <a:off x="0" y="0"/>
                                  <a:ext cx="2484120" cy="1910715"/>
                                </a:xfrm>
                                <a:prstGeom prst="rect">
                                  <a:avLst/>
                                </a:prstGeom>
                                <a:noFill/>
                                <a:ln w="9525" cmpd="sng">
                                  <a:noFill/>
                                  <a:miter lim="800000"/>
                                  <a:headEnd/>
                                  <a:tailEnd/>
                                </a:ln>
                              </pic:spPr>
                            </pic:pic>
                          </a:graphicData>
                        </a:graphic>
                      </wp:inline>
                    </w:drawing>
                  </w:r>
                </w:p>
                <w:p>
                  <w:pPr>
                    <w:jc w:val="center"/>
                    <w:rPr>
                      <w:b/>
                      <w:color w:val="0000FF"/>
                    </w:rPr>
                  </w:pPr>
                  <w:r>
                    <w:rPr>
                      <w:b/>
                      <w:color w:val="0000FF"/>
                    </w:rPr>
                    <w:t>东面：</w:t>
                  </w:r>
                  <w:r>
                    <w:rPr>
                      <w:rFonts w:hint="eastAsia"/>
                      <w:b/>
                      <w:color w:val="0000FF"/>
                    </w:rPr>
                    <w:t>荒地</w:t>
                  </w:r>
                </w:p>
              </w:tc>
              <w:tc>
                <w:tcPr>
                  <w:tcW w:w="4185" w:type="dxa"/>
                </w:tcPr>
                <w:p>
                  <w:pPr>
                    <w:jc w:val="center"/>
                    <w:rPr>
                      <w:color w:val="0000FF"/>
                      <w:lang w:val="en-US" w:eastAsia="zh-CN"/>
                    </w:rPr>
                  </w:pPr>
                  <w:r>
                    <w:rPr>
                      <w:color w:val="0000FF"/>
                    </w:rPr>
                    <w:drawing>
                      <wp:inline distT="0" distB="0" distL="0" distR="0">
                        <wp:extent cx="2360930" cy="1931035"/>
                        <wp:effectExtent l="19050" t="0" r="1270" b="0"/>
                        <wp:docPr id="4" name="图片 4" descr="IMG_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212"/>
                                <pic:cNvPicPr>
                                  <a:picLocks noChangeAspect="1" noChangeArrowheads="1"/>
                                </pic:cNvPicPr>
                              </pic:nvPicPr>
                              <pic:blipFill>
                                <a:blip r:embed="rId11" cstate="print"/>
                                <a:srcRect/>
                                <a:stretch>
                                  <a:fillRect/>
                                </a:stretch>
                              </pic:blipFill>
                              <pic:spPr>
                                <a:xfrm>
                                  <a:off x="0" y="0"/>
                                  <a:ext cx="2360930" cy="1931035"/>
                                </a:xfrm>
                                <a:prstGeom prst="rect">
                                  <a:avLst/>
                                </a:prstGeom>
                                <a:noFill/>
                                <a:ln w="9525" cmpd="sng">
                                  <a:noFill/>
                                  <a:miter lim="800000"/>
                                  <a:headEnd/>
                                  <a:tailEnd/>
                                </a:ln>
                              </pic:spPr>
                            </pic:pic>
                          </a:graphicData>
                        </a:graphic>
                      </wp:inline>
                    </w:drawing>
                  </w:r>
                </w:p>
                <w:p>
                  <w:pPr>
                    <w:jc w:val="center"/>
                    <w:rPr>
                      <w:b/>
                      <w:color w:val="0000FF"/>
                    </w:rPr>
                  </w:pPr>
                  <w:r>
                    <w:rPr>
                      <w:rFonts w:hint="eastAsia"/>
                      <w:b/>
                      <w:color w:val="0000FF"/>
                    </w:rPr>
                    <w:t>西面</w:t>
                  </w:r>
                  <w:r>
                    <w:rPr>
                      <w:b/>
                      <w:color w:val="0000FF"/>
                    </w:rPr>
                    <w:t>：</w:t>
                  </w:r>
                  <w:r>
                    <w:rPr>
                      <w:rFonts w:hint="eastAsia"/>
                      <w:b/>
                      <w:color w:val="0000FF"/>
                    </w:rPr>
                    <w:t>有机肥生产车间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exact"/>
              </w:trPr>
              <w:tc>
                <w:tcPr>
                  <w:tcW w:w="4294" w:type="dxa"/>
                </w:tcPr>
                <w:p>
                  <w:pPr>
                    <w:jc w:val="center"/>
                    <w:rPr>
                      <w:rFonts w:hint="eastAsia"/>
                      <w:color w:val="0000FF"/>
                      <w:lang w:val="en-US" w:eastAsia="zh-CN"/>
                    </w:rPr>
                  </w:pPr>
                  <w:r>
                    <w:rPr>
                      <w:color w:val="0000FF"/>
                    </w:rPr>
                    <w:drawing>
                      <wp:inline distT="0" distB="0" distL="0" distR="0">
                        <wp:extent cx="2477135" cy="18764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srcRect/>
                                <a:stretch>
                                  <a:fillRect/>
                                </a:stretch>
                              </pic:blipFill>
                              <pic:spPr>
                                <a:xfrm>
                                  <a:off x="0" y="0"/>
                                  <a:ext cx="2477135" cy="1876425"/>
                                </a:xfrm>
                                <a:prstGeom prst="rect">
                                  <a:avLst/>
                                </a:prstGeom>
                                <a:noFill/>
                                <a:ln w="9525" cmpd="sng">
                                  <a:noFill/>
                                  <a:miter lim="800000"/>
                                  <a:headEnd/>
                                  <a:tailEnd/>
                                </a:ln>
                              </pic:spPr>
                            </pic:pic>
                          </a:graphicData>
                        </a:graphic>
                      </wp:inline>
                    </w:drawing>
                  </w:r>
                </w:p>
                <w:p>
                  <w:pPr>
                    <w:jc w:val="center"/>
                    <w:rPr>
                      <w:b/>
                      <w:color w:val="0000FF"/>
                    </w:rPr>
                  </w:pPr>
                  <w:r>
                    <w:rPr>
                      <w:rFonts w:hint="eastAsia"/>
                      <w:b/>
                      <w:color w:val="0000FF"/>
                    </w:rPr>
                    <w:t>南面</w:t>
                  </w:r>
                  <w:r>
                    <w:rPr>
                      <w:b/>
                      <w:color w:val="0000FF"/>
                    </w:rPr>
                    <w:t>：</w:t>
                  </w:r>
                  <w:r>
                    <w:rPr>
                      <w:rFonts w:hint="eastAsia"/>
                      <w:b/>
                      <w:color w:val="0000FF"/>
                    </w:rPr>
                    <w:t>空地</w:t>
                  </w:r>
                </w:p>
              </w:tc>
              <w:tc>
                <w:tcPr>
                  <w:tcW w:w="4185" w:type="dxa"/>
                </w:tcPr>
                <w:p>
                  <w:pPr>
                    <w:jc w:val="center"/>
                    <w:rPr>
                      <w:color w:val="0000FF"/>
                    </w:rPr>
                  </w:pPr>
                  <w:r>
                    <w:rPr>
                      <w:b/>
                      <w:color w:val="0000FF"/>
                    </w:rPr>
                    <w:drawing>
                      <wp:inline distT="0" distB="0" distL="0" distR="0">
                        <wp:extent cx="2429510" cy="1856105"/>
                        <wp:effectExtent l="19050" t="0" r="8890" b="0"/>
                        <wp:docPr id="6" name="图片 6"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185"/>
                                <pic:cNvPicPr>
                                  <a:picLocks noChangeAspect="1" noChangeArrowheads="1"/>
                                </pic:cNvPicPr>
                              </pic:nvPicPr>
                              <pic:blipFill>
                                <a:blip r:embed="rId13" cstate="print"/>
                                <a:srcRect/>
                                <a:stretch>
                                  <a:fillRect/>
                                </a:stretch>
                              </pic:blipFill>
                              <pic:spPr>
                                <a:xfrm>
                                  <a:off x="0" y="0"/>
                                  <a:ext cx="2429510" cy="1856105"/>
                                </a:xfrm>
                                <a:prstGeom prst="rect">
                                  <a:avLst/>
                                </a:prstGeom>
                                <a:noFill/>
                                <a:ln w="9525" cmpd="sng">
                                  <a:noFill/>
                                  <a:miter lim="800000"/>
                                  <a:headEnd/>
                                  <a:tailEnd/>
                                </a:ln>
                              </pic:spPr>
                            </pic:pic>
                          </a:graphicData>
                        </a:graphic>
                      </wp:inline>
                    </w:drawing>
                  </w:r>
                  <w:r>
                    <w:rPr>
                      <w:b/>
                      <w:color w:val="0000FF"/>
                    </w:rPr>
                    <w:t>北面：</w:t>
                  </w:r>
                  <w:r>
                    <w:rPr>
                      <w:rFonts w:hint="eastAsia"/>
                      <w:b/>
                      <w:color w:val="0000FF"/>
                    </w:rPr>
                    <w:t>成品库房</w:t>
                  </w:r>
                </w:p>
              </w:tc>
            </w:tr>
          </w:tbl>
          <w:p>
            <w:pPr>
              <w:spacing w:line="360" w:lineRule="auto"/>
              <w:jc w:val="center"/>
              <w:rPr>
                <w:b/>
                <w:color w:val="0000FF"/>
                <w:sz w:val="24"/>
                <w:lang w:val="zh-CN"/>
              </w:rPr>
            </w:pPr>
            <w:r>
              <w:rPr>
                <w:b/>
                <w:color w:val="0000FF"/>
                <w:sz w:val="24"/>
                <w:lang w:val="zh-CN"/>
              </w:rPr>
              <w:t>图3  项目周边情况</w:t>
            </w:r>
          </w:p>
          <w:p>
            <w:pPr>
              <w:spacing w:beforeLines="50" w:line="360" w:lineRule="auto"/>
              <w:outlineLvl w:val="2"/>
              <w:rPr>
                <w:b/>
                <w:color w:val="0000FF"/>
                <w:sz w:val="24"/>
                <w:szCs w:val="28"/>
              </w:rPr>
            </w:pPr>
            <w:r>
              <w:rPr>
                <w:rFonts w:hint="eastAsia"/>
                <w:b/>
                <w:color w:val="0000FF"/>
                <w:sz w:val="24"/>
                <w:szCs w:val="28"/>
              </w:rPr>
              <w:t>3</w:t>
            </w:r>
            <w:r>
              <w:rPr>
                <w:b/>
                <w:color w:val="0000FF"/>
                <w:sz w:val="24"/>
                <w:szCs w:val="28"/>
              </w:rPr>
              <w:t>、工程总投资</w:t>
            </w:r>
          </w:p>
          <w:p>
            <w:pPr>
              <w:spacing w:line="360" w:lineRule="auto"/>
              <w:ind w:firstLine="480" w:firstLineChars="200"/>
              <w:rPr>
                <w:color w:val="0000FF"/>
                <w:sz w:val="24"/>
                <w:szCs w:val="28"/>
                <w:lang w:val="zh-CN"/>
              </w:rPr>
            </w:pPr>
            <w:r>
              <w:rPr>
                <w:color w:val="0000FF"/>
                <w:sz w:val="24"/>
                <w:szCs w:val="28"/>
                <w:lang w:val="zh-CN"/>
              </w:rPr>
              <w:t>该项目总投资</w:t>
            </w:r>
            <w:r>
              <w:rPr>
                <w:rFonts w:hint="eastAsia"/>
                <w:color w:val="0000FF"/>
                <w:sz w:val="24"/>
                <w:szCs w:val="28"/>
              </w:rPr>
              <w:t>200万</w:t>
            </w:r>
            <w:r>
              <w:rPr>
                <w:color w:val="0000FF"/>
                <w:sz w:val="24"/>
                <w:szCs w:val="28"/>
                <w:lang w:val="zh-CN"/>
              </w:rPr>
              <w:t>元，资金来源为自筹，其中环保投资</w:t>
            </w:r>
            <w:r>
              <w:rPr>
                <w:rFonts w:hint="eastAsia"/>
                <w:color w:val="0000FF"/>
                <w:sz w:val="24"/>
                <w:szCs w:val="28"/>
              </w:rPr>
              <w:t>44.9</w:t>
            </w:r>
            <w:r>
              <w:rPr>
                <w:color w:val="0000FF"/>
                <w:sz w:val="24"/>
                <w:szCs w:val="28"/>
                <w:lang w:val="zh-CN"/>
              </w:rPr>
              <w:t>万元，环保投资占总投资比例</w:t>
            </w:r>
            <w:r>
              <w:rPr>
                <w:rFonts w:hint="eastAsia"/>
                <w:color w:val="0000FF"/>
                <w:sz w:val="24"/>
                <w:szCs w:val="28"/>
              </w:rPr>
              <w:t>22.5</w:t>
            </w:r>
            <w:r>
              <w:rPr>
                <w:color w:val="0000FF"/>
                <w:sz w:val="24"/>
                <w:szCs w:val="28"/>
                <w:lang w:val="zh-CN"/>
              </w:rPr>
              <w:t>%。</w:t>
            </w:r>
          </w:p>
          <w:p>
            <w:pPr>
              <w:spacing w:beforeLines="50" w:afterLines="50" w:line="360" w:lineRule="auto"/>
              <w:outlineLvl w:val="2"/>
              <w:rPr>
                <w:b/>
                <w:color w:val="0000FF"/>
                <w:sz w:val="24"/>
                <w:szCs w:val="28"/>
              </w:rPr>
            </w:pPr>
            <w:r>
              <w:rPr>
                <w:rFonts w:hint="eastAsia"/>
                <w:b/>
                <w:color w:val="0000FF"/>
                <w:sz w:val="24"/>
                <w:szCs w:val="28"/>
              </w:rPr>
              <w:t>4</w:t>
            </w:r>
            <w:r>
              <w:rPr>
                <w:b/>
                <w:color w:val="0000FF"/>
                <w:sz w:val="24"/>
                <w:szCs w:val="28"/>
              </w:rPr>
              <w:t>、工程组成及总平面布置图</w:t>
            </w:r>
          </w:p>
          <w:p>
            <w:pPr>
              <w:spacing w:line="360" w:lineRule="auto"/>
              <w:ind w:firstLine="480" w:firstLineChars="200"/>
              <w:rPr>
                <w:rFonts w:hint="eastAsia"/>
                <w:color w:val="0000FF"/>
                <w:sz w:val="24"/>
                <w:szCs w:val="28"/>
              </w:rPr>
            </w:pPr>
            <w:r>
              <w:rPr>
                <w:color w:val="0000FF"/>
                <w:sz w:val="24"/>
              </w:rPr>
              <w:t>项目建设内容主要由主体工程（</w:t>
            </w:r>
            <w:r>
              <w:rPr>
                <w:rFonts w:hint="eastAsia"/>
                <w:color w:val="0000FF"/>
                <w:sz w:val="24"/>
              </w:rPr>
              <w:t>储煤库</w:t>
            </w:r>
            <w:r>
              <w:rPr>
                <w:color w:val="0000FF"/>
                <w:sz w:val="24"/>
              </w:rPr>
              <w:t>），</w:t>
            </w:r>
            <w:r>
              <w:rPr>
                <w:rFonts w:hint="eastAsia"/>
                <w:color w:val="0000FF"/>
                <w:sz w:val="24"/>
              </w:rPr>
              <w:t>依托</w:t>
            </w:r>
            <w:r>
              <w:rPr>
                <w:color w:val="0000FF"/>
                <w:sz w:val="24"/>
              </w:rPr>
              <w:t>工程（</w:t>
            </w:r>
            <w:r>
              <w:rPr>
                <w:rFonts w:hint="eastAsia"/>
                <w:color w:val="0000FF"/>
                <w:sz w:val="24"/>
              </w:rPr>
              <w:t>办公室、宿舍、食堂</w:t>
            </w:r>
            <w:r>
              <w:rPr>
                <w:color w:val="0000FF"/>
                <w:sz w:val="24"/>
              </w:rPr>
              <w:t>），公用工程（给排水、供电、</w:t>
            </w:r>
            <w:r>
              <w:rPr>
                <w:rFonts w:hint="eastAsia"/>
                <w:color w:val="0000FF"/>
                <w:sz w:val="24"/>
              </w:rPr>
              <w:t>供暖</w:t>
            </w:r>
            <w:r>
              <w:rPr>
                <w:color w:val="0000FF"/>
                <w:sz w:val="24"/>
              </w:rPr>
              <w:t>），环保工程（噪声防治、</w:t>
            </w:r>
            <w:r>
              <w:rPr>
                <w:rFonts w:hint="eastAsia"/>
                <w:color w:val="0000FF"/>
                <w:sz w:val="24"/>
              </w:rPr>
              <w:t>废水防治、</w:t>
            </w:r>
            <w:r>
              <w:rPr>
                <w:color w:val="0000FF"/>
                <w:sz w:val="24"/>
              </w:rPr>
              <w:t>废气防治、固废处置）等部分组成。项目主要建设内容见表1。</w:t>
            </w:r>
          </w:p>
          <w:p>
            <w:pPr>
              <w:spacing w:line="360" w:lineRule="auto"/>
              <w:ind w:firstLine="480" w:firstLineChars="200"/>
              <w:rPr>
                <w:rFonts w:hint="eastAsia"/>
                <w:color w:val="0000FF"/>
                <w:sz w:val="24"/>
                <w:szCs w:val="28"/>
                <w:lang w:val="zh-CN"/>
              </w:rPr>
            </w:pPr>
            <w:r>
              <w:rPr>
                <w:color w:val="0000FF"/>
                <w:sz w:val="24"/>
                <w:szCs w:val="28"/>
                <w:lang w:val="zh-CN"/>
              </w:rPr>
              <w:t>项目占地</w:t>
            </w:r>
            <w:r>
              <w:rPr>
                <w:rFonts w:hint="eastAsia"/>
                <w:color w:val="0000FF"/>
                <w:sz w:val="24"/>
                <w:szCs w:val="28"/>
                <w:lang w:val="zh-CN"/>
              </w:rPr>
              <w:t>8000</w:t>
            </w:r>
            <w:r>
              <w:rPr>
                <w:color w:val="0000FF"/>
                <w:sz w:val="24"/>
                <w:szCs w:val="28"/>
                <w:lang w:val="zh-CN"/>
              </w:rPr>
              <w:t>m</w:t>
            </w:r>
            <w:r>
              <w:rPr>
                <w:color w:val="0000FF"/>
                <w:sz w:val="24"/>
                <w:szCs w:val="28"/>
                <w:vertAlign w:val="superscript"/>
                <w:lang w:val="zh-CN"/>
              </w:rPr>
              <w:t>2</w:t>
            </w:r>
            <w:r>
              <w:rPr>
                <w:color w:val="0000FF"/>
                <w:sz w:val="24"/>
                <w:szCs w:val="28"/>
                <w:lang w:val="zh-CN"/>
              </w:rPr>
              <w:t>，总建筑面积约</w:t>
            </w:r>
            <w:r>
              <w:rPr>
                <w:rFonts w:hint="eastAsia"/>
                <w:color w:val="0000FF"/>
                <w:sz w:val="24"/>
                <w:szCs w:val="28"/>
                <w:lang w:val="zh-CN"/>
              </w:rPr>
              <w:t>7300</w:t>
            </w:r>
            <w:r>
              <w:rPr>
                <w:color w:val="0000FF"/>
                <w:sz w:val="24"/>
                <w:szCs w:val="28"/>
                <w:lang w:val="zh-CN"/>
              </w:rPr>
              <w:t>m</w:t>
            </w:r>
            <w:r>
              <w:rPr>
                <w:color w:val="0000FF"/>
                <w:sz w:val="24"/>
                <w:szCs w:val="28"/>
                <w:vertAlign w:val="superscript"/>
                <w:lang w:val="zh-CN"/>
              </w:rPr>
              <w:t>2</w:t>
            </w:r>
            <w:r>
              <w:rPr>
                <w:color w:val="0000FF"/>
                <w:sz w:val="24"/>
                <w:szCs w:val="28"/>
                <w:lang w:val="zh-CN"/>
              </w:rPr>
              <w:t>，主要建设包括</w:t>
            </w:r>
            <w:r>
              <w:rPr>
                <w:rFonts w:hint="eastAsia"/>
                <w:color w:val="0000FF"/>
                <w:sz w:val="24"/>
                <w:szCs w:val="28"/>
                <w:lang w:val="zh-CN"/>
              </w:rPr>
              <w:t>储煤库</w:t>
            </w:r>
            <w:r>
              <w:rPr>
                <w:color w:val="0000FF"/>
                <w:sz w:val="24"/>
                <w:szCs w:val="28"/>
                <w:lang w:val="zh-CN"/>
              </w:rPr>
              <w:t>。其总平面图见</w:t>
            </w:r>
            <w:r>
              <w:rPr>
                <w:rFonts w:hint="eastAsia"/>
                <w:color w:val="0000FF"/>
                <w:sz w:val="24"/>
                <w:szCs w:val="28"/>
                <w:highlight w:val="yellow"/>
                <w:lang w:val="zh-CN"/>
              </w:rPr>
              <w:t>附图</w:t>
            </w:r>
            <w:r>
              <w:rPr>
                <w:color w:val="0000FF"/>
                <w:sz w:val="24"/>
                <w:szCs w:val="28"/>
                <w:lang w:val="zh-CN"/>
              </w:rPr>
              <w:t>。</w:t>
            </w:r>
          </w:p>
          <w:p>
            <w:pPr>
              <w:widowControl/>
              <w:ind w:firstLine="600" w:firstLineChars="250"/>
              <w:jc w:val="center"/>
              <w:rPr>
                <w:b/>
                <w:color w:val="0000FF"/>
                <w:sz w:val="24"/>
              </w:rPr>
            </w:pPr>
            <w:r>
              <w:rPr>
                <w:b/>
                <w:color w:val="0000FF"/>
                <w:sz w:val="24"/>
              </w:rPr>
              <w:t>表1   建设项目组成一览表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6"/>
              <w:gridCol w:w="1137"/>
              <w:gridCol w:w="5246"/>
              <w:gridCol w:w="1224"/>
            </w:tblGrid>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tcBorders>
                    <w:top w:val="single" w:color="auto" w:sz="18" w:space="0"/>
                    <w:bottom w:val="single" w:color="auto" w:sz="8" w:space="0"/>
                  </w:tcBorders>
                  <w:vAlign w:val="center"/>
                </w:tcPr>
                <w:p>
                  <w:pPr>
                    <w:adjustRightInd w:val="0"/>
                    <w:snapToGrid w:val="0"/>
                    <w:jc w:val="center"/>
                    <w:rPr>
                      <w:color w:val="0000FF"/>
                      <w:szCs w:val="21"/>
                    </w:rPr>
                  </w:pPr>
                  <w:r>
                    <w:rPr>
                      <w:color w:val="0000FF"/>
                      <w:szCs w:val="21"/>
                    </w:rPr>
                    <w:t>工程</w:t>
                  </w:r>
                </w:p>
                <w:p>
                  <w:pPr>
                    <w:adjustRightInd w:val="0"/>
                    <w:snapToGrid w:val="0"/>
                    <w:jc w:val="center"/>
                    <w:rPr>
                      <w:color w:val="0000FF"/>
                      <w:szCs w:val="21"/>
                    </w:rPr>
                  </w:pPr>
                  <w:r>
                    <w:rPr>
                      <w:color w:val="0000FF"/>
                      <w:szCs w:val="21"/>
                    </w:rPr>
                    <w:t>类别</w:t>
                  </w:r>
                </w:p>
              </w:tc>
              <w:tc>
                <w:tcPr>
                  <w:tcW w:w="1137" w:type="dxa"/>
                  <w:tcBorders>
                    <w:top w:val="single" w:color="auto" w:sz="18" w:space="0"/>
                    <w:bottom w:val="single" w:color="auto" w:sz="8" w:space="0"/>
                  </w:tcBorders>
                  <w:vAlign w:val="center"/>
                </w:tcPr>
                <w:p>
                  <w:pPr>
                    <w:adjustRightInd w:val="0"/>
                    <w:snapToGrid w:val="0"/>
                    <w:jc w:val="center"/>
                    <w:rPr>
                      <w:color w:val="0000FF"/>
                      <w:szCs w:val="21"/>
                    </w:rPr>
                  </w:pPr>
                  <w:r>
                    <w:rPr>
                      <w:color w:val="0000FF"/>
                      <w:szCs w:val="21"/>
                    </w:rPr>
                    <w:t>单项工程名称</w:t>
                  </w:r>
                </w:p>
              </w:tc>
              <w:tc>
                <w:tcPr>
                  <w:tcW w:w="5246" w:type="dxa"/>
                  <w:tcBorders>
                    <w:top w:val="single" w:color="auto" w:sz="18" w:space="0"/>
                    <w:bottom w:val="single" w:color="auto" w:sz="8" w:space="0"/>
                  </w:tcBorders>
                  <w:vAlign w:val="center"/>
                </w:tcPr>
                <w:p>
                  <w:pPr>
                    <w:adjustRightInd w:val="0"/>
                    <w:snapToGrid w:val="0"/>
                    <w:jc w:val="center"/>
                    <w:rPr>
                      <w:color w:val="0000FF"/>
                      <w:szCs w:val="21"/>
                    </w:rPr>
                  </w:pPr>
                  <w:r>
                    <w:rPr>
                      <w:color w:val="0000FF"/>
                      <w:szCs w:val="21"/>
                    </w:rPr>
                    <w:t>工程内容</w:t>
                  </w:r>
                </w:p>
              </w:tc>
              <w:tc>
                <w:tcPr>
                  <w:tcW w:w="1224" w:type="dxa"/>
                  <w:tcBorders>
                    <w:top w:val="single" w:color="auto" w:sz="18" w:space="0"/>
                    <w:bottom w:val="single" w:color="auto" w:sz="8" w:space="0"/>
                  </w:tcBorders>
                  <w:vAlign w:val="center"/>
                </w:tcPr>
                <w:p>
                  <w:pPr>
                    <w:adjustRightInd w:val="0"/>
                    <w:snapToGrid w:val="0"/>
                    <w:jc w:val="center"/>
                    <w:rPr>
                      <w:color w:val="0000FF"/>
                      <w:szCs w:val="21"/>
                    </w:rPr>
                  </w:pPr>
                  <w:r>
                    <w:rPr>
                      <w:rFonts w:hint="eastAsia"/>
                      <w:color w:val="0000FF"/>
                      <w:szCs w:val="21"/>
                    </w:rPr>
                    <w:t>备注</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restart"/>
                  <w:tcBorders>
                    <w:top w:val="single" w:color="auto" w:sz="8" w:space="0"/>
                  </w:tcBorders>
                  <w:vAlign w:val="center"/>
                </w:tcPr>
                <w:p>
                  <w:pPr>
                    <w:adjustRightInd w:val="0"/>
                    <w:snapToGrid w:val="0"/>
                    <w:jc w:val="center"/>
                    <w:rPr>
                      <w:color w:val="0000FF"/>
                      <w:szCs w:val="21"/>
                    </w:rPr>
                  </w:pPr>
                  <w:r>
                    <w:rPr>
                      <w:color w:val="0000FF"/>
                      <w:szCs w:val="21"/>
                    </w:rPr>
                    <w:t>主体</w:t>
                  </w:r>
                </w:p>
                <w:p>
                  <w:pPr>
                    <w:adjustRightInd w:val="0"/>
                    <w:snapToGrid w:val="0"/>
                    <w:jc w:val="center"/>
                    <w:rPr>
                      <w:color w:val="0000FF"/>
                      <w:szCs w:val="21"/>
                    </w:rPr>
                  </w:pPr>
                  <w:r>
                    <w:rPr>
                      <w:color w:val="0000FF"/>
                      <w:szCs w:val="21"/>
                    </w:rPr>
                    <w:t>工程</w:t>
                  </w:r>
                </w:p>
              </w:tc>
              <w:tc>
                <w:tcPr>
                  <w:tcW w:w="1137" w:type="dxa"/>
                  <w:vMerge w:val="restart"/>
                  <w:tcBorders>
                    <w:top w:val="single" w:color="auto" w:sz="8" w:space="0"/>
                  </w:tcBorders>
                  <w:vAlign w:val="center"/>
                </w:tcPr>
                <w:p>
                  <w:pPr>
                    <w:adjustRightInd w:val="0"/>
                    <w:snapToGrid w:val="0"/>
                    <w:jc w:val="center"/>
                    <w:rPr>
                      <w:color w:val="0000FF"/>
                      <w:szCs w:val="21"/>
                    </w:rPr>
                  </w:pPr>
                  <w:r>
                    <w:rPr>
                      <w:rFonts w:hint="eastAsia"/>
                      <w:snapToGrid w:val="0"/>
                      <w:color w:val="0000FF"/>
                      <w:szCs w:val="21"/>
                    </w:rPr>
                    <w:t>储煤库</w:t>
                  </w:r>
                </w:p>
              </w:tc>
              <w:tc>
                <w:tcPr>
                  <w:tcW w:w="5246" w:type="dxa"/>
                  <w:tcBorders>
                    <w:top w:val="single" w:color="auto" w:sz="8" w:space="0"/>
                  </w:tcBorders>
                  <w:vAlign w:val="center"/>
                </w:tcPr>
                <w:p>
                  <w:pPr>
                    <w:adjustRightInd w:val="0"/>
                    <w:snapToGrid w:val="0"/>
                    <w:jc w:val="left"/>
                    <w:rPr>
                      <w:color w:val="0000FF"/>
                      <w:szCs w:val="21"/>
                    </w:rPr>
                  </w:pPr>
                  <w:r>
                    <w:rPr>
                      <w:rFonts w:hint="eastAsia"/>
                      <w:color w:val="0000FF"/>
                      <w:kern w:val="0"/>
                      <w:szCs w:val="21"/>
                    </w:rPr>
                    <w:t>项目利用庆阳亿信肥业有限责任公司1跨厂房建设1座单层钢结构储煤库，占地面积3300m</w:t>
                  </w:r>
                  <w:r>
                    <w:rPr>
                      <w:rFonts w:hint="eastAsia"/>
                      <w:color w:val="0000FF"/>
                      <w:kern w:val="0"/>
                      <w:szCs w:val="21"/>
                      <w:vertAlign w:val="superscript"/>
                    </w:rPr>
                    <w:t>2</w:t>
                  </w:r>
                  <w:r>
                    <w:rPr>
                      <w:rFonts w:hint="eastAsia"/>
                      <w:color w:val="0000FF"/>
                      <w:kern w:val="0"/>
                      <w:szCs w:val="21"/>
                    </w:rPr>
                    <w:t>，储煤库为封闭厂房，建有通风口和车辆出入口。主要用于煤炭筛分和储存。</w:t>
                  </w:r>
                </w:p>
              </w:tc>
              <w:tc>
                <w:tcPr>
                  <w:tcW w:w="1224" w:type="dxa"/>
                  <w:tcBorders>
                    <w:top w:val="single" w:color="auto" w:sz="8" w:space="0"/>
                  </w:tcBorders>
                  <w:vAlign w:val="center"/>
                </w:tcPr>
                <w:p>
                  <w:pPr>
                    <w:adjustRightInd w:val="0"/>
                    <w:snapToGrid w:val="0"/>
                    <w:jc w:val="center"/>
                    <w:rPr>
                      <w:rFonts w:hint="eastAsia"/>
                      <w:color w:val="0000FF"/>
                      <w:szCs w:val="21"/>
                    </w:rPr>
                  </w:pPr>
                  <w:r>
                    <w:rPr>
                      <w:rFonts w:hint="eastAsia"/>
                      <w:color w:val="0000FF"/>
                      <w:szCs w:val="21"/>
                    </w:rPr>
                    <w:t>现有，防渗</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706" w:type="dxa"/>
                  <w:vMerge w:val="continue"/>
                  <w:vAlign w:val="center"/>
                </w:tcPr>
                <w:p>
                  <w:pPr>
                    <w:adjustRightInd w:val="0"/>
                    <w:snapToGrid w:val="0"/>
                    <w:jc w:val="center"/>
                    <w:rPr>
                      <w:color w:val="0000FF"/>
                      <w:szCs w:val="21"/>
                    </w:rPr>
                  </w:pPr>
                </w:p>
              </w:tc>
              <w:tc>
                <w:tcPr>
                  <w:tcW w:w="1137" w:type="dxa"/>
                  <w:vMerge w:val="continue"/>
                  <w:vAlign w:val="center"/>
                </w:tcPr>
                <w:p>
                  <w:pPr>
                    <w:adjustRightInd w:val="0"/>
                    <w:snapToGrid w:val="0"/>
                    <w:jc w:val="center"/>
                    <w:rPr>
                      <w:snapToGrid w:val="0"/>
                      <w:color w:val="0000FF"/>
                      <w:szCs w:val="21"/>
                    </w:rPr>
                  </w:pPr>
                </w:p>
              </w:tc>
              <w:tc>
                <w:tcPr>
                  <w:tcW w:w="5246" w:type="dxa"/>
                  <w:vAlign w:val="center"/>
                </w:tcPr>
                <w:p>
                  <w:pPr>
                    <w:autoSpaceDE w:val="0"/>
                    <w:autoSpaceDN w:val="0"/>
                    <w:adjustRightInd w:val="0"/>
                    <w:jc w:val="left"/>
                    <w:rPr>
                      <w:color w:val="0000FF"/>
                      <w:kern w:val="0"/>
                      <w:szCs w:val="21"/>
                    </w:rPr>
                  </w:pPr>
                  <w:r>
                    <w:rPr>
                      <w:rFonts w:hint="eastAsia"/>
                      <w:color w:val="0000FF"/>
                      <w:kern w:val="0"/>
                      <w:szCs w:val="21"/>
                    </w:rPr>
                    <w:t>利用庆阳亿信肥业有限责任公司预留用地新建1座单层钢结构储煤库，占地面积4000m</w:t>
                  </w:r>
                  <w:r>
                    <w:rPr>
                      <w:rFonts w:hint="eastAsia"/>
                      <w:color w:val="0000FF"/>
                      <w:kern w:val="0"/>
                      <w:szCs w:val="21"/>
                      <w:vertAlign w:val="superscript"/>
                    </w:rPr>
                    <w:t>2</w:t>
                  </w:r>
                  <w:r>
                    <w:rPr>
                      <w:rFonts w:hint="eastAsia"/>
                      <w:color w:val="0000FF"/>
                      <w:kern w:val="0"/>
                      <w:szCs w:val="21"/>
                    </w:rPr>
                    <w:t>，储煤库为封闭厂房，建有通风口和车辆出入口留有车辆出入口。主要用于煤炭筛分和储存。</w:t>
                  </w:r>
                </w:p>
              </w:tc>
              <w:tc>
                <w:tcPr>
                  <w:tcW w:w="1224" w:type="dxa"/>
                  <w:vAlign w:val="center"/>
                </w:tcPr>
                <w:p>
                  <w:pPr>
                    <w:autoSpaceDE w:val="0"/>
                    <w:autoSpaceDN w:val="0"/>
                    <w:adjustRightInd w:val="0"/>
                    <w:jc w:val="center"/>
                    <w:rPr>
                      <w:rFonts w:hint="eastAsia"/>
                      <w:color w:val="0000FF"/>
                      <w:kern w:val="0"/>
                      <w:szCs w:val="21"/>
                    </w:rPr>
                  </w:pPr>
                  <w:r>
                    <w:rPr>
                      <w:rFonts w:hint="eastAsia"/>
                      <w:color w:val="0000FF"/>
                      <w:kern w:val="0"/>
                      <w:szCs w:val="21"/>
                    </w:rPr>
                    <w:t>新建，防渗</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5" w:hRule="atLeast"/>
                <w:jc w:val="center"/>
              </w:trPr>
              <w:tc>
                <w:tcPr>
                  <w:tcW w:w="706" w:type="dxa"/>
                  <w:vMerge w:val="restart"/>
                  <w:tcBorders>
                    <w:top w:val="single" w:color="auto" w:sz="4" w:space="0"/>
                  </w:tcBorders>
                  <w:vAlign w:val="center"/>
                </w:tcPr>
                <w:p>
                  <w:pPr>
                    <w:adjustRightInd w:val="0"/>
                    <w:snapToGrid w:val="0"/>
                    <w:jc w:val="center"/>
                    <w:rPr>
                      <w:color w:val="0000FF"/>
                      <w:szCs w:val="21"/>
                    </w:rPr>
                  </w:pPr>
                  <w:r>
                    <w:rPr>
                      <w:rFonts w:hint="eastAsia"/>
                      <w:color w:val="0000FF"/>
                      <w:szCs w:val="21"/>
                    </w:rPr>
                    <w:t>依托工程</w:t>
                  </w:r>
                </w:p>
              </w:tc>
              <w:tc>
                <w:tcPr>
                  <w:tcW w:w="1137" w:type="dxa"/>
                  <w:vAlign w:val="center"/>
                </w:tcPr>
                <w:p>
                  <w:pPr>
                    <w:adjustRightInd w:val="0"/>
                    <w:snapToGrid w:val="0"/>
                    <w:jc w:val="center"/>
                    <w:rPr>
                      <w:snapToGrid w:val="0"/>
                      <w:color w:val="0000FF"/>
                      <w:szCs w:val="21"/>
                    </w:rPr>
                  </w:pPr>
                  <w:r>
                    <w:rPr>
                      <w:rFonts w:hint="eastAsia"/>
                      <w:snapToGrid w:val="0"/>
                      <w:color w:val="0000FF"/>
                      <w:szCs w:val="21"/>
                    </w:rPr>
                    <w:t>办公室</w:t>
                  </w:r>
                </w:p>
              </w:tc>
              <w:tc>
                <w:tcPr>
                  <w:tcW w:w="5246" w:type="dxa"/>
                  <w:vAlign w:val="center"/>
                </w:tcPr>
                <w:p>
                  <w:pPr>
                    <w:adjustRightInd w:val="0"/>
                    <w:snapToGrid w:val="0"/>
                    <w:jc w:val="left"/>
                    <w:rPr>
                      <w:color w:val="0000FF"/>
                      <w:szCs w:val="21"/>
                    </w:rPr>
                  </w:pPr>
                  <w:r>
                    <w:rPr>
                      <w:rFonts w:hint="eastAsia"/>
                      <w:color w:val="0000FF"/>
                      <w:szCs w:val="21"/>
                    </w:rPr>
                    <w:t>项目依托庆阳亿信肥业有限责任公司1栋三层办公楼进行办公。</w:t>
                  </w:r>
                </w:p>
              </w:tc>
              <w:tc>
                <w:tcPr>
                  <w:tcW w:w="1224" w:type="dxa"/>
                  <w:vAlign w:val="center"/>
                </w:tcPr>
                <w:p>
                  <w:pPr>
                    <w:adjustRightInd w:val="0"/>
                    <w:snapToGrid w:val="0"/>
                    <w:jc w:val="center"/>
                    <w:rPr>
                      <w:rFonts w:hint="eastAsia"/>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5" w:hRule="atLeast"/>
                <w:jc w:val="center"/>
              </w:trPr>
              <w:tc>
                <w:tcPr>
                  <w:tcW w:w="706" w:type="dxa"/>
                  <w:vMerge w:val="continue"/>
                  <w:tcBorders>
                    <w:top w:val="single" w:color="auto" w:sz="4" w:space="0"/>
                  </w:tcBorders>
                  <w:vAlign w:val="center"/>
                </w:tcPr>
                <w:p>
                  <w:pPr>
                    <w:adjustRightInd w:val="0"/>
                    <w:snapToGrid w:val="0"/>
                    <w:jc w:val="center"/>
                    <w:rPr>
                      <w:rFonts w:hint="eastAsia"/>
                      <w:color w:val="0000FF"/>
                      <w:szCs w:val="21"/>
                    </w:rPr>
                  </w:pPr>
                </w:p>
              </w:tc>
              <w:tc>
                <w:tcPr>
                  <w:tcW w:w="1137" w:type="dxa"/>
                  <w:vAlign w:val="center"/>
                </w:tcPr>
                <w:p>
                  <w:pPr>
                    <w:adjustRightInd w:val="0"/>
                    <w:snapToGrid w:val="0"/>
                    <w:jc w:val="center"/>
                    <w:rPr>
                      <w:rFonts w:hint="eastAsia"/>
                      <w:snapToGrid w:val="0"/>
                      <w:color w:val="0000FF"/>
                      <w:szCs w:val="21"/>
                    </w:rPr>
                  </w:pPr>
                  <w:r>
                    <w:rPr>
                      <w:rFonts w:hint="eastAsia"/>
                      <w:snapToGrid w:val="0"/>
                      <w:color w:val="0000FF"/>
                      <w:szCs w:val="21"/>
                    </w:rPr>
                    <w:t>宿舍</w:t>
                  </w:r>
                </w:p>
              </w:tc>
              <w:tc>
                <w:tcPr>
                  <w:tcW w:w="5246" w:type="dxa"/>
                  <w:vAlign w:val="center"/>
                </w:tcPr>
                <w:p>
                  <w:pPr>
                    <w:adjustRightInd w:val="0"/>
                    <w:snapToGrid w:val="0"/>
                    <w:jc w:val="left"/>
                    <w:rPr>
                      <w:rFonts w:hint="eastAsia"/>
                      <w:color w:val="0000FF"/>
                      <w:szCs w:val="21"/>
                    </w:rPr>
                  </w:pPr>
                  <w:r>
                    <w:rPr>
                      <w:rFonts w:hint="eastAsia"/>
                      <w:color w:val="0000FF"/>
                      <w:szCs w:val="21"/>
                    </w:rPr>
                    <w:t>项目员工依托庆阳亿信肥业有限责任公司1栋三层员工宿舍住宿。</w:t>
                  </w:r>
                </w:p>
              </w:tc>
              <w:tc>
                <w:tcPr>
                  <w:tcW w:w="1224" w:type="dxa"/>
                  <w:vAlign w:val="center"/>
                </w:tcPr>
                <w:p>
                  <w:pPr>
                    <w:adjustRightInd w:val="0"/>
                    <w:snapToGrid w:val="0"/>
                    <w:jc w:val="center"/>
                    <w:rPr>
                      <w:rFonts w:hint="eastAsia"/>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1" w:hRule="atLeast"/>
                <w:jc w:val="center"/>
              </w:trPr>
              <w:tc>
                <w:tcPr>
                  <w:tcW w:w="706" w:type="dxa"/>
                  <w:vMerge w:val="continue"/>
                  <w:vAlign w:val="center"/>
                </w:tcPr>
                <w:p>
                  <w:pPr>
                    <w:adjustRightInd w:val="0"/>
                    <w:snapToGrid w:val="0"/>
                    <w:jc w:val="center"/>
                    <w:rPr>
                      <w:color w:val="0000FF"/>
                      <w:szCs w:val="21"/>
                    </w:rPr>
                  </w:pPr>
                </w:p>
              </w:tc>
              <w:tc>
                <w:tcPr>
                  <w:tcW w:w="1137" w:type="dxa"/>
                  <w:vAlign w:val="center"/>
                </w:tcPr>
                <w:p>
                  <w:pPr>
                    <w:adjustRightInd w:val="0"/>
                    <w:snapToGrid w:val="0"/>
                    <w:jc w:val="center"/>
                    <w:rPr>
                      <w:snapToGrid w:val="0"/>
                      <w:color w:val="0000FF"/>
                      <w:szCs w:val="21"/>
                    </w:rPr>
                  </w:pPr>
                  <w:r>
                    <w:rPr>
                      <w:rFonts w:hint="eastAsia"/>
                      <w:snapToGrid w:val="0"/>
                      <w:color w:val="0000FF"/>
                      <w:szCs w:val="21"/>
                    </w:rPr>
                    <w:t>食堂</w:t>
                  </w:r>
                </w:p>
              </w:tc>
              <w:tc>
                <w:tcPr>
                  <w:tcW w:w="5246" w:type="dxa"/>
                  <w:vAlign w:val="center"/>
                </w:tcPr>
                <w:p>
                  <w:pPr>
                    <w:adjustRightInd w:val="0"/>
                    <w:snapToGrid w:val="0"/>
                    <w:jc w:val="left"/>
                    <w:rPr>
                      <w:color w:val="0000FF"/>
                      <w:szCs w:val="21"/>
                    </w:rPr>
                  </w:pPr>
                  <w:r>
                    <w:rPr>
                      <w:rFonts w:hint="eastAsia"/>
                      <w:color w:val="0000FF"/>
                      <w:kern w:val="0"/>
                      <w:szCs w:val="21"/>
                    </w:rPr>
                    <w:t>项目依托1座</w:t>
                  </w:r>
                  <w:r>
                    <w:rPr>
                      <w:rFonts w:hint="eastAsia"/>
                      <w:color w:val="0000FF"/>
                      <w:szCs w:val="21"/>
                    </w:rPr>
                    <w:t>庆阳亿信肥业有限责任公司食堂</w:t>
                  </w:r>
                </w:p>
              </w:tc>
              <w:tc>
                <w:tcPr>
                  <w:tcW w:w="1224" w:type="dxa"/>
                  <w:vAlign w:val="center"/>
                </w:tcPr>
                <w:p>
                  <w:pPr>
                    <w:adjustRightInd w:val="0"/>
                    <w:snapToGrid w:val="0"/>
                    <w:jc w:val="center"/>
                    <w:rPr>
                      <w:rFonts w:hint="eastAsia"/>
                      <w:color w:val="0000FF"/>
                      <w:kern w:val="0"/>
                      <w:szCs w:val="21"/>
                    </w:rPr>
                  </w:pPr>
                  <w:r>
                    <w:rPr>
                      <w:rFonts w:hint="eastAsia"/>
                      <w:color w:val="0000FF"/>
                      <w:kern w:val="0"/>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restart"/>
                  <w:vAlign w:val="center"/>
                </w:tcPr>
                <w:p>
                  <w:pPr>
                    <w:adjustRightInd w:val="0"/>
                    <w:snapToGrid w:val="0"/>
                    <w:jc w:val="center"/>
                    <w:rPr>
                      <w:color w:val="0000FF"/>
                      <w:szCs w:val="21"/>
                    </w:rPr>
                  </w:pPr>
                  <w:r>
                    <w:rPr>
                      <w:color w:val="0000FF"/>
                      <w:szCs w:val="21"/>
                    </w:rPr>
                    <w:t>公用</w:t>
                  </w:r>
                </w:p>
                <w:p>
                  <w:pPr>
                    <w:adjustRightInd w:val="0"/>
                    <w:snapToGrid w:val="0"/>
                    <w:jc w:val="center"/>
                    <w:rPr>
                      <w:color w:val="0000FF"/>
                      <w:szCs w:val="21"/>
                    </w:rPr>
                  </w:pPr>
                  <w:r>
                    <w:rPr>
                      <w:color w:val="0000FF"/>
                      <w:szCs w:val="21"/>
                    </w:rPr>
                    <w:t>工程</w:t>
                  </w:r>
                </w:p>
              </w:tc>
              <w:tc>
                <w:tcPr>
                  <w:tcW w:w="1137" w:type="dxa"/>
                  <w:vAlign w:val="center"/>
                </w:tcPr>
                <w:p>
                  <w:pPr>
                    <w:adjustRightInd w:val="0"/>
                    <w:snapToGrid w:val="0"/>
                    <w:jc w:val="center"/>
                    <w:rPr>
                      <w:color w:val="0000FF"/>
                      <w:szCs w:val="21"/>
                    </w:rPr>
                  </w:pPr>
                  <w:r>
                    <w:rPr>
                      <w:color w:val="0000FF"/>
                      <w:szCs w:val="21"/>
                    </w:rPr>
                    <w:t>供水</w:t>
                  </w:r>
                </w:p>
              </w:tc>
              <w:tc>
                <w:tcPr>
                  <w:tcW w:w="5246" w:type="dxa"/>
                  <w:vAlign w:val="center"/>
                </w:tcPr>
                <w:p>
                  <w:pPr>
                    <w:autoSpaceDE w:val="0"/>
                    <w:autoSpaceDN w:val="0"/>
                    <w:adjustRightInd w:val="0"/>
                    <w:jc w:val="left"/>
                    <w:rPr>
                      <w:color w:val="0000FF"/>
                      <w:kern w:val="0"/>
                      <w:szCs w:val="21"/>
                    </w:rPr>
                  </w:pPr>
                  <w:r>
                    <w:rPr>
                      <w:rFonts w:hint="eastAsia" w:ascii="宋体" w:cs="宋体"/>
                      <w:color w:val="0000FF"/>
                      <w:kern w:val="0"/>
                      <w:szCs w:val="21"/>
                    </w:rPr>
                    <w:t>由项目厂区现有自来水管网供给</w:t>
                  </w:r>
                </w:p>
              </w:tc>
              <w:tc>
                <w:tcPr>
                  <w:tcW w:w="1224" w:type="dxa"/>
                  <w:vAlign w:val="center"/>
                </w:tcPr>
                <w:p>
                  <w:pPr>
                    <w:autoSpaceDE w:val="0"/>
                    <w:autoSpaceDN w:val="0"/>
                    <w:adjustRightInd w:val="0"/>
                    <w:jc w:val="center"/>
                    <w:rPr>
                      <w:rFonts w:hint="eastAsia" w:ascii="宋体" w:cs="宋体"/>
                      <w:color w:val="0000FF"/>
                      <w:kern w:val="0"/>
                      <w:szCs w:val="21"/>
                    </w:rPr>
                  </w:pPr>
                  <w:r>
                    <w:rPr>
                      <w:rFonts w:hint="eastAsia" w:ascii="宋体" w:cs="宋体"/>
                      <w:color w:val="0000FF"/>
                      <w:kern w:val="0"/>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continue"/>
                  <w:vAlign w:val="center"/>
                </w:tcPr>
                <w:p>
                  <w:pPr>
                    <w:adjustRightInd w:val="0"/>
                    <w:snapToGrid w:val="0"/>
                    <w:jc w:val="center"/>
                    <w:rPr>
                      <w:szCs w:val="21"/>
                    </w:rPr>
                  </w:pPr>
                </w:p>
              </w:tc>
              <w:tc>
                <w:tcPr>
                  <w:tcW w:w="1137" w:type="dxa"/>
                  <w:vAlign w:val="center"/>
                </w:tcPr>
                <w:p>
                  <w:pPr>
                    <w:adjustRightInd w:val="0"/>
                    <w:snapToGrid w:val="0"/>
                    <w:jc w:val="center"/>
                    <w:rPr>
                      <w:color w:val="0000FF"/>
                      <w:szCs w:val="21"/>
                    </w:rPr>
                  </w:pPr>
                  <w:r>
                    <w:rPr>
                      <w:color w:val="0000FF"/>
                      <w:szCs w:val="21"/>
                    </w:rPr>
                    <w:t>排水</w:t>
                  </w:r>
                </w:p>
              </w:tc>
              <w:tc>
                <w:tcPr>
                  <w:tcW w:w="5246" w:type="dxa"/>
                  <w:vAlign w:val="center"/>
                </w:tcPr>
                <w:p>
                  <w:pPr>
                    <w:autoSpaceDE w:val="0"/>
                    <w:autoSpaceDN w:val="0"/>
                    <w:adjustRightInd w:val="0"/>
                    <w:jc w:val="left"/>
                    <w:rPr>
                      <w:rFonts w:hint="eastAsia"/>
                      <w:color w:val="0000FF"/>
                      <w:szCs w:val="21"/>
                    </w:rPr>
                  </w:pPr>
                  <w:r>
                    <w:rPr>
                      <w:color w:val="0000FF"/>
                      <w:szCs w:val="21"/>
                    </w:rPr>
                    <w:t>排水系统采用本项目实施“雨污分流”制，</w:t>
                  </w:r>
                  <w:r>
                    <w:rPr>
                      <w:rFonts w:hint="eastAsia"/>
                      <w:color w:val="0000FF"/>
                      <w:szCs w:val="21"/>
                    </w:rPr>
                    <w:t>雨水依托厂区雨水管网进行排放。</w:t>
                  </w:r>
                </w:p>
                <w:p>
                  <w:pPr>
                    <w:autoSpaceDE w:val="0"/>
                    <w:autoSpaceDN w:val="0"/>
                    <w:adjustRightInd w:val="0"/>
                    <w:jc w:val="left"/>
                    <w:rPr>
                      <w:color w:val="0000FF"/>
                      <w:kern w:val="0"/>
                      <w:szCs w:val="21"/>
                    </w:rPr>
                  </w:pPr>
                  <w:r>
                    <w:rPr>
                      <w:rFonts w:hint="eastAsia"/>
                      <w:color w:val="0000FF"/>
                      <w:kern w:val="0"/>
                      <w:szCs w:val="21"/>
                    </w:rPr>
                    <w:t>生活废水依托厂区化粪池进行处理。</w:t>
                  </w:r>
                </w:p>
              </w:tc>
              <w:tc>
                <w:tcPr>
                  <w:tcW w:w="1224" w:type="dxa"/>
                  <w:vAlign w:val="center"/>
                </w:tcPr>
                <w:p>
                  <w:pPr>
                    <w:autoSpaceDE w:val="0"/>
                    <w:autoSpaceDN w:val="0"/>
                    <w:adjustRightInd w:val="0"/>
                    <w:jc w:val="center"/>
                    <w:rPr>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continue"/>
                  <w:vAlign w:val="center"/>
                </w:tcPr>
                <w:p>
                  <w:pPr>
                    <w:adjustRightInd w:val="0"/>
                    <w:snapToGrid w:val="0"/>
                    <w:jc w:val="center"/>
                    <w:rPr>
                      <w:szCs w:val="21"/>
                    </w:rPr>
                  </w:pPr>
                </w:p>
              </w:tc>
              <w:tc>
                <w:tcPr>
                  <w:tcW w:w="1137" w:type="dxa"/>
                  <w:vAlign w:val="center"/>
                </w:tcPr>
                <w:p>
                  <w:pPr>
                    <w:adjustRightInd w:val="0"/>
                    <w:snapToGrid w:val="0"/>
                    <w:jc w:val="center"/>
                    <w:rPr>
                      <w:color w:val="0000FF"/>
                      <w:szCs w:val="21"/>
                    </w:rPr>
                  </w:pPr>
                  <w:r>
                    <w:rPr>
                      <w:color w:val="0000FF"/>
                      <w:szCs w:val="21"/>
                    </w:rPr>
                    <w:t>供电</w:t>
                  </w:r>
                </w:p>
              </w:tc>
              <w:tc>
                <w:tcPr>
                  <w:tcW w:w="5246" w:type="dxa"/>
                  <w:vAlign w:val="center"/>
                </w:tcPr>
                <w:p>
                  <w:pPr>
                    <w:adjustRightInd w:val="0"/>
                    <w:snapToGrid w:val="0"/>
                    <w:jc w:val="center"/>
                    <w:rPr>
                      <w:color w:val="0000FF"/>
                      <w:szCs w:val="21"/>
                    </w:rPr>
                  </w:pPr>
                  <w:r>
                    <w:rPr>
                      <w:rFonts w:hint="eastAsia"/>
                      <w:color w:val="0000FF"/>
                      <w:szCs w:val="21"/>
                    </w:rPr>
                    <w:t>由厂区供电管网引入</w:t>
                  </w:r>
                </w:p>
              </w:tc>
              <w:tc>
                <w:tcPr>
                  <w:tcW w:w="1224" w:type="dxa"/>
                  <w:vAlign w:val="center"/>
                </w:tcPr>
                <w:p>
                  <w:pPr>
                    <w:adjustRightInd w:val="0"/>
                    <w:snapToGrid w:val="0"/>
                    <w:jc w:val="center"/>
                    <w:rPr>
                      <w:rFonts w:hint="eastAsia"/>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continue"/>
                  <w:tcBorders>
                    <w:bottom w:val="single" w:color="auto" w:sz="4" w:space="0"/>
                  </w:tcBorders>
                  <w:vAlign w:val="center"/>
                </w:tcPr>
                <w:p>
                  <w:pPr>
                    <w:adjustRightInd w:val="0"/>
                    <w:snapToGrid w:val="0"/>
                    <w:jc w:val="center"/>
                    <w:rPr>
                      <w:color w:val="0000FF"/>
                      <w:szCs w:val="21"/>
                    </w:rPr>
                  </w:pPr>
                </w:p>
              </w:tc>
              <w:tc>
                <w:tcPr>
                  <w:tcW w:w="1137" w:type="dxa"/>
                  <w:vAlign w:val="center"/>
                </w:tcPr>
                <w:p>
                  <w:pPr>
                    <w:adjustRightInd w:val="0"/>
                    <w:snapToGrid w:val="0"/>
                    <w:jc w:val="center"/>
                    <w:rPr>
                      <w:color w:val="0000FF"/>
                      <w:szCs w:val="21"/>
                    </w:rPr>
                  </w:pPr>
                  <w:r>
                    <w:rPr>
                      <w:color w:val="0000FF"/>
                      <w:szCs w:val="21"/>
                    </w:rPr>
                    <w:t>供暖</w:t>
                  </w:r>
                </w:p>
              </w:tc>
              <w:tc>
                <w:tcPr>
                  <w:tcW w:w="5246" w:type="dxa"/>
                  <w:vAlign w:val="center"/>
                </w:tcPr>
                <w:p>
                  <w:pPr>
                    <w:adjustRightInd w:val="0"/>
                    <w:snapToGrid w:val="0"/>
                    <w:jc w:val="left"/>
                    <w:rPr>
                      <w:color w:val="0000FF"/>
                      <w:szCs w:val="21"/>
                    </w:rPr>
                  </w:pPr>
                  <w:r>
                    <w:rPr>
                      <w:rFonts w:hint="eastAsia"/>
                      <w:color w:val="0000FF"/>
                      <w:szCs w:val="21"/>
                    </w:rPr>
                    <w:t>项目生产不需供热，冬季生活采暖依托厂区现有空调进行取暖</w:t>
                  </w:r>
                </w:p>
              </w:tc>
              <w:tc>
                <w:tcPr>
                  <w:tcW w:w="1224" w:type="dxa"/>
                  <w:vAlign w:val="center"/>
                </w:tcPr>
                <w:p>
                  <w:pPr>
                    <w:adjustRightInd w:val="0"/>
                    <w:snapToGrid w:val="0"/>
                    <w:jc w:val="center"/>
                    <w:rPr>
                      <w:rFonts w:hint="eastAsia"/>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restart"/>
                  <w:tcBorders>
                    <w:top w:val="single" w:color="auto" w:sz="4" w:space="0"/>
                  </w:tcBorders>
                  <w:vAlign w:val="center"/>
                </w:tcPr>
                <w:p>
                  <w:pPr>
                    <w:adjustRightInd w:val="0"/>
                    <w:snapToGrid w:val="0"/>
                    <w:jc w:val="center"/>
                    <w:rPr>
                      <w:color w:val="0000FF"/>
                      <w:szCs w:val="21"/>
                    </w:rPr>
                  </w:pPr>
                  <w:r>
                    <w:rPr>
                      <w:color w:val="0000FF"/>
                      <w:szCs w:val="21"/>
                    </w:rPr>
                    <w:t>环保工程</w:t>
                  </w:r>
                </w:p>
              </w:tc>
              <w:tc>
                <w:tcPr>
                  <w:tcW w:w="1137" w:type="dxa"/>
                  <w:vAlign w:val="center"/>
                </w:tcPr>
                <w:p>
                  <w:pPr>
                    <w:adjustRightInd w:val="0"/>
                    <w:snapToGrid w:val="0"/>
                    <w:jc w:val="center"/>
                    <w:rPr>
                      <w:snapToGrid w:val="0"/>
                      <w:color w:val="0000FF"/>
                      <w:szCs w:val="21"/>
                    </w:rPr>
                  </w:pPr>
                  <w:r>
                    <w:rPr>
                      <w:snapToGrid w:val="0"/>
                      <w:color w:val="0000FF"/>
                      <w:szCs w:val="21"/>
                    </w:rPr>
                    <w:t>废气治理</w:t>
                  </w:r>
                </w:p>
              </w:tc>
              <w:tc>
                <w:tcPr>
                  <w:tcW w:w="5246" w:type="dxa"/>
                  <w:vAlign w:val="center"/>
                </w:tcPr>
                <w:p>
                  <w:pPr>
                    <w:adjustRightInd w:val="0"/>
                    <w:snapToGrid w:val="0"/>
                    <w:jc w:val="left"/>
                    <w:rPr>
                      <w:snapToGrid w:val="0"/>
                      <w:color w:val="0000FF"/>
                      <w:szCs w:val="21"/>
                    </w:rPr>
                  </w:pPr>
                  <w:r>
                    <w:rPr>
                      <w:rFonts w:hint="eastAsia"/>
                      <w:snapToGrid w:val="0"/>
                      <w:color w:val="0000FF"/>
                      <w:szCs w:val="21"/>
                    </w:rPr>
                    <w:t>项目煤炭储存采取封闭仓库储存，并设篷布覆盖，定期洒水抑尘；筛分区全封闭，设备全封闭并留设吸尘口，设一套吸尘管道+布袋除尘设备；项目厂区设一台洒水车用于车辆装卸以及操作区洒水抑尘，设置洗车平台，项目区加设防风抑尘网</w:t>
                  </w:r>
                </w:p>
              </w:tc>
              <w:tc>
                <w:tcPr>
                  <w:tcW w:w="1224" w:type="dxa"/>
                  <w:vAlign w:val="center"/>
                </w:tcPr>
                <w:p>
                  <w:pPr>
                    <w:adjustRightInd w:val="0"/>
                    <w:snapToGrid w:val="0"/>
                    <w:jc w:val="center"/>
                    <w:rPr>
                      <w:rFonts w:hint="eastAsia"/>
                      <w:snapToGrid w:val="0"/>
                      <w:color w:val="0000FF"/>
                      <w:szCs w:val="21"/>
                    </w:rPr>
                  </w:pPr>
                  <w:r>
                    <w:rPr>
                      <w:rFonts w:hint="eastAsia"/>
                      <w:snapToGrid w:val="0"/>
                      <w:color w:val="0000FF"/>
                      <w:szCs w:val="21"/>
                    </w:rPr>
                    <w:t>新建</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continue"/>
                  <w:tcBorders>
                    <w:top w:val="single" w:color="auto" w:sz="4" w:space="0"/>
                  </w:tcBorders>
                  <w:vAlign w:val="center"/>
                </w:tcPr>
                <w:p>
                  <w:pPr>
                    <w:adjustRightInd w:val="0"/>
                    <w:snapToGrid w:val="0"/>
                    <w:jc w:val="center"/>
                    <w:rPr>
                      <w:szCs w:val="21"/>
                    </w:rPr>
                  </w:pPr>
                </w:p>
              </w:tc>
              <w:tc>
                <w:tcPr>
                  <w:tcW w:w="1137" w:type="dxa"/>
                  <w:vAlign w:val="center"/>
                </w:tcPr>
                <w:p>
                  <w:pPr>
                    <w:adjustRightInd w:val="0"/>
                    <w:snapToGrid w:val="0"/>
                    <w:jc w:val="center"/>
                    <w:rPr>
                      <w:snapToGrid w:val="0"/>
                      <w:color w:val="0000FF"/>
                      <w:szCs w:val="21"/>
                    </w:rPr>
                  </w:pPr>
                  <w:r>
                    <w:rPr>
                      <w:color w:val="0000FF"/>
                      <w:szCs w:val="21"/>
                    </w:rPr>
                    <w:t>噪声防治</w:t>
                  </w:r>
                </w:p>
              </w:tc>
              <w:tc>
                <w:tcPr>
                  <w:tcW w:w="5246" w:type="dxa"/>
                  <w:vAlign w:val="center"/>
                </w:tcPr>
                <w:p>
                  <w:pPr>
                    <w:adjustRightInd w:val="0"/>
                    <w:snapToGrid w:val="0"/>
                    <w:jc w:val="center"/>
                    <w:rPr>
                      <w:snapToGrid w:val="0"/>
                      <w:color w:val="0000FF"/>
                      <w:szCs w:val="21"/>
                      <w:highlight w:val="yellow"/>
                    </w:rPr>
                  </w:pPr>
                  <w:r>
                    <w:rPr>
                      <w:rFonts w:hint="eastAsia"/>
                      <w:snapToGrid w:val="0"/>
                      <w:color w:val="0000FF"/>
                      <w:szCs w:val="21"/>
                    </w:rPr>
                    <w:t>隔声、</w:t>
                  </w:r>
                  <w:r>
                    <w:rPr>
                      <w:snapToGrid w:val="0"/>
                      <w:color w:val="0000FF"/>
                      <w:szCs w:val="21"/>
                    </w:rPr>
                    <w:t>减震降噪</w:t>
                  </w:r>
                </w:p>
              </w:tc>
              <w:tc>
                <w:tcPr>
                  <w:tcW w:w="1224" w:type="dxa"/>
                  <w:vAlign w:val="center"/>
                </w:tcPr>
                <w:p>
                  <w:pPr>
                    <w:adjustRightInd w:val="0"/>
                    <w:snapToGrid w:val="0"/>
                    <w:jc w:val="center"/>
                    <w:rPr>
                      <w:snapToGrid w:val="0"/>
                      <w:color w:val="0000FF"/>
                      <w:szCs w:val="21"/>
                    </w:rPr>
                  </w:pPr>
                  <w:r>
                    <w:rPr>
                      <w:rFonts w:hint="eastAsia"/>
                      <w:snapToGrid w:val="0"/>
                      <w:color w:val="0000FF"/>
                      <w:szCs w:val="21"/>
                    </w:rPr>
                    <w:t>新建</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706" w:type="dxa"/>
                  <w:vMerge w:val="continue"/>
                  <w:vAlign w:val="center"/>
                </w:tcPr>
                <w:p>
                  <w:pPr>
                    <w:adjustRightInd w:val="0"/>
                    <w:snapToGrid w:val="0"/>
                    <w:jc w:val="center"/>
                    <w:rPr>
                      <w:szCs w:val="21"/>
                    </w:rPr>
                  </w:pPr>
                </w:p>
              </w:tc>
              <w:tc>
                <w:tcPr>
                  <w:tcW w:w="1137" w:type="dxa"/>
                  <w:vAlign w:val="center"/>
                </w:tcPr>
                <w:p>
                  <w:pPr>
                    <w:adjustRightInd w:val="0"/>
                    <w:snapToGrid w:val="0"/>
                    <w:jc w:val="center"/>
                    <w:rPr>
                      <w:color w:val="0000FF"/>
                      <w:szCs w:val="21"/>
                    </w:rPr>
                  </w:pPr>
                  <w:r>
                    <w:rPr>
                      <w:color w:val="0000FF"/>
                      <w:szCs w:val="21"/>
                    </w:rPr>
                    <w:t>废水防治</w:t>
                  </w:r>
                </w:p>
              </w:tc>
              <w:tc>
                <w:tcPr>
                  <w:tcW w:w="5246" w:type="dxa"/>
                  <w:vAlign w:val="center"/>
                </w:tcPr>
                <w:p>
                  <w:pPr>
                    <w:adjustRightInd w:val="0"/>
                    <w:snapToGrid w:val="0"/>
                    <w:jc w:val="left"/>
                    <w:rPr>
                      <w:snapToGrid w:val="0"/>
                      <w:color w:val="0000FF"/>
                      <w:szCs w:val="21"/>
                      <w:highlight w:val="yellow"/>
                    </w:rPr>
                  </w:pPr>
                  <w:r>
                    <w:rPr>
                      <w:rFonts w:hint="eastAsia"/>
                      <w:color w:val="0000FF"/>
                      <w:szCs w:val="21"/>
                    </w:rPr>
                    <w:t>员工生活废水依托厂区现有化粪池处理后，由亿信肥业有限公司统一运至宁县污水处理站进行处理</w:t>
                  </w:r>
                </w:p>
              </w:tc>
              <w:tc>
                <w:tcPr>
                  <w:tcW w:w="1224" w:type="dxa"/>
                  <w:vAlign w:val="center"/>
                </w:tcPr>
                <w:p>
                  <w:pPr>
                    <w:adjustRightInd w:val="0"/>
                    <w:snapToGrid w:val="0"/>
                    <w:jc w:val="center"/>
                    <w:rPr>
                      <w:rFonts w:hint="eastAsia"/>
                      <w:color w:val="0000FF"/>
                      <w:szCs w:val="21"/>
                    </w:rPr>
                  </w:pPr>
                  <w:r>
                    <w:rPr>
                      <w:rFonts w:hint="eastAsia"/>
                      <w:color w:val="0000FF"/>
                      <w:szCs w:val="21"/>
                    </w:rPr>
                    <w:t>依托</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706" w:type="dxa"/>
                  <w:vMerge w:val="continue"/>
                  <w:tcBorders>
                    <w:bottom w:val="single" w:color="auto" w:sz="18" w:space="0"/>
                  </w:tcBorders>
                  <w:vAlign w:val="center"/>
                </w:tcPr>
                <w:p>
                  <w:pPr>
                    <w:adjustRightInd w:val="0"/>
                    <w:snapToGrid w:val="0"/>
                    <w:jc w:val="center"/>
                    <w:rPr>
                      <w:szCs w:val="21"/>
                    </w:rPr>
                  </w:pPr>
                </w:p>
              </w:tc>
              <w:tc>
                <w:tcPr>
                  <w:tcW w:w="1137" w:type="dxa"/>
                  <w:tcBorders>
                    <w:bottom w:val="single" w:color="auto" w:sz="18" w:space="0"/>
                  </w:tcBorders>
                  <w:vAlign w:val="center"/>
                </w:tcPr>
                <w:p>
                  <w:pPr>
                    <w:adjustRightInd w:val="0"/>
                    <w:snapToGrid w:val="0"/>
                    <w:jc w:val="center"/>
                    <w:rPr>
                      <w:color w:val="0000FF"/>
                      <w:szCs w:val="21"/>
                    </w:rPr>
                  </w:pPr>
                  <w:r>
                    <w:rPr>
                      <w:color w:val="0000FF"/>
                      <w:szCs w:val="21"/>
                    </w:rPr>
                    <w:t>固废处置</w:t>
                  </w:r>
                </w:p>
              </w:tc>
              <w:tc>
                <w:tcPr>
                  <w:tcW w:w="5246" w:type="dxa"/>
                  <w:tcBorders>
                    <w:bottom w:val="single" w:color="auto" w:sz="18" w:space="0"/>
                  </w:tcBorders>
                  <w:vAlign w:val="center"/>
                </w:tcPr>
                <w:p>
                  <w:pPr>
                    <w:adjustRightInd w:val="0"/>
                    <w:snapToGrid w:val="0"/>
                    <w:jc w:val="center"/>
                    <w:rPr>
                      <w:color w:val="0000FF"/>
                      <w:szCs w:val="21"/>
                      <w:highlight w:val="yellow"/>
                    </w:rPr>
                  </w:pPr>
                  <w:r>
                    <w:rPr>
                      <w:color w:val="0000FF"/>
                      <w:szCs w:val="21"/>
                    </w:rPr>
                    <w:t>生活垃圾</w:t>
                  </w:r>
                  <w:r>
                    <w:rPr>
                      <w:rFonts w:hint="eastAsia"/>
                      <w:color w:val="0000FF"/>
                      <w:szCs w:val="21"/>
                    </w:rPr>
                    <w:t>利用亿信肥业有限公司现有</w:t>
                  </w:r>
                  <w:r>
                    <w:rPr>
                      <w:color w:val="0000FF"/>
                      <w:szCs w:val="21"/>
                    </w:rPr>
                    <w:t>垃圾桶收集后由环卫部门统一清运</w:t>
                  </w:r>
                </w:p>
              </w:tc>
              <w:tc>
                <w:tcPr>
                  <w:tcW w:w="1224" w:type="dxa"/>
                  <w:tcBorders>
                    <w:bottom w:val="single" w:color="auto" w:sz="18" w:space="0"/>
                  </w:tcBorders>
                  <w:vAlign w:val="center"/>
                </w:tcPr>
                <w:p>
                  <w:pPr>
                    <w:adjustRightInd w:val="0"/>
                    <w:snapToGrid w:val="0"/>
                    <w:jc w:val="center"/>
                    <w:rPr>
                      <w:color w:val="0000FF"/>
                      <w:szCs w:val="21"/>
                    </w:rPr>
                  </w:pPr>
                  <w:r>
                    <w:rPr>
                      <w:rFonts w:hint="eastAsia"/>
                      <w:color w:val="0000FF"/>
                      <w:szCs w:val="21"/>
                    </w:rPr>
                    <w:t>依托</w:t>
                  </w:r>
                </w:p>
              </w:tc>
            </w:tr>
          </w:tbl>
          <w:p>
            <w:pPr>
              <w:spacing w:beforeLines="50" w:afterLines="50" w:line="360" w:lineRule="auto"/>
              <w:outlineLvl w:val="2"/>
              <w:rPr>
                <w:b/>
                <w:color w:val="0000FF"/>
                <w:sz w:val="24"/>
                <w:szCs w:val="28"/>
              </w:rPr>
            </w:pPr>
            <w:r>
              <w:rPr>
                <w:rFonts w:hint="eastAsia"/>
                <w:b/>
                <w:color w:val="0000FF"/>
                <w:sz w:val="24"/>
                <w:szCs w:val="28"/>
              </w:rPr>
              <w:t>5</w:t>
            </w:r>
            <w:r>
              <w:rPr>
                <w:b/>
                <w:color w:val="0000FF"/>
                <w:sz w:val="24"/>
                <w:szCs w:val="28"/>
              </w:rPr>
              <w:t>、产品方案</w:t>
            </w:r>
          </w:p>
          <w:p>
            <w:pPr>
              <w:widowControl/>
              <w:ind w:firstLine="600" w:firstLineChars="250"/>
              <w:jc w:val="center"/>
              <w:rPr>
                <w:b/>
                <w:sz w:val="24"/>
              </w:rPr>
            </w:pPr>
            <w:r>
              <w:rPr>
                <w:b/>
                <w:color w:val="0000FF"/>
                <w:sz w:val="24"/>
              </w:rPr>
              <w:t>表</w:t>
            </w:r>
            <w:r>
              <w:rPr>
                <w:rFonts w:hint="eastAsia"/>
                <w:b/>
                <w:color w:val="0000FF"/>
                <w:sz w:val="24"/>
              </w:rPr>
              <w:t>2</w:t>
            </w:r>
            <w:r>
              <w:rPr>
                <w:b/>
                <w:color w:val="0000FF"/>
                <w:sz w:val="24"/>
              </w:rPr>
              <w:t xml:space="preserve">   主要产品方案</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686"/>
              <w:gridCol w:w="2359"/>
              <w:gridCol w:w="335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widowControl/>
                    <w:tabs>
                      <w:tab w:val="left" w:pos="803"/>
                    </w:tabs>
                    <w:spacing w:line="360" w:lineRule="auto"/>
                    <w:jc w:val="center"/>
                    <w:rPr>
                      <w:color w:val="0000FF"/>
                      <w:szCs w:val="21"/>
                    </w:rPr>
                  </w:pPr>
                  <w:r>
                    <w:rPr>
                      <w:color w:val="0000FF"/>
                      <w:szCs w:val="21"/>
                    </w:rPr>
                    <w:t>序号</w:t>
                  </w:r>
                </w:p>
              </w:tc>
              <w:tc>
                <w:tcPr>
                  <w:tcW w:w="1686" w:type="dxa"/>
                  <w:vAlign w:val="center"/>
                </w:tcPr>
                <w:p>
                  <w:pPr>
                    <w:widowControl/>
                    <w:tabs>
                      <w:tab w:val="left" w:pos="803"/>
                    </w:tabs>
                    <w:spacing w:line="360" w:lineRule="auto"/>
                    <w:jc w:val="center"/>
                    <w:rPr>
                      <w:color w:val="0000FF"/>
                      <w:szCs w:val="21"/>
                    </w:rPr>
                  </w:pPr>
                  <w:r>
                    <w:rPr>
                      <w:color w:val="0000FF"/>
                      <w:szCs w:val="21"/>
                    </w:rPr>
                    <w:t>产品名称</w:t>
                  </w:r>
                </w:p>
              </w:tc>
              <w:tc>
                <w:tcPr>
                  <w:tcW w:w="2359" w:type="dxa"/>
                  <w:vAlign w:val="center"/>
                </w:tcPr>
                <w:p>
                  <w:pPr>
                    <w:widowControl/>
                    <w:tabs>
                      <w:tab w:val="left" w:pos="803"/>
                    </w:tabs>
                    <w:spacing w:line="360" w:lineRule="auto"/>
                    <w:jc w:val="center"/>
                    <w:rPr>
                      <w:color w:val="0000FF"/>
                      <w:szCs w:val="21"/>
                    </w:rPr>
                  </w:pPr>
                  <w:r>
                    <w:rPr>
                      <w:color w:val="0000FF"/>
                      <w:szCs w:val="21"/>
                    </w:rPr>
                    <w:t>生产量（t/a）</w:t>
                  </w:r>
                </w:p>
              </w:tc>
              <w:tc>
                <w:tcPr>
                  <w:tcW w:w="3352" w:type="dxa"/>
                  <w:vAlign w:val="center"/>
                </w:tcPr>
                <w:p>
                  <w:pPr>
                    <w:widowControl/>
                    <w:tabs>
                      <w:tab w:val="left" w:pos="803"/>
                    </w:tabs>
                    <w:spacing w:line="360" w:lineRule="auto"/>
                    <w:jc w:val="center"/>
                    <w:rPr>
                      <w:color w:val="0000FF"/>
                      <w:szCs w:val="21"/>
                    </w:rPr>
                  </w:pPr>
                  <w:r>
                    <w:rPr>
                      <w:rFonts w:hint="eastAsia"/>
                      <w:color w:val="0000FF"/>
                      <w:szCs w:val="21"/>
                    </w:rPr>
                    <w:t>规格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916" w:type="dxa"/>
                  <w:vAlign w:val="center"/>
                </w:tcPr>
                <w:p>
                  <w:pPr>
                    <w:widowControl/>
                    <w:tabs>
                      <w:tab w:val="left" w:pos="803"/>
                    </w:tabs>
                    <w:spacing w:line="360" w:lineRule="auto"/>
                    <w:jc w:val="center"/>
                    <w:rPr>
                      <w:color w:val="0000FF"/>
                      <w:szCs w:val="21"/>
                    </w:rPr>
                  </w:pPr>
                  <w:r>
                    <w:rPr>
                      <w:color w:val="0000FF"/>
                      <w:szCs w:val="21"/>
                    </w:rPr>
                    <w:t>1</w:t>
                  </w:r>
                </w:p>
              </w:tc>
              <w:tc>
                <w:tcPr>
                  <w:tcW w:w="1686" w:type="dxa"/>
                  <w:vAlign w:val="center"/>
                </w:tcPr>
                <w:p>
                  <w:pPr>
                    <w:widowControl/>
                    <w:tabs>
                      <w:tab w:val="left" w:pos="803"/>
                    </w:tabs>
                    <w:spacing w:line="360" w:lineRule="auto"/>
                    <w:jc w:val="center"/>
                    <w:rPr>
                      <w:color w:val="0000FF"/>
                      <w:szCs w:val="21"/>
                    </w:rPr>
                  </w:pPr>
                  <w:r>
                    <w:rPr>
                      <w:rFonts w:hint="eastAsia"/>
                      <w:color w:val="0000FF"/>
                      <w:szCs w:val="21"/>
                    </w:rPr>
                    <w:t>块煤</w:t>
                  </w:r>
                </w:p>
              </w:tc>
              <w:tc>
                <w:tcPr>
                  <w:tcW w:w="2359" w:type="dxa"/>
                  <w:vAlign w:val="center"/>
                </w:tcPr>
                <w:p>
                  <w:pPr>
                    <w:widowControl/>
                    <w:tabs>
                      <w:tab w:val="left" w:pos="803"/>
                    </w:tabs>
                    <w:spacing w:line="360" w:lineRule="auto"/>
                    <w:jc w:val="center"/>
                    <w:rPr>
                      <w:color w:val="0000FF"/>
                      <w:szCs w:val="21"/>
                    </w:rPr>
                  </w:pPr>
                  <w:r>
                    <w:rPr>
                      <w:rFonts w:hint="eastAsia"/>
                      <w:color w:val="0000FF"/>
                      <w:szCs w:val="21"/>
                    </w:rPr>
                    <w:t>240000</w:t>
                  </w:r>
                </w:p>
              </w:tc>
              <w:tc>
                <w:tcPr>
                  <w:tcW w:w="3352" w:type="dxa"/>
                  <w:vAlign w:val="center"/>
                </w:tcPr>
                <w:p>
                  <w:pPr>
                    <w:jc w:val="center"/>
                    <w:rPr>
                      <w:color w:val="0000FF"/>
                      <w:szCs w:val="21"/>
                    </w:rPr>
                  </w:pPr>
                  <w:r>
                    <w:rPr>
                      <w:rFonts w:hint="eastAsia"/>
                      <w:color w:val="0000FF"/>
                      <w:szCs w:val="21"/>
                    </w:rPr>
                    <w:t>粒径10~50mm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widowControl/>
                    <w:tabs>
                      <w:tab w:val="left" w:pos="803"/>
                    </w:tabs>
                    <w:spacing w:line="360" w:lineRule="auto"/>
                    <w:jc w:val="center"/>
                    <w:rPr>
                      <w:color w:val="0000FF"/>
                      <w:szCs w:val="21"/>
                    </w:rPr>
                  </w:pPr>
                  <w:r>
                    <w:rPr>
                      <w:rFonts w:hint="eastAsia"/>
                      <w:color w:val="0000FF"/>
                      <w:szCs w:val="21"/>
                    </w:rPr>
                    <w:t>2</w:t>
                  </w:r>
                </w:p>
              </w:tc>
              <w:tc>
                <w:tcPr>
                  <w:tcW w:w="1686" w:type="dxa"/>
                  <w:vAlign w:val="center"/>
                </w:tcPr>
                <w:p>
                  <w:pPr>
                    <w:widowControl/>
                    <w:tabs>
                      <w:tab w:val="left" w:pos="803"/>
                    </w:tabs>
                    <w:spacing w:line="360" w:lineRule="auto"/>
                    <w:jc w:val="center"/>
                    <w:rPr>
                      <w:rFonts w:hint="eastAsia"/>
                      <w:color w:val="0000FF"/>
                      <w:szCs w:val="21"/>
                    </w:rPr>
                  </w:pPr>
                  <w:r>
                    <w:rPr>
                      <w:rFonts w:hint="eastAsia"/>
                      <w:color w:val="0000FF"/>
                      <w:szCs w:val="21"/>
                    </w:rPr>
                    <w:t>沫煤</w:t>
                  </w:r>
                </w:p>
              </w:tc>
              <w:tc>
                <w:tcPr>
                  <w:tcW w:w="2359" w:type="dxa"/>
                  <w:vAlign w:val="center"/>
                </w:tcPr>
                <w:p>
                  <w:pPr>
                    <w:widowControl/>
                    <w:tabs>
                      <w:tab w:val="left" w:pos="803"/>
                    </w:tabs>
                    <w:spacing w:line="360" w:lineRule="auto"/>
                    <w:jc w:val="center"/>
                    <w:rPr>
                      <w:rFonts w:hint="eastAsia"/>
                      <w:color w:val="0000FF"/>
                      <w:szCs w:val="21"/>
                    </w:rPr>
                  </w:pPr>
                  <w:r>
                    <w:rPr>
                      <w:rFonts w:hint="eastAsia"/>
                      <w:color w:val="0000FF"/>
                      <w:szCs w:val="21"/>
                    </w:rPr>
                    <w:t>60000</w:t>
                  </w:r>
                </w:p>
              </w:tc>
              <w:tc>
                <w:tcPr>
                  <w:tcW w:w="3352" w:type="dxa"/>
                  <w:vAlign w:val="center"/>
                </w:tcPr>
                <w:p>
                  <w:pPr>
                    <w:jc w:val="center"/>
                    <w:rPr>
                      <w:rFonts w:hint="eastAsia"/>
                      <w:color w:val="0000FF"/>
                      <w:szCs w:val="21"/>
                    </w:rPr>
                  </w:pPr>
                  <w:r>
                    <w:rPr>
                      <w:rFonts w:hint="eastAsia"/>
                      <w:color w:val="0000FF"/>
                      <w:szCs w:val="21"/>
                    </w:rPr>
                    <w:t>粒径0.5~10mm</w:t>
                  </w:r>
                </w:p>
              </w:tc>
            </w:tr>
          </w:tbl>
          <w:p>
            <w:pPr>
              <w:widowControl/>
              <w:tabs>
                <w:tab w:val="left" w:pos="803"/>
              </w:tabs>
              <w:spacing w:line="360" w:lineRule="auto"/>
              <w:ind w:firstLine="480" w:firstLineChars="200"/>
              <w:rPr>
                <w:rFonts w:hint="eastAsia"/>
                <w:color w:val="0000FF"/>
                <w:sz w:val="24"/>
              </w:rPr>
            </w:pPr>
            <w:r>
              <w:rPr>
                <w:rFonts w:hint="eastAsia"/>
                <w:color w:val="0000FF"/>
                <w:sz w:val="24"/>
              </w:rPr>
              <w:t>本项目精煤在矿区已进行筛选，因而基本不含煤矸石。</w:t>
            </w:r>
          </w:p>
          <w:p>
            <w:pPr>
              <w:spacing w:beforeLines="50" w:afterLines="50" w:line="360" w:lineRule="auto"/>
              <w:outlineLvl w:val="2"/>
              <w:rPr>
                <w:b/>
                <w:color w:val="0000FF"/>
                <w:sz w:val="24"/>
                <w:szCs w:val="28"/>
              </w:rPr>
            </w:pPr>
            <w:r>
              <w:rPr>
                <w:rFonts w:hint="eastAsia"/>
                <w:b/>
                <w:color w:val="0000FF"/>
                <w:sz w:val="24"/>
                <w:szCs w:val="28"/>
              </w:rPr>
              <w:t>6</w:t>
            </w:r>
            <w:r>
              <w:rPr>
                <w:b/>
                <w:color w:val="0000FF"/>
                <w:sz w:val="24"/>
                <w:szCs w:val="28"/>
              </w:rPr>
              <w:t>、工程主要设备及原材料</w:t>
            </w:r>
          </w:p>
          <w:p>
            <w:pPr>
              <w:spacing w:line="360" w:lineRule="auto"/>
              <w:ind w:firstLine="480" w:firstLineChars="200"/>
              <w:rPr>
                <w:color w:val="0000FF"/>
                <w:sz w:val="24"/>
              </w:rPr>
            </w:pPr>
            <w:r>
              <w:rPr>
                <w:rFonts w:hint="eastAsia"/>
                <w:color w:val="0000FF"/>
                <w:sz w:val="24"/>
              </w:rPr>
              <w:t>6</w:t>
            </w:r>
            <w:r>
              <w:rPr>
                <w:color w:val="0000FF"/>
                <w:sz w:val="24"/>
              </w:rPr>
              <w:t>.1工程设备</w:t>
            </w:r>
          </w:p>
          <w:p>
            <w:pPr>
              <w:spacing w:line="360" w:lineRule="auto"/>
              <w:ind w:firstLine="480" w:firstLineChars="200"/>
              <w:rPr>
                <w:color w:val="0000FF"/>
                <w:kern w:val="0"/>
                <w:sz w:val="24"/>
                <w:szCs w:val="28"/>
              </w:rPr>
            </w:pPr>
            <w:r>
              <w:rPr>
                <w:color w:val="0000FF"/>
                <w:kern w:val="0"/>
                <w:sz w:val="24"/>
                <w:szCs w:val="28"/>
              </w:rPr>
              <w:t>项目主要设备详见表</w:t>
            </w:r>
            <w:r>
              <w:rPr>
                <w:rFonts w:hint="eastAsia"/>
                <w:color w:val="0000FF"/>
                <w:kern w:val="0"/>
                <w:sz w:val="24"/>
                <w:szCs w:val="28"/>
              </w:rPr>
              <w:t>3</w:t>
            </w:r>
            <w:r>
              <w:rPr>
                <w:color w:val="0000FF"/>
                <w:kern w:val="0"/>
                <w:sz w:val="24"/>
                <w:szCs w:val="28"/>
              </w:rPr>
              <w:t>。</w:t>
            </w:r>
          </w:p>
          <w:p>
            <w:pPr>
              <w:widowControl/>
              <w:ind w:firstLine="600" w:firstLineChars="250"/>
              <w:jc w:val="center"/>
              <w:rPr>
                <w:rFonts w:hint="eastAsia"/>
                <w:b/>
                <w:color w:val="0000FF"/>
                <w:sz w:val="24"/>
              </w:rPr>
            </w:pPr>
            <w:r>
              <w:rPr>
                <w:b/>
                <w:color w:val="0000FF"/>
                <w:sz w:val="24"/>
              </w:rPr>
              <w:t>表</w:t>
            </w:r>
            <w:r>
              <w:rPr>
                <w:rFonts w:hint="eastAsia"/>
                <w:b/>
                <w:color w:val="0000FF"/>
                <w:sz w:val="24"/>
              </w:rPr>
              <w:t>3</w:t>
            </w:r>
            <w:r>
              <w:rPr>
                <w:b/>
                <w:color w:val="0000FF"/>
                <w:sz w:val="24"/>
              </w:rPr>
              <w:t xml:space="preserve">     主要设备情况一览表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727"/>
              <w:gridCol w:w="2126"/>
              <w:gridCol w:w="2501"/>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color w:val="0000FF"/>
                      <w:szCs w:val="21"/>
                    </w:rPr>
                    <w:t>序号</w:t>
                  </w:r>
                </w:p>
              </w:tc>
              <w:tc>
                <w:tcPr>
                  <w:tcW w:w="2727" w:type="dxa"/>
                  <w:vAlign w:val="center"/>
                </w:tcPr>
                <w:p>
                  <w:pPr>
                    <w:jc w:val="center"/>
                    <w:rPr>
                      <w:color w:val="0000FF"/>
                      <w:szCs w:val="21"/>
                    </w:rPr>
                  </w:pPr>
                  <w:r>
                    <w:rPr>
                      <w:color w:val="0000FF"/>
                      <w:szCs w:val="21"/>
                    </w:rPr>
                    <w:t>设备名称</w:t>
                  </w:r>
                </w:p>
              </w:tc>
              <w:tc>
                <w:tcPr>
                  <w:tcW w:w="2126" w:type="dxa"/>
                  <w:vAlign w:val="center"/>
                </w:tcPr>
                <w:p>
                  <w:pPr>
                    <w:jc w:val="center"/>
                    <w:rPr>
                      <w:color w:val="0000FF"/>
                      <w:szCs w:val="21"/>
                    </w:rPr>
                  </w:pPr>
                  <w:r>
                    <w:rPr>
                      <w:rFonts w:hint="eastAsia"/>
                      <w:color w:val="0000FF"/>
                      <w:szCs w:val="21"/>
                    </w:rPr>
                    <w:t>单位</w:t>
                  </w:r>
                </w:p>
              </w:tc>
              <w:tc>
                <w:tcPr>
                  <w:tcW w:w="2501" w:type="dxa"/>
                  <w:vAlign w:val="center"/>
                </w:tcPr>
                <w:p>
                  <w:pPr>
                    <w:jc w:val="center"/>
                    <w:rPr>
                      <w:color w:val="0000FF"/>
                      <w:szCs w:val="21"/>
                    </w:rPr>
                  </w:pPr>
                  <w:r>
                    <w:rPr>
                      <w:color w:val="0000FF"/>
                      <w:szCs w:val="21"/>
                    </w:rPr>
                    <w:t>台数</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color w:val="0000FF"/>
                      <w:szCs w:val="21"/>
                    </w:rPr>
                    <w:t>1</w:t>
                  </w:r>
                </w:p>
              </w:tc>
              <w:tc>
                <w:tcPr>
                  <w:tcW w:w="2727" w:type="dxa"/>
                  <w:vAlign w:val="center"/>
                </w:tcPr>
                <w:p>
                  <w:pPr>
                    <w:jc w:val="center"/>
                    <w:rPr>
                      <w:color w:val="0000FF"/>
                      <w:szCs w:val="21"/>
                    </w:rPr>
                  </w:pPr>
                  <w:r>
                    <w:rPr>
                      <w:rFonts w:hint="eastAsia"/>
                      <w:color w:val="0000FF"/>
                      <w:szCs w:val="21"/>
                    </w:rPr>
                    <w:t>行吊</w:t>
                  </w:r>
                </w:p>
              </w:tc>
              <w:tc>
                <w:tcPr>
                  <w:tcW w:w="2126" w:type="dxa"/>
                  <w:vAlign w:val="center"/>
                </w:tcPr>
                <w:p>
                  <w:pPr>
                    <w:jc w:val="center"/>
                    <w:rPr>
                      <w:color w:val="0000FF"/>
                      <w:szCs w:val="21"/>
                    </w:rPr>
                  </w:pPr>
                  <w:r>
                    <w:rPr>
                      <w:rFonts w:hint="eastAsia"/>
                      <w:color w:val="0000FF"/>
                      <w:szCs w:val="21"/>
                    </w:rPr>
                    <w:t>幅</w:t>
                  </w:r>
                </w:p>
              </w:tc>
              <w:tc>
                <w:tcPr>
                  <w:tcW w:w="2501" w:type="dxa"/>
                  <w:vAlign w:val="center"/>
                </w:tcPr>
                <w:p>
                  <w:pPr>
                    <w:jc w:val="center"/>
                    <w:rPr>
                      <w:color w:val="0000FF"/>
                      <w:szCs w:val="21"/>
                    </w:rPr>
                  </w:pPr>
                  <w:r>
                    <w:rPr>
                      <w:rFonts w:hint="eastAsia"/>
                      <w:color w:val="0000FF"/>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color w:val="0000FF"/>
                      <w:szCs w:val="21"/>
                    </w:rPr>
                    <w:t>2</w:t>
                  </w:r>
                </w:p>
              </w:tc>
              <w:tc>
                <w:tcPr>
                  <w:tcW w:w="2727" w:type="dxa"/>
                  <w:vAlign w:val="center"/>
                </w:tcPr>
                <w:p>
                  <w:pPr>
                    <w:jc w:val="center"/>
                    <w:rPr>
                      <w:color w:val="0000FF"/>
                      <w:szCs w:val="21"/>
                    </w:rPr>
                  </w:pPr>
                  <w:r>
                    <w:rPr>
                      <w:rFonts w:hint="eastAsia"/>
                      <w:color w:val="0000FF"/>
                      <w:szCs w:val="21"/>
                    </w:rPr>
                    <w:t>装载机</w:t>
                  </w:r>
                </w:p>
              </w:tc>
              <w:tc>
                <w:tcPr>
                  <w:tcW w:w="2126" w:type="dxa"/>
                  <w:vAlign w:val="center"/>
                </w:tcPr>
                <w:p>
                  <w:pPr>
                    <w:jc w:val="center"/>
                    <w:rPr>
                      <w:color w:val="0000FF"/>
                      <w:szCs w:val="21"/>
                    </w:rPr>
                  </w:pPr>
                  <w:r>
                    <w:rPr>
                      <w:rFonts w:hint="eastAsia"/>
                      <w:color w:val="0000FF"/>
                      <w:szCs w:val="21"/>
                    </w:rPr>
                    <w:t>辆</w:t>
                  </w:r>
                </w:p>
              </w:tc>
              <w:tc>
                <w:tcPr>
                  <w:tcW w:w="2501" w:type="dxa"/>
                  <w:vAlign w:val="center"/>
                </w:tcPr>
                <w:p>
                  <w:pPr>
                    <w:jc w:val="center"/>
                    <w:rPr>
                      <w:color w:val="0000FF"/>
                      <w:szCs w:val="21"/>
                    </w:rPr>
                  </w:pPr>
                  <w:r>
                    <w:rPr>
                      <w:rFonts w:hint="eastAsia"/>
                      <w:color w:val="0000FF"/>
                      <w:szCs w:val="21"/>
                    </w:rPr>
                    <w:t>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color w:val="0000FF"/>
                      <w:szCs w:val="21"/>
                    </w:rPr>
                    <w:t>3</w:t>
                  </w:r>
                </w:p>
              </w:tc>
              <w:tc>
                <w:tcPr>
                  <w:tcW w:w="2727" w:type="dxa"/>
                  <w:vAlign w:val="center"/>
                </w:tcPr>
                <w:p>
                  <w:pPr>
                    <w:jc w:val="center"/>
                    <w:rPr>
                      <w:color w:val="0000FF"/>
                      <w:szCs w:val="21"/>
                    </w:rPr>
                  </w:pPr>
                  <w:r>
                    <w:rPr>
                      <w:rFonts w:hint="eastAsia"/>
                      <w:color w:val="0000FF"/>
                      <w:szCs w:val="21"/>
                    </w:rPr>
                    <w:t>牵引车</w:t>
                  </w:r>
                </w:p>
              </w:tc>
              <w:tc>
                <w:tcPr>
                  <w:tcW w:w="2126" w:type="dxa"/>
                  <w:vAlign w:val="center"/>
                </w:tcPr>
                <w:p>
                  <w:pPr>
                    <w:jc w:val="center"/>
                    <w:rPr>
                      <w:color w:val="0000FF"/>
                      <w:szCs w:val="21"/>
                    </w:rPr>
                  </w:pPr>
                  <w:r>
                    <w:rPr>
                      <w:rFonts w:hint="eastAsia"/>
                      <w:color w:val="0000FF"/>
                      <w:szCs w:val="21"/>
                    </w:rPr>
                    <w:t>辆</w:t>
                  </w:r>
                </w:p>
              </w:tc>
              <w:tc>
                <w:tcPr>
                  <w:tcW w:w="2501" w:type="dxa"/>
                  <w:vAlign w:val="center"/>
                </w:tcPr>
                <w:p>
                  <w:pPr>
                    <w:jc w:val="center"/>
                    <w:rPr>
                      <w:color w:val="0000FF"/>
                      <w:szCs w:val="21"/>
                    </w:rPr>
                  </w:pPr>
                  <w:r>
                    <w:rPr>
                      <w:rFonts w:hint="eastAsia"/>
                      <w:color w:val="0000FF"/>
                      <w:szCs w:val="21"/>
                    </w:rPr>
                    <w:t>15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color w:val="0000FF"/>
                      <w:szCs w:val="21"/>
                    </w:rPr>
                    <w:t>4</w:t>
                  </w:r>
                </w:p>
              </w:tc>
              <w:tc>
                <w:tcPr>
                  <w:tcW w:w="2727" w:type="dxa"/>
                  <w:vAlign w:val="center"/>
                </w:tcPr>
                <w:p>
                  <w:pPr>
                    <w:jc w:val="center"/>
                    <w:rPr>
                      <w:color w:val="0000FF"/>
                      <w:szCs w:val="21"/>
                    </w:rPr>
                  </w:pPr>
                  <w:r>
                    <w:rPr>
                      <w:rFonts w:hint="eastAsia"/>
                      <w:color w:val="0000FF"/>
                      <w:szCs w:val="21"/>
                    </w:rPr>
                    <w:t>分捡机</w:t>
                  </w:r>
                </w:p>
              </w:tc>
              <w:tc>
                <w:tcPr>
                  <w:tcW w:w="2126" w:type="dxa"/>
                  <w:vAlign w:val="center"/>
                </w:tcPr>
                <w:p>
                  <w:pPr>
                    <w:jc w:val="center"/>
                    <w:rPr>
                      <w:color w:val="0000FF"/>
                      <w:szCs w:val="21"/>
                    </w:rPr>
                  </w:pPr>
                  <w:r>
                    <w:rPr>
                      <w:rFonts w:hint="eastAsia"/>
                      <w:color w:val="0000FF"/>
                      <w:szCs w:val="21"/>
                    </w:rPr>
                    <w:t>台</w:t>
                  </w:r>
                </w:p>
              </w:tc>
              <w:tc>
                <w:tcPr>
                  <w:tcW w:w="2501" w:type="dxa"/>
                  <w:vAlign w:val="center"/>
                </w:tcPr>
                <w:p>
                  <w:pPr>
                    <w:jc w:val="center"/>
                    <w:rPr>
                      <w:color w:val="0000FF"/>
                      <w:szCs w:val="21"/>
                    </w:rPr>
                  </w:pPr>
                  <w:r>
                    <w:rPr>
                      <w:rFonts w:hint="eastAsia"/>
                      <w:color w:val="0000FF"/>
                      <w:szCs w:val="21"/>
                    </w:rPr>
                    <w:t>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rFonts w:hint="eastAsia"/>
                      <w:color w:val="0000FF"/>
                      <w:szCs w:val="21"/>
                    </w:rPr>
                    <w:t>5</w:t>
                  </w:r>
                </w:p>
              </w:tc>
              <w:tc>
                <w:tcPr>
                  <w:tcW w:w="2727" w:type="dxa"/>
                  <w:vAlign w:val="center"/>
                </w:tcPr>
                <w:p>
                  <w:pPr>
                    <w:jc w:val="center"/>
                    <w:rPr>
                      <w:color w:val="0000FF"/>
                      <w:szCs w:val="21"/>
                    </w:rPr>
                  </w:pPr>
                  <w:r>
                    <w:rPr>
                      <w:rFonts w:hint="eastAsia"/>
                      <w:color w:val="0000FF"/>
                      <w:szCs w:val="21"/>
                    </w:rPr>
                    <w:t>洒水车</w:t>
                  </w:r>
                </w:p>
              </w:tc>
              <w:tc>
                <w:tcPr>
                  <w:tcW w:w="2126" w:type="dxa"/>
                  <w:vAlign w:val="center"/>
                </w:tcPr>
                <w:p>
                  <w:pPr>
                    <w:jc w:val="center"/>
                    <w:rPr>
                      <w:color w:val="0000FF"/>
                      <w:szCs w:val="21"/>
                    </w:rPr>
                  </w:pPr>
                  <w:r>
                    <w:rPr>
                      <w:rFonts w:hint="eastAsia"/>
                      <w:color w:val="0000FF"/>
                      <w:szCs w:val="21"/>
                    </w:rPr>
                    <w:t>辆</w:t>
                  </w:r>
                </w:p>
              </w:tc>
              <w:tc>
                <w:tcPr>
                  <w:tcW w:w="2501" w:type="dxa"/>
                  <w:vAlign w:val="center"/>
                </w:tcPr>
                <w:p>
                  <w:pPr>
                    <w:jc w:val="center"/>
                    <w:rPr>
                      <w:color w:val="0000FF"/>
                      <w:szCs w:val="21"/>
                    </w:rPr>
                  </w:pPr>
                  <w:r>
                    <w:rPr>
                      <w:rFonts w:hint="eastAsia"/>
                      <w:color w:val="0000FF"/>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59" w:type="dxa"/>
                  <w:vAlign w:val="center"/>
                </w:tcPr>
                <w:p>
                  <w:pPr>
                    <w:jc w:val="center"/>
                    <w:rPr>
                      <w:color w:val="0000FF"/>
                      <w:szCs w:val="21"/>
                    </w:rPr>
                  </w:pPr>
                  <w:r>
                    <w:rPr>
                      <w:rFonts w:hint="eastAsia"/>
                      <w:color w:val="0000FF"/>
                      <w:szCs w:val="21"/>
                    </w:rPr>
                    <w:t>6</w:t>
                  </w:r>
                </w:p>
              </w:tc>
              <w:tc>
                <w:tcPr>
                  <w:tcW w:w="2727" w:type="dxa"/>
                  <w:vAlign w:val="center"/>
                </w:tcPr>
                <w:p>
                  <w:pPr>
                    <w:jc w:val="center"/>
                    <w:rPr>
                      <w:color w:val="0000FF"/>
                      <w:szCs w:val="21"/>
                    </w:rPr>
                  </w:pPr>
                  <w:r>
                    <w:rPr>
                      <w:rFonts w:hint="eastAsia"/>
                      <w:color w:val="0000FF"/>
                      <w:szCs w:val="21"/>
                    </w:rPr>
                    <w:t>喷淋设施</w:t>
                  </w:r>
                </w:p>
              </w:tc>
              <w:tc>
                <w:tcPr>
                  <w:tcW w:w="2126" w:type="dxa"/>
                  <w:vAlign w:val="center"/>
                </w:tcPr>
                <w:p>
                  <w:pPr>
                    <w:jc w:val="center"/>
                    <w:rPr>
                      <w:color w:val="0000FF"/>
                      <w:szCs w:val="21"/>
                    </w:rPr>
                  </w:pPr>
                  <w:r>
                    <w:rPr>
                      <w:rFonts w:hint="eastAsia"/>
                      <w:color w:val="0000FF"/>
                      <w:szCs w:val="21"/>
                    </w:rPr>
                    <w:t>套</w:t>
                  </w:r>
                </w:p>
              </w:tc>
              <w:tc>
                <w:tcPr>
                  <w:tcW w:w="2501" w:type="dxa"/>
                  <w:vAlign w:val="center"/>
                </w:tcPr>
                <w:p>
                  <w:pPr>
                    <w:jc w:val="center"/>
                    <w:rPr>
                      <w:color w:val="0000FF"/>
                      <w:szCs w:val="21"/>
                    </w:rPr>
                  </w:pPr>
                  <w:r>
                    <w:rPr>
                      <w:rFonts w:hint="eastAsia"/>
                      <w:color w:val="0000FF"/>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59" w:type="dxa"/>
                  <w:vAlign w:val="center"/>
                </w:tcPr>
                <w:p>
                  <w:pPr>
                    <w:jc w:val="center"/>
                    <w:rPr>
                      <w:color w:val="0000FF"/>
                      <w:szCs w:val="21"/>
                    </w:rPr>
                  </w:pPr>
                  <w:r>
                    <w:rPr>
                      <w:rFonts w:hint="eastAsia"/>
                      <w:color w:val="0000FF"/>
                      <w:szCs w:val="21"/>
                    </w:rPr>
                    <w:t>7</w:t>
                  </w:r>
                </w:p>
              </w:tc>
              <w:tc>
                <w:tcPr>
                  <w:tcW w:w="2727" w:type="dxa"/>
                  <w:vAlign w:val="center"/>
                </w:tcPr>
                <w:p>
                  <w:pPr>
                    <w:jc w:val="center"/>
                    <w:rPr>
                      <w:color w:val="0000FF"/>
                      <w:szCs w:val="21"/>
                    </w:rPr>
                  </w:pPr>
                  <w:r>
                    <w:rPr>
                      <w:rFonts w:hint="eastAsia"/>
                      <w:color w:val="0000FF"/>
                      <w:szCs w:val="21"/>
                    </w:rPr>
                    <w:t>布袋除尘器</w:t>
                  </w:r>
                </w:p>
              </w:tc>
              <w:tc>
                <w:tcPr>
                  <w:tcW w:w="2126" w:type="dxa"/>
                  <w:vAlign w:val="center"/>
                </w:tcPr>
                <w:p>
                  <w:pPr>
                    <w:jc w:val="center"/>
                    <w:rPr>
                      <w:color w:val="0000FF"/>
                      <w:szCs w:val="21"/>
                    </w:rPr>
                  </w:pPr>
                  <w:r>
                    <w:rPr>
                      <w:rFonts w:hint="eastAsia"/>
                      <w:color w:val="0000FF"/>
                      <w:szCs w:val="21"/>
                    </w:rPr>
                    <w:t>台</w:t>
                  </w:r>
                </w:p>
              </w:tc>
              <w:tc>
                <w:tcPr>
                  <w:tcW w:w="2501" w:type="dxa"/>
                  <w:vAlign w:val="center"/>
                </w:tcPr>
                <w:p>
                  <w:pPr>
                    <w:jc w:val="center"/>
                    <w:rPr>
                      <w:color w:val="0000FF"/>
                      <w:szCs w:val="21"/>
                    </w:rPr>
                  </w:pPr>
                  <w:r>
                    <w:rPr>
                      <w:rFonts w:hint="eastAsia"/>
                      <w:color w:val="0000FF"/>
                      <w:szCs w:val="21"/>
                    </w:rPr>
                    <w:t>1</w:t>
                  </w:r>
                </w:p>
              </w:tc>
            </w:tr>
          </w:tbl>
          <w:p>
            <w:pPr>
              <w:spacing w:line="360" w:lineRule="auto"/>
              <w:ind w:firstLine="480" w:firstLineChars="200"/>
              <w:rPr>
                <w:color w:val="0000FF"/>
                <w:sz w:val="24"/>
              </w:rPr>
            </w:pPr>
            <w:r>
              <w:rPr>
                <w:rFonts w:hint="eastAsia"/>
                <w:color w:val="0000FF"/>
                <w:sz w:val="24"/>
              </w:rPr>
              <w:t>6</w:t>
            </w:r>
            <w:r>
              <w:rPr>
                <w:color w:val="0000FF"/>
                <w:sz w:val="24"/>
              </w:rPr>
              <w:t>.2原辅材料消耗</w:t>
            </w:r>
          </w:p>
          <w:p>
            <w:pPr>
              <w:spacing w:line="360" w:lineRule="auto"/>
              <w:ind w:firstLine="480"/>
              <w:rPr>
                <w:rFonts w:hint="eastAsia"/>
                <w:color w:val="0000FF"/>
                <w:kern w:val="0"/>
                <w:sz w:val="24"/>
                <w:szCs w:val="28"/>
              </w:rPr>
            </w:pPr>
            <w:r>
              <w:rPr>
                <w:color w:val="0000FF"/>
                <w:kern w:val="0"/>
                <w:sz w:val="24"/>
                <w:szCs w:val="28"/>
              </w:rPr>
              <w:t>本项目生产中所需的主要原材料为</w:t>
            </w:r>
            <w:r>
              <w:rPr>
                <w:rFonts w:hint="eastAsia"/>
                <w:color w:val="0000FF"/>
                <w:kern w:val="0"/>
                <w:sz w:val="24"/>
                <w:szCs w:val="28"/>
              </w:rPr>
              <w:t>精煤</w:t>
            </w:r>
            <w:r>
              <w:rPr>
                <w:color w:val="0000FF"/>
                <w:kern w:val="0"/>
                <w:sz w:val="24"/>
                <w:szCs w:val="28"/>
              </w:rPr>
              <w:t>。</w:t>
            </w:r>
          </w:p>
          <w:p>
            <w:pPr>
              <w:widowControl/>
              <w:ind w:firstLine="600" w:firstLineChars="250"/>
              <w:jc w:val="center"/>
              <w:rPr>
                <w:b/>
                <w:color w:val="0000FF"/>
                <w:sz w:val="24"/>
              </w:rPr>
            </w:pPr>
            <w:r>
              <w:rPr>
                <w:b/>
                <w:color w:val="0000FF"/>
                <w:sz w:val="24"/>
              </w:rPr>
              <w:t>表</w:t>
            </w:r>
            <w:r>
              <w:rPr>
                <w:rFonts w:hint="eastAsia"/>
                <w:b/>
                <w:color w:val="0000FF"/>
                <w:sz w:val="24"/>
              </w:rPr>
              <w:t>4</w:t>
            </w:r>
            <w:r>
              <w:rPr>
                <w:b/>
                <w:color w:val="0000FF"/>
                <w:sz w:val="24"/>
              </w:rPr>
              <w:t xml:space="preserve">    主要原、辅材料消耗明细表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039"/>
              <w:gridCol w:w="1527"/>
              <w:gridCol w:w="383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10" w:type="dxa"/>
                  <w:vAlign w:val="center"/>
                </w:tcPr>
                <w:p>
                  <w:pPr>
                    <w:adjustRightInd w:val="0"/>
                    <w:snapToGrid w:val="0"/>
                    <w:jc w:val="center"/>
                    <w:rPr>
                      <w:color w:val="0000FF"/>
                      <w:szCs w:val="21"/>
                    </w:rPr>
                  </w:pPr>
                  <w:r>
                    <w:rPr>
                      <w:color w:val="0000FF"/>
                      <w:szCs w:val="21"/>
                    </w:rPr>
                    <w:t>序号</w:t>
                  </w:r>
                </w:p>
              </w:tc>
              <w:tc>
                <w:tcPr>
                  <w:tcW w:w="2039" w:type="dxa"/>
                  <w:vAlign w:val="center"/>
                </w:tcPr>
                <w:p>
                  <w:pPr>
                    <w:adjustRightInd w:val="0"/>
                    <w:snapToGrid w:val="0"/>
                    <w:jc w:val="center"/>
                    <w:rPr>
                      <w:color w:val="0000FF"/>
                      <w:szCs w:val="21"/>
                    </w:rPr>
                  </w:pPr>
                  <w:r>
                    <w:rPr>
                      <w:color w:val="0000FF"/>
                      <w:szCs w:val="21"/>
                    </w:rPr>
                    <w:t>名称</w:t>
                  </w:r>
                </w:p>
              </w:tc>
              <w:tc>
                <w:tcPr>
                  <w:tcW w:w="1527" w:type="dxa"/>
                  <w:vAlign w:val="center"/>
                </w:tcPr>
                <w:p>
                  <w:pPr>
                    <w:adjustRightInd w:val="0"/>
                    <w:snapToGrid w:val="0"/>
                    <w:jc w:val="center"/>
                    <w:rPr>
                      <w:color w:val="0000FF"/>
                      <w:szCs w:val="21"/>
                    </w:rPr>
                  </w:pPr>
                  <w:r>
                    <w:rPr>
                      <w:color w:val="0000FF"/>
                      <w:szCs w:val="21"/>
                    </w:rPr>
                    <w:t>数量（t/a）</w:t>
                  </w:r>
                </w:p>
              </w:tc>
              <w:tc>
                <w:tcPr>
                  <w:tcW w:w="3837" w:type="dxa"/>
                  <w:vAlign w:val="center"/>
                </w:tcPr>
                <w:p>
                  <w:pPr>
                    <w:adjustRightInd w:val="0"/>
                    <w:snapToGrid w:val="0"/>
                    <w:jc w:val="center"/>
                    <w:rPr>
                      <w:color w:val="0000FF"/>
                      <w:szCs w:val="21"/>
                    </w:rPr>
                  </w:pPr>
                  <w:r>
                    <w:rPr>
                      <w:color w:val="0000FF"/>
                      <w:szCs w:val="21"/>
                    </w:rPr>
                    <w:t>来源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10" w:type="dxa"/>
                  <w:vAlign w:val="center"/>
                </w:tcPr>
                <w:p>
                  <w:pPr>
                    <w:adjustRightInd w:val="0"/>
                    <w:snapToGrid w:val="0"/>
                    <w:jc w:val="center"/>
                    <w:rPr>
                      <w:color w:val="0000FF"/>
                      <w:szCs w:val="21"/>
                    </w:rPr>
                  </w:pPr>
                  <w:r>
                    <w:rPr>
                      <w:color w:val="0000FF"/>
                      <w:szCs w:val="21"/>
                    </w:rPr>
                    <w:t>1</w:t>
                  </w:r>
                </w:p>
              </w:tc>
              <w:tc>
                <w:tcPr>
                  <w:tcW w:w="2039" w:type="dxa"/>
                  <w:vAlign w:val="center"/>
                </w:tcPr>
                <w:p>
                  <w:pPr>
                    <w:jc w:val="center"/>
                    <w:rPr>
                      <w:color w:val="0000FF"/>
                      <w:szCs w:val="21"/>
                    </w:rPr>
                  </w:pPr>
                  <w:r>
                    <w:rPr>
                      <w:rFonts w:hint="eastAsia"/>
                      <w:color w:val="0000FF"/>
                      <w:szCs w:val="21"/>
                    </w:rPr>
                    <w:t>精煤</w:t>
                  </w:r>
                </w:p>
              </w:tc>
              <w:tc>
                <w:tcPr>
                  <w:tcW w:w="1527" w:type="dxa"/>
                  <w:vAlign w:val="center"/>
                </w:tcPr>
                <w:p>
                  <w:pPr>
                    <w:jc w:val="center"/>
                    <w:rPr>
                      <w:color w:val="0000FF"/>
                    </w:rPr>
                  </w:pPr>
                  <w:r>
                    <w:rPr>
                      <w:rFonts w:hint="eastAsia"/>
                      <w:color w:val="0000FF"/>
                    </w:rPr>
                    <w:t>300000</w:t>
                  </w:r>
                </w:p>
              </w:tc>
              <w:tc>
                <w:tcPr>
                  <w:tcW w:w="3837" w:type="dxa"/>
                  <w:vAlign w:val="center"/>
                </w:tcPr>
                <w:p>
                  <w:pPr>
                    <w:jc w:val="center"/>
                    <w:rPr>
                      <w:color w:val="0000FF"/>
                      <w:szCs w:val="21"/>
                    </w:rPr>
                  </w:pPr>
                  <w:r>
                    <w:rPr>
                      <w:rFonts w:hint="eastAsia"/>
                      <w:color w:val="0000FF"/>
                      <w:szCs w:val="21"/>
                    </w:rPr>
                    <w:t>内蒙蒙大煤矿，营盘壕煤矿、新庄煤矿</w:t>
                  </w:r>
                </w:p>
              </w:tc>
            </w:tr>
          </w:tbl>
          <w:p>
            <w:pPr>
              <w:spacing w:line="360" w:lineRule="auto"/>
              <w:ind w:firstLine="480" w:firstLineChars="200"/>
              <w:rPr>
                <w:rFonts w:hint="eastAsia"/>
                <w:color w:val="0000FF"/>
                <w:sz w:val="24"/>
                <w:szCs w:val="28"/>
              </w:rPr>
            </w:pPr>
            <w:r>
              <w:rPr>
                <w:rFonts w:hint="eastAsia"/>
                <w:color w:val="0000FF"/>
                <w:sz w:val="24"/>
                <w:szCs w:val="28"/>
              </w:rPr>
              <w:t>本项目精煤在矿区已进行筛选，因而基本不含煤矸石。</w:t>
            </w:r>
          </w:p>
          <w:p>
            <w:pPr>
              <w:spacing w:beforeLines="50" w:afterLines="50" w:line="360" w:lineRule="auto"/>
              <w:outlineLvl w:val="2"/>
              <w:rPr>
                <w:b/>
                <w:color w:val="0000FF"/>
                <w:sz w:val="24"/>
                <w:szCs w:val="28"/>
              </w:rPr>
            </w:pPr>
            <w:r>
              <w:rPr>
                <w:rFonts w:hint="eastAsia"/>
                <w:b/>
                <w:color w:val="0000FF"/>
                <w:sz w:val="24"/>
                <w:szCs w:val="28"/>
              </w:rPr>
              <w:t>7</w:t>
            </w:r>
            <w:r>
              <w:rPr>
                <w:b/>
                <w:color w:val="0000FF"/>
                <w:sz w:val="24"/>
                <w:szCs w:val="28"/>
              </w:rPr>
              <w:t>、劳动定员及工作制度</w:t>
            </w:r>
          </w:p>
          <w:p>
            <w:pPr>
              <w:spacing w:line="360" w:lineRule="auto"/>
              <w:ind w:firstLine="480" w:firstLineChars="200"/>
              <w:rPr>
                <w:color w:val="0000FF"/>
                <w:sz w:val="24"/>
                <w:szCs w:val="28"/>
              </w:rPr>
            </w:pPr>
            <w:r>
              <w:rPr>
                <w:color w:val="0000FF"/>
                <w:sz w:val="24"/>
                <w:szCs w:val="28"/>
              </w:rPr>
              <w:t>本项目</w:t>
            </w:r>
            <w:r>
              <w:rPr>
                <w:rFonts w:hint="eastAsia"/>
                <w:color w:val="0000FF"/>
                <w:sz w:val="24"/>
                <w:szCs w:val="28"/>
              </w:rPr>
              <w:t>新增</w:t>
            </w:r>
            <w:r>
              <w:rPr>
                <w:color w:val="0000FF"/>
                <w:sz w:val="24"/>
                <w:szCs w:val="28"/>
              </w:rPr>
              <w:t>劳动定员</w:t>
            </w:r>
            <w:r>
              <w:rPr>
                <w:rFonts w:hint="eastAsia"/>
                <w:color w:val="0000FF"/>
                <w:sz w:val="24"/>
                <w:szCs w:val="28"/>
              </w:rPr>
              <w:t>2人</w:t>
            </w:r>
            <w:r>
              <w:rPr>
                <w:color w:val="0000FF"/>
                <w:sz w:val="24"/>
                <w:szCs w:val="28"/>
              </w:rPr>
              <w:t>。工厂生产期为300天/年</w:t>
            </w:r>
            <w:r>
              <w:rPr>
                <w:rFonts w:hint="eastAsia"/>
                <w:color w:val="0000FF"/>
                <w:sz w:val="24"/>
                <w:szCs w:val="28"/>
              </w:rPr>
              <w:t>，</w:t>
            </w:r>
            <w:r>
              <w:rPr>
                <w:color w:val="0000FF"/>
                <w:sz w:val="24"/>
                <w:szCs w:val="28"/>
              </w:rPr>
              <w:t>每</w:t>
            </w:r>
            <w:r>
              <w:rPr>
                <w:rFonts w:hint="eastAsia"/>
                <w:color w:val="0000FF"/>
                <w:sz w:val="24"/>
                <w:szCs w:val="28"/>
              </w:rPr>
              <w:t>天</w:t>
            </w:r>
            <w:r>
              <w:rPr>
                <w:color w:val="0000FF"/>
                <w:sz w:val="24"/>
                <w:szCs w:val="28"/>
              </w:rPr>
              <w:t>工作8小时。员工</w:t>
            </w:r>
            <w:r>
              <w:rPr>
                <w:rFonts w:hint="eastAsia"/>
                <w:color w:val="0000FF"/>
                <w:sz w:val="24"/>
                <w:szCs w:val="28"/>
              </w:rPr>
              <w:t>食宿依托庆阳亿信肥业有限公司食堂和宿舍</w:t>
            </w:r>
            <w:r>
              <w:rPr>
                <w:color w:val="0000FF"/>
                <w:sz w:val="24"/>
                <w:szCs w:val="28"/>
              </w:rPr>
              <w:t>。</w:t>
            </w:r>
          </w:p>
          <w:p>
            <w:pPr>
              <w:spacing w:beforeLines="50" w:afterLines="50" w:line="360" w:lineRule="auto"/>
              <w:outlineLvl w:val="2"/>
              <w:rPr>
                <w:b/>
                <w:color w:val="0000FF"/>
                <w:sz w:val="24"/>
                <w:szCs w:val="28"/>
              </w:rPr>
            </w:pPr>
            <w:r>
              <w:rPr>
                <w:rFonts w:hint="eastAsia"/>
                <w:b/>
                <w:color w:val="0000FF"/>
                <w:sz w:val="24"/>
                <w:szCs w:val="28"/>
              </w:rPr>
              <w:t>8</w:t>
            </w:r>
            <w:r>
              <w:rPr>
                <w:b/>
                <w:color w:val="0000FF"/>
                <w:sz w:val="24"/>
                <w:szCs w:val="28"/>
              </w:rPr>
              <w:t>、公用工程</w:t>
            </w:r>
          </w:p>
          <w:p>
            <w:pPr>
              <w:spacing w:line="360" w:lineRule="auto"/>
              <w:ind w:firstLine="480" w:firstLineChars="200"/>
              <w:rPr>
                <w:color w:val="0000FF"/>
                <w:sz w:val="24"/>
              </w:rPr>
            </w:pPr>
            <w:r>
              <w:rPr>
                <w:rFonts w:hint="eastAsia"/>
                <w:color w:val="0000FF"/>
                <w:sz w:val="24"/>
              </w:rPr>
              <w:t>8</w:t>
            </w:r>
            <w:r>
              <w:rPr>
                <w:color w:val="0000FF"/>
                <w:sz w:val="24"/>
              </w:rPr>
              <w:t>.1给排水情况</w:t>
            </w:r>
          </w:p>
          <w:p>
            <w:pPr>
              <w:spacing w:line="360" w:lineRule="auto"/>
              <w:ind w:firstLine="480" w:firstLineChars="200"/>
              <w:rPr>
                <w:color w:val="0000FF"/>
                <w:sz w:val="24"/>
                <w:szCs w:val="28"/>
                <w:lang w:val="zh-CN"/>
              </w:rPr>
            </w:pPr>
            <w:r>
              <w:rPr>
                <w:rFonts w:hint="eastAsia"/>
                <w:color w:val="0000FF"/>
                <w:sz w:val="24"/>
                <w:szCs w:val="28"/>
              </w:rPr>
              <w:t>8</w:t>
            </w:r>
            <w:r>
              <w:rPr>
                <w:color w:val="0000FF"/>
                <w:sz w:val="24"/>
                <w:szCs w:val="28"/>
              </w:rPr>
              <w:t>.1.1</w:t>
            </w:r>
            <w:r>
              <w:rPr>
                <w:color w:val="0000FF"/>
                <w:sz w:val="24"/>
                <w:szCs w:val="28"/>
                <w:lang w:val="zh-CN"/>
              </w:rPr>
              <w:t>给水</w:t>
            </w:r>
          </w:p>
          <w:p>
            <w:pPr>
              <w:spacing w:line="360" w:lineRule="auto"/>
              <w:ind w:firstLine="480" w:firstLineChars="200"/>
              <w:rPr>
                <w:color w:val="0000FF"/>
                <w:sz w:val="24"/>
                <w:szCs w:val="28"/>
              </w:rPr>
            </w:pPr>
            <w:r>
              <w:rPr>
                <w:rFonts w:hint="eastAsia" w:ascii="宋体" w:hAnsi="宋体" w:cs="宋体"/>
                <w:color w:val="0000FF"/>
                <w:sz w:val="24"/>
                <w:szCs w:val="28"/>
              </w:rPr>
              <w:t>⑴</w:t>
            </w:r>
            <w:r>
              <w:rPr>
                <w:color w:val="0000FF"/>
                <w:sz w:val="24"/>
                <w:szCs w:val="28"/>
              </w:rPr>
              <w:t>水源及供水方式</w:t>
            </w:r>
          </w:p>
          <w:p>
            <w:pPr>
              <w:spacing w:line="360" w:lineRule="auto"/>
              <w:ind w:firstLine="480" w:firstLineChars="200"/>
              <w:rPr>
                <w:color w:val="0000FF"/>
                <w:sz w:val="24"/>
                <w:szCs w:val="28"/>
              </w:rPr>
            </w:pPr>
            <w:r>
              <w:rPr>
                <w:rFonts w:hint="eastAsia"/>
                <w:color w:val="0000FF"/>
                <w:sz w:val="24"/>
                <w:szCs w:val="28"/>
              </w:rPr>
              <w:t>项目用水由依托厂区现有自来水管网。本项目用水主要为职工生活用水。</w:t>
            </w:r>
            <w:r>
              <w:rPr>
                <w:color w:val="0000FF"/>
                <w:sz w:val="24"/>
                <w:szCs w:val="28"/>
              </w:rPr>
              <w:t xml:space="preserve"> </w:t>
            </w:r>
          </w:p>
          <w:p>
            <w:pPr>
              <w:spacing w:line="360" w:lineRule="auto"/>
              <w:ind w:firstLine="480" w:firstLineChars="200"/>
              <w:rPr>
                <w:color w:val="0000FF"/>
                <w:sz w:val="24"/>
                <w:szCs w:val="28"/>
              </w:rPr>
            </w:pPr>
            <w:r>
              <w:rPr>
                <w:rFonts w:hint="eastAsia" w:ascii="宋体" w:hAnsi="宋体" w:cs="宋体"/>
                <w:color w:val="0000FF"/>
                <w:sz w:val="24"/>
                <w:szCs w:val="28"/>
              </w:rPr>
              <w:t>⑵</w:t>
            </w:r>
            <w:r>
              <w:rPr>
                <w:color w:val="0000FF"/>
                <w:sz w:val="24"/>
                <w:szCs w:val="28"/>
              </w:rPr>
              <w:t>耗水量</w:t>
            </w:r>
          </w:p>
          <w:p>
            <w:pPr>
              <w:spacing w:line="360" w:lineRule="auto"/>
              <w:ind w:firstLine="480" w:firstLineChars="200"/>
              <w:rPr>
                <w:color w:val="0000FF"/>
                <w:sz w:val="24"/>
                <w:szCs w:val="28"/>
              </w:rPr>
            </w:pPr>
            <w:r>
              <w:rPr>
                <w:color w:val="0000FF"/>
                <w:sz w:val="24"/>
                <w:szCs w:val="28"/>
              </w:rPr>
              <w:t>本项目用水主要包括生活用水，项目用水情况见表</w:t>
            </w:r>
            <w:r>
              <w:rPr>
                <w:rFonts w:hint="eastAsia"/>
                <w:color w:val="0000FF"/>
                <w:sz w:val="24"/>
                <w:szCs w:val="28"/>
              </w:rPr>
              <w:t>5</w:t>
            </w:r>
            <w:r>
              <w:rPr>
                <w:color w:val="0000FF"/>
                <w:sz w:val="24"/>
                <w:szCs w:val="28"/>
              </w:rPr>
              <w:t>。</w:t>
            </w:r>
          </w:p>
          <w:p>
            <w:pPr>
              <w:widowControl/>
              <w:jc w:val="center"/>
              <w:rPr>
                <w:rFonts w:hint="eastAsia"/>
                <w:b/>
                <w:color w:val="0000FF"/>
                <w:sz w:val="24"/>
              </w:rPr>
            </w:pPr>
            <w:r>
              <w:rPr>
                <w:b/>
                <w:color w:val="0000FF"/>
                <w:sz w:val="24"/>
              </w:rPr>
              <w:t>表</w:t>
            </w:r>
            <w:r>
              <w:rPr>
                <w:rFonts w:hint="eastAsia"/>
                <w:b/>
                <w:color w:val="0000FF"/>
                <w:sz w:val="24"/>
              </w:rPr>
              <w:t>5</w:t>
            </w:r>
            <w:r>
              <w:rPr>
                <w:b/>
                <w:color w:val="0000FF"/>
                <w:sz w:val="24"/>
              </w:rPr>
              <w:t>项目用水情况一览表</w:t>
            </w:r>
          </w:p>
          <w:tbl>
            <w:tblPr>
              <w:tblStyle w:val="24"/>
              <w:tblW w:w="0" w:type="auto"/>
              <w:jc w:val="center"/>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329"/>
              <w:gridCol w:w="1145"/>
              <w:gridCol w:w="1048"/>
              <w:gridCol w:w="1002"/>
              <w:gridCol w:w="760"/>
              <w:gridCol w:w="883"/>
              <w:gridCol w:w="1700"/>
            </w:tblGrid>
            <w:tr>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46" w:type="dxa"/>
                  <w:vAlign w:val="center"/>
                </w:tcPr>
                <w:p>
                  <w:pPr>
                    <w:spacing w:line="240" w:lineRule="atLeast"/>
                    <w:jc w:val="center"/>
                    <w:rPr>
                      <w:color w:val="0000FF"/>
                      <w:szCs w:val="21"/>
                    </w:rPr>
                  </w:pPr>
                  <w:r>
                    <w:rPr>
                      <w:color w:val="0000FF"/>
                      <w:szCs w:val="21"/>
                    </w:rPr>
                    <w:t>序号</w:t>
                  </w:r>
                </w:p>
              </w:tc>
              <w:tc>
                <w:tcPr>
                  <w:tcW w:w="1329" w:type="dxa"/>
                  <w:vAlign w:val="center"/>
                </w:tcPr>
                <w:p>
                  <w:pPr>
                    <w:spacing w:line="240" w:lineRule="atLeast"/>
                    <w:jc w:val="center"/>
                    <w:rPr>
                      <w:color w:val="0000FF"/>
                      <w:szCs w:val="21"/>
                    </w:rPr>
                  </w:pPr>
                  <w:r>
                    <w:rPr>
                      <w:color w:val="0000FF"/>
                      <w:szCs w:val="21"/>
                    </w:rPr>
                    <w:t>用水单位</w:t>
                  </w:r>
                </w:p>
              </w:tc>
              <w:tc>
                <w:tcPr>
                  <w:tcW w:w="1145" w:type="dxa"/>
                  <w:vAlign w:val="center"/>
                </w:tcPr>
                <w:p>
                  <w:pPr>
                    <w:spacing w:line="240" w:lineRule="atLeast"/>
                    <w:jc w:val="center"/>
                    <w:rPr>
                      <w:color w:val="0000FF"/>
                      <w:szCs w:val="21"/>
                    </w:rPr>
                  </w:pPr>
                  <w:r>
                    <w:rPr>
                      <w:color w:val="0000FF"/>
                      <w:szCs w:val="21"/>
                    </w:rPr>
                    <w:t>用水</w:t>
                  </w:r>
                </w:p>
                <w:p>
                  <w:pPr>
                    <w:spacing w:line="240" w:lineRule="atLeast"/>
                    <w:jc w:val="center"/>
                    <w:rPr>
                      <w:color w:val="0000FF"/>
                      <w:szCs w:val="21"/>
                    </w:rPr>
                  </w:pPr>
                  <w:r>
                    <w:rPr>
                      <w:color w:val="0000FF"/>
                      <w:szCs w:val="21"/>
                    </w:rPr>
                    <w:t>定额</w:t>
                  </w:r>
                </w:p>
              </w:tc>
              <w:tc>
                <w:tcPr>
                  <w:tcW w:w="1048" w:type="dxa"/>
                  <w:vAlign w:val="center"/>
                </w:tcPr>
                <w:p>
                  <w:pPr>
                    <w:spacing w:line="240" w:lineRule="atLeast"/>
                    <w:jc w:val="center"/>
                    <w:rPr>
                      <w:color w:val="0000FF"/>
                      <w:szCs w:val="21"/>
                    </w:rPr>
                  </w:pPr>
                  <w:r>
                    <w:rPr>
                      <w:color w:val="0000FF"/>
                      <w:szCs w:val="21"/>
                    </w:rPr>
                    <w:t>总用水量(m</w:t>
                  </w:r>
                  <w:r>
                    <w:rPr>
                      <w:color w:val="0000FF"/>
                      <w:szCs w:val="21"/>
                      <w:vertAlign w:val="superscript"/>
                    </w:rPr>
                    <w:t>3</w:t>
                  </w:r>
                  <w:r>
                    <w:rPr>
                      <w:color w:val="0000FF"/>
                      <w:szCs w:val="21"/>
                    </w:rPr>
                    <w:t>/d)</w:t>
                  </w:r>
                </w:p>
              </w:tc>
              <w:tc>
                <w:tcPr>
                  <w:tcW w:w="1002" w:type="dxa"/>
                  <w:vAlign w:val="center"/>
                </w:tcPr>
                <w:p>
                  <w:pPr>
                    <w:spacing w:line="240" w:lineRule="atLeast"/>
                    <w:jc w:val="center"/>
                    <w:rPr>
                      <w:color w:val="0000FF"/>
                      <w:szCs w:val="21"/>
                    </w:rPr>
                  </w:pPr>
                  <w:r>
                    <w:rPr>
                      <w:color w:val="0000FF"/>
                      <w:szCs w:val="21"/>
                    </w:rPr>
                    <w:t>新鲜用水量(m</w:t>
                  </w:r>
                  <w:r>
                    <w:rPr>
                      <w:color w:val="0000FF"/>
                      <w:szCs w:val="21"/>
                      <w:vertAlign w:val="superscript"/>
                    </w:rPr>
                    <w:t>3</w:t>
                  </w:r>
                  <w:r>
                    <w:rPr>
                      <w:color w:val="0000FF"/>
                      <w:szCs w:val="21"/>
                    </w:rPr>
                    <w:t>/d)</w:t>
                  </w:r>
                </w:p>
              </w:tc>
              <w:tc>
                <w:tcPr>
                  <w:tcW w:w="760" w:type="dxa"/>
                  <w:vAlign w:val="center"/>
                </w:tcPr>
                <w:p>
                  <w:pPr>
                    <w:spacing w:line="240" w:lineRule="atLeast"/>
                    <w:jc w:val="center"/>
                    <w:rPr>
                      <w:color w:val="0000FF"/>
                      <w:szCs w:val="21"/>
                    </w:rPr>
                  </w:pPr>
                  <w:r>
                    <w:rPr>
                      <w:rFonts w:hint="eastAsia"/>
                      <w:color w:val="0000FF"/>
                      <w:szCs w:val="21"/>
                    </w:rPr>
                    <w:t>回用水量</w:t>
                  </w:r>
                  <w:r>
                    <w:rPr>
                      <w:color w:val="0000FF"/>
                      <w:szCs w:val="21"/>
                    </w:rPr>
                    <w:t>(m</w:t>
                  </w:r>
                  <w:r>
                    <w:rPr>
                      <w:color w:val="0000FF"/>
                      <w:szCs w:val="21"/>
                      <w:vertAlign w:val="superscript"/>
                    </w:rPr>
                    <w:t>3</w:t>
                  </w:r>
                  <w:r>
                    <w:rPr>
                      <w:color w:val="0000FF"/>
                      <w:szCs w:val="21"/>
                    </w:rPr>
                    <w:t>/d)</w:t>
                  </w:r>
                </w:p>
              </w:tc>
              <w:tc>
                <w:tcPr>
                  <w:tcW w:w="883" w:type="dxa"/>
                  <w:vAlign w:val="center"/>
                </w:tcPr>
                <w:p>
                  <w:pPr>
                    <w:spacing w:line="240" w:lineRule="atLeast"/>
                    <w:jc w:val="center"/>
                    <w:rPr>
                      <w:color w:val="0000FF"/>
                      <w:szCs w:val="21"/>
                    </w:rPr>
                  </w:pPr>
                  <w:r>
                    <w:rPr>
                      <w:color w:val="0000FF"/>
                      <w:szCs w:val="21"/>
                    </w:rPr>
                    <w:t>排水量(m</w:t>
                  </w:r>
                  <w:r>
                    <w:rPr>
                      <w:color w:val="0000FF"/>
                      <w:szCs w:val="21"/>
                      <w:vertAlign w:val="superscript"/>
                    </w:rPr>
                    <w:t>3</w:t>
                  </w:r>
                  <w:r>
                    <w:rPr>
                      <w:color w:val="0000FF"/>
                      <w:szCs w:val="21"/>
                    </w:rPr>
                    <w:t>/d)</w:t>
                  </w:r>
                </w:p>
              </w:tc>
              <w:tc>
                <w:tcPr>
                  <w:tcW w:w="1700" w:type="dxa"/>
                  <w:vAlign w:val="center"/>
                </w:tcPr>
                <w:p>
                  <w:pPr>
                    <w:spacing w:line="240" w:lineRule="atLeast"/>
                    <w:jc w:val="center"/>
                    <w:rPr>
                      <w:color w:val="0000FF"/>
                      <w:szCs w:val="21"/>
                    </w:rPr>
                  </w:pPr>
                  <w:r>
                    <w:rPr>
                      <w:color w:val="0000FF"/>
                      <w:szCs w:val="21"/>
                    </w:rPr>
                    <w:t>备注</w:t>
                  </w:r>
                </w:p>
              </w:tc>
            </w:tr>
            <w:tr>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46" w:type="dxa"/>
                  <w:vAlign w:val="center"/>
                </w:tcPr>
                <w:p>
                  <w:pPr>
                    <w:spacing w:line="240" w:lineRule="atLeast"/>
                    <w:jc w:val="center"/>
                    <w:rPr>
                      <w:color w:val="0000FF"/>
                      <w:szCs w:val="21"/>
                    </w:rPr>
                  </w:pPr>
                  <w:r>
                    <w:rPr>
                      <w:rFonts w:hint="eastAsia"/>
                      <w:color w:val="0000FF"/>
                      <w:szCs w:val="21"/>
                    </w:rPr>
                    <w:t>1</w:t>
                  </w:r>
                </w:p>
              </w:tc>
              <w:tc>
                <w:tcPr>
                  <w:tcW w:w="1329" w:type="dxa"/>
                  <w:vAlign w:val="center"/>
                </w:tcPr>
                <w:p>
                  <w:pPr>
                    <w:spacing w:line="240" w:lineRule="atLeast"/>
                    <w:jc w:val="center"/>
                    <w:rPr>
                      <w:color w:val="0000FF"/>
                      <w:szCs w:val="21"/>
                    </w:rPr>
                  </w:pPr>
                  <w:r>
                    <w:rPr>
                      <w:color w:val="0000FF"/>
                      <w:szCs w:val="21"/>
                    </w:rPr>
                    <w:t>生活用水</w:t>
                  </w:r>
                </w:p>
              </w:tc>
              <w:tc>
                <w:tcPr>
                  <w:tcW w:w="1145" w:type="dxa"/>
                  <w:vAlign w:val="center"/>
                </w:tcPr>
                <w:p>
                  <w:pPr>
                    <w:spacing w:line="240" w:lineRule="atLeast"/>
                    <w:jc w:val="center"/>
                    <w:rPr>
                      <w:color w:val="0000FF"/>
                      <w:szCs w:val="21"/>
                    </w:rPr>
                  </w:pPr>
                  <w:r>
                    <w:rPr>
                      <w:color w:val="0000FF"/>
                      <w:szCs w:val="21"/>
                    </w:rPr>
                    <w:t>100L/人·d</w:t>
                  </w:r>
                </w:p>
              </w:tc>
              <w:tc>
                <w:tcPr>
                  <w:tcW w:w="1048" w:type="dxa"/>
                  <w:vAlign w:val="center"/>
                </w:tcPr>
                <w:p>
                  <w:pPr>
                    <w:spacing w:line="240" w:lineRule="atLeast"/>
                    <w:jc w:val="center"/>
                    <w:rPr>
                      <w:color w:val="0000FF"/>
                      <w:szCs w:val="21"/>
                    </w:rPr>
                  </w:pPr>
                  <w:r>
                    <w:rPr>
                      <w:rFonts w:hint="eastAsia"/>
                      <w:color w:val="0000FF"/>
                      <w:szCs w:val="21"/>
                    </w:rPr>
                    <w:t>0.2</w:t>
                  </w:r>
                </w:p>
              </w:tc>
              <w:tc>
                <w:tcPr>
                  <w:tcW w:w="1002" w:type="dxa"/>
                  <w:vAlign w:val="center"/>
                </w:tcPr>
                <w:p>
                  <w:pPr>
                    <w:spacing w:line="240" w:lineRule="atLeast"/>
                    <w:jc w:val="center"/>
                    <w:rPr>
                      <w:color w:val="0000FF"/>
                      <w:szCs w:val="21"/>
                    </w:rPr>
                  </w:pPr>
                  <w:r>
                    <w:rPr>
                      <w:rFonts w:hint="eastAsia"/>
                      <w:color w:val="0000FF"/>
                      <w:szCs w:val="21"/>
                    </w:rPr>
                    <w:t>0.2</w:t>
                  </w:r>
                </w:p>
              </w:tc>
              <w:tc>
                <w:tcPr>
                  <w:tcW w:w="760" w:type="dxa"/>
                  <w:vAlign w:val="center"/>
                </w:tcPr>
                <w:p>
                  <w:pPr>
                    <w:spacing w:line="240" w:lineRule="atLeast"/>
                    <w:jc w:val="center"/>
                    <w:rPr>
                      <w:rFonts w:hint="eastAsia"/>
                      <w:color w:val="0000FF"/>
                      <w:szCs w:val="21"/>
                    </w:rPr>
                  </w:pPr>
                  <w:r>
                    <w:rPr>
                      <w:rFonts w:hint="eastAsia"/>
                      <w:color w:val="0000FF"/>
                      <w:szCs w:val="21"/>
                    </w:rPr>
                    <w:t>0</w:t>
                  </w:r>
                </w:p>
              </w:tc>
              <w:tc>
                <w:tcPr>
                  <w:tcW w:w="883" w:type="dxa"/>
                  <w:vAlign w:val="center"/>
                </w:tcPr>
                <w:p>
                  <w:pPr>
                    <w:spacing w:line="240" w:lineRule="atLeast"/>
                    <w:jc w:val="center"/>
                    <w:rPr>
                      <w:color w:val="0000FF"/>
                      <w:szCs w:val="21"/>
                    </w:rPr>
                  </w:pPr>
                  <w:r>
                    <w:rPr>
                      <w:rFonts w:hint="eastAsia"/>
                      <w:color w:val="0000FF"/>
                      <w:szCs w:val="21"/>
                    </w:rPr>
                    <w:t>0.16</w:t>
                  </w:r>
                </w:p>
              </w:tc>
              <w:tc>
                <w:tcPr>
                  <w:tcW w:w="1700" w:type="dxa"/>
                  <w:vAlign w:val="center"/>
                </w:tcPr>
                <w:p>
                  <w:pPr>
                    <w:spacing w:line="240" w:lineRule="atLeast"/>
                    <w:jc w:val="center"/>
                    <w:rPr>
                      <w:color w:val="0000FF"/>
                      <w:szCs w:val="21"/>
                    </w:rPr>
                  </w:pPr>
                  <w:r>
                    <w:rPr>
                      <w:color w:val="0000FF"/>
                      <w:szCs w:val="21"/>
                    </w:rPr>
                    <w:t>劳动定员</w:t>
                  </w:r>
                  <w:r>
                    <w:rPr>
                      <w:rFonts w:hint="eastAsia"/>
                      <w:color w:val="0000FF"/>
                      <w:szCs w:val="21"/>
                    </w:rPr>
                    <w:t>2</w:t>
                  </w:r>
                  <w:r>
                    <w:rPr>
                      <w:color w:val="0000FF"/>
                      <w:szCs w:val="21"/>
                    </w:rPr>
                    <w:t>人</w:t>
                  </w:r>
                </w:p>
              </w:tc>
            </w:tr>
            <w:tr>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46" w:type="dxa"/>
                  <w:vAlign w:val="center"/>
                </w:tcPr>
                <w:p>
                  <w:pPr>
                    <w:spacing w:line="240" w:lineRule="atLeast"/>
                    <w:jc w:val="center"/>
                    <w:rPr>
                      <w:rFonts w:hint="eastAsia"/>
                      <w:color w:val="0000FF"/>
                      <w:szCs w:val="21"/>
                    </w:rPr>
                  </w:pPr>
                  <w:r>
                    <w:rPr>
                      <w:rFonts w:hint="eastAsia"/>
                      <w:color w:val="0000FF"/>
                      <w:szCs w:val="21"/>
                    </w:rPr>
                    <w:t>2</w:t>
                  </w:r>
                </w:p>
              </w:tc>
              <w:tc>
                <w:tcPr>
                  <w:tcW w:w="1329" w:type="dxa"/>
                  <w:vAlign w:val="center"/>
                </w:tcPr>
                <w:p>
                  <w:pPr>
                    <w:spacing w:line="240" w:lineRule="atLeast"/>
                    <w:jc w:val="center"/>
                    <w:rPr>
                      <w:color w:val="0000FF"/>
                      <w:szCs w:val="21"/>
                    </w:rPr>
                  </w:pPr>
                  <w:r>
                    <w:rPr>
                      <w:rFonts w:hint="eastAsia"/>
                      <w:color w:val="0000FF"/>
                      <w:szCs w:val="21"/>
                    </w:rPr>
                    <w:t>喷淋用水</w:t>
                  </w:r>
                </w:p>
              </w:tc>
              <w:tc>
                <w:tcPr>
                  <w:tcW w:w="1145" w:type="dxa"/>
                  <w:vAlign w:val="center"/>
                </w:tcPr>
                <w:p>
                  <w:pPr>
                    <w:spacing w:line="240" w:lineRule="atLeast"/>
                    <w:jc w:val="center"/>
                    <w:rPr>
                      <w:color w:val="0000FF"/>
                      <w:szCs w:val="21"/>
                    </w:rPr>
                  </w:pPr>
                  <w:r>
                    <w:rPr>
                      <w:rFonts w:hint="eastAsia"/>
                      <w:color w:val="0000FF"/>
                      <w:szCs w:val="21"/>
                    </w:rPr>
                    <w:t>1.5L/m</w:t>
                  </w:r>
                  <w:r>
                    <w:rPr>
                      <w:rFonts w:hint="eastAsia"/>
                      <w:color w:val="0000FF"/>
                      <w:szCs w:val="21"/>
                      <w:vertAlign w:val="superscript"/>
                    </w:rPr>
                    <w:t>2</w:t>
                  </w:r>
                  <w:r>
                    <w:rPr>
                      <w:rFonts w:hint="eastAsia"/>
                      <w:color w:val="0000FF"/>
                      <w:szCs w:val="21"/>
                    </w:rPr>
                    <w:t>.d</w:t>
                  </w:r>
                </w:p>
              </w:tc>
              <w:tc>
                <w:tcPr>
                  <w:tcW w:w="1048" w:type="dxa"/>
                  <w:vAlign w:val="center"/>
                </w:tcPr>
                <w:p>
                  <w:pPr>
                    <w:spacing w:line="240" w:lineRule="atLeast"/>
                    <w:jc w:val="center"/>
                    <w:rPr>
                      <w:rFonts w:hint="eastAsia"/>
                      <w:color w:val="0000FF"/>
                      <w:szCs w:val="21"/>
                    </w:rPr>
                  </w:pPr>
                  <w:r>
                    <w:rPr>
                      <w:rFonts w:hint="eastAsia"/>
                      <w:color w:val="0000FF"/>
                      <w:szCs w:val="21"/>
                    </w:rPr>
                    <w:t>12</w:t>
                  </w:r>
                </w:p>
              </w:tc>
              <w:tc>
                <w:tcPr>
                  <w:tcW w:w="1002" w:type="dxa"/>
                  <w:vAlign w:val="center"/>
                </w:tcPr>
                <w:p>
                  <w:pPr>
                    <w:spacing w:line="240" w:lineRule="atLeast"/>
                    <w:jc w:val="center"/>
                    <w:rPr>
                      <w:rFonts w:hint="eastAsia"/>
                      <w:color w:val="0000FF"/>
                      <w:szCs w:val="21"/>
                    </w:rPr>
                  </w:pPr>
                  <w:r>
                    <w:rPr>
                      <w:rFonts w:hint="eastAsia"/>
                      <w:color w:val="0000FF"/>
                      <w:szCs w:val="21"/>
                    </w:rPr>
                    <w:t>7.68</w:t>
                  </w:r>
                </w:p>
              </w:tc>
              <w:tc>
                <w:tcPr>
                  <w:tcW w:w="760" w:type="dxa"/>
                  <w:vAlign w:val="center"/>
                </w:tcPr>
                <w:p>
                  <w:pPr>
                    <w:spacing w:line="240" w:lineRule="atLeast"/>
                    <w:jc w:val="center"/>
                    <w:rPr>
                      <w:rFonts w:hint="eastAsia"/>
                      <w:color w:val="0000FF"/>
                      <w:szCs w:val="21"/>
                    </w:rPr>
                  </w:pPr>
                  <w:r>
                    <w:rPr>
                      <w:rFonts w:hint="eastAsia"/>
                      <w:color w:val="0000FF"/>
                      <w:szCs w:val="21"/>
                    </w:rPr>
                    <w:t>4.32</w:t>
                  </w:r>
                </w:p>
              </w:tc>
              <w:tc>
                <w:tcPr>
                  <w:tcW w:w="883" w:type="dxa"/>
                  <w:vAlign w:val="center"/>
                </w:tcPr>
                <w:p>
                  <w:pPr>
                    <w:spacing w:line="240" w:lineRule="atLeast"/>
                    <w:jc w:val="center"/>
                    <w:rPr>
                      <w:rFonts w:hint="eastAsia"/>
                      <w:color w:val="0000FF"/>
                      <w:szCs w:val="21"/>
                    </w:rPr>
                  </w:pPr>
                  <w:r>
                    <w:rPr>
                      <w:rFonts w:hint="eastAsia"/>
                      <w:color w:val="0000FF"/>
                      <w:szCs w:val="21"/>
                    </w:rPr>
                    <w:t>0</w:t>
                  </w:r>
                </w:p>
              </w:tc>
              <w:tc>
                <w:tcPr>
                  <w:tcW w:w="1700" w:type="dxa"/>
                  <w:vAlign w:val="center"/>
                </w:tcPr>
                <w:p>
                  <w:pPr>
                    <w:spacing w:line="240" w:lineRule="atLeast"/>
                    <w:jc w:val="center"/>
                    <w:rPr>
                      <w:color w:val="0000FF"/>
                      <w:szCs w:val="21"/>
                    </w:rPr>
                  </w:pPr>
                  <w:r>
                    <w:rPr>
                      <w:rFonts w:hint="eastAsia"/>
                      <w:color w:val="0000FF"/>
                      <w:szCs w:val="21"/>
                    </w:rPr>
                    <w:t>总占地8000m</w:t>
                  </w:r>
                  <w:r>
                    <w:rPr>
                      <w:rFonts w:hint="eastAsia"/>
                      <w:color w:val="0000FF"/>
                      <w:szCs w:val="21"/>
                      <w:vertAlign w:val="superscript"/>
                    </w:rPr>
                    <w:t>2</w:t>
                  </w:r>
                </w:p>
              </w:tc>
            </w:tr>
            <w:tr>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46" w:type="dxa"/>
                  <w:vAlign w:val="center"/>
                </w:tcPr>
                <w:p>
                  <w:pPr>
                    <w:spacing w:line="240" w:lineRule="atLeast"/>
                    <w:jc w:val="center"/>
                    <w:rPr>
                      <w:rFonts w:hint="eastAsia"/>
                      <w:color w:val="0000FF"/>
                      <w:szCs w:val="21"/>
                    </w:rPr>
                  </w:pPr>
                  <w:r>
                    <w:rPr>
                      <w:rFonts w:hint="eastAsia"/>
                      <w:color w:val="0000FF"/>
                      <w:szCs w:val="21"/>
                    </w:rPr>
                    <w:t>3</w:t>
                  </w:r>
                </w:p>
              </w:tc>
              <w:tc>
                <w:tcPr>
                  <w:tcW w:w="1329" w:type="dxa"/>
                  <w:vAlign w:val="center"/>
                </w:tcPr>
                <w:p>
                  <w:pPr>
                    <w:spacing w:line="240" w:lineRule="atLeast"/>
                    <w:jc w:val="center"/>
                    <w:rPr>
                      <w:rFonts w:hint="eastAsia"/>
                      <w:color w:val="0000FF"/>
                      <w:szCs w:val="21"/>
                    </w:rPr>
                  </w:pPr>
                  <w:r>
                    <w:rPr>
                      <w:rFonts w:hint="eastAsia"/>
                      <w:color w:val="0000FF"/>
                      <w:szCs w:val="21"/>
                    </w:rPr>
                    <w:t>洗车用水</w:t>
                  </w:r>
                </w:p>
              </w:tc>
              <w:tc>
                <w:tcPr>
                  <w:tcW w:w="1145" w:type="dxa"/>
                  <w:vAlign w:val="center"/>
                </w:tcPr>
                <w:p>
                  <w:pPr>
                    <w:spacing w:line="240" w:lineRule="atLeast"/>
                    <w:jc w:val="center"/>
                    <w:rPr>
                      <w:color w:val="0000FF"/>
                      <w:szCs w:val="21"/>
                    </w:rPr>
                  </w:pPr>
                  <w:r>
                    <w:rPr>
                      <w:rFonts w:hint="eastAsia"/>
                      <w:color w:val="0000FF"/>
                      <w:szCs w:val="21"/>
                    </w:rPr>
                    <w:t>50L/辆.d</w:t>
                  </w:r>
                </w:p>
              </w:tc>
              <w:tc>
                <w:tcPr>
                  <w:tcW w:w="1048" w:type="dxa"/>
                  <w:vAlign w:val="center"/>
                </w:tcPr>
                <w:p>
                  <w:pPr>
                    <w:spacing w:line="240" w:lineRule="atLeast"/>
                    <w:jc w:val="center"/>
                    <w:rPr>
                      <w:rFonts w:hint="eastAsia"/>
                      <w:color w:val="0000FF"/>
                      <w:szCs w:val="21"/>
                    </w:rPr>
                  </w:pPr>
                  <w:r>
                    <w:rPr>
                      <w:rFonts w:hint="eastAsia"/>
                      <w:color w:val="0000FF"/>
                      <w:szCs w:val="21"/>
                    </w:rPr>
                    <w:t>5.4</w:t>
                  </w:r>
                </w:p>
              </w:tc>
              <w:tc>
                <w:tcPr>
                  <w:tcW w:w="1002" w:type="dxa"/>
                  <w:vAlign w:val="center"/>
                </w:tcPr>
                <w:p>
                  <w:pPr>
                    <w:spacing w:line="240" w:lineRule="atLeast"/>
                    <w:jc w:val="center"/>
                    <w:rPr>
                      <w:rFonts w:hint="eastAsia"/>
                      <w:color w:val="0000FF"/>
                      <w:szCs w:val="21"/>
                    </w:rPr>
                  </w:pPr>
                  <w:r>
                    <w:rPr>
                      <w:rFonts w:hint="eastAsia"/>
                      <w:color w:val="0000FF"/>
                      <w:szCs w:val="21"/>
                    </w:rPr>
                    <w:t>5.4</w:t>
                  </w:r>
                </w:p>
              </w:tc>
              <w:tc>
                <w:tcPr>
                  <w:tcW w:w="760" w:type="dxa"/>
                  <w:vAlign w:val="center"/>
                </w:tcPr>
                <w:p>
                  <w:pPr>
                    <w:spacing w:line="240" w:lineRule="atLeast"/>
                    <w:jc w:val="center"/>
                    <w:rPr>
                      <w:rFonts w:hint="eastAsia"/>
                      <w:color w:val="0000FF"/>
                      <w:szCs w:val="21"/>
                    </w:rPr>
                  </w:pPr>
                  <w:r>
                    <w:rPr>
                      <w:rFonts w:hint="eastAsia"/>
                      <w:color w:val="0000FF"/>
                      <w:szCs w:val="21"/>
                    </w:rPr>
                    <w:t>0</w:t>
                  </w:r>
                </w:p>
              </w:tc>
              <w:tc>
                <w:tcPr>
                  <w:tcW w:w="883" w:type="dxa"/>
                  <w:vAlign w:val="center"/>
                </w:tcPr>
                <w:p>
                  <w:pPr>
                    <w:spacing w:line="240" w:lineRule="atLeast"/>
                    <w:jc w:val="center"/>
                    <w:rPr>
                      <w:rFonts w:hint="eastAsia"/>
                      <w:color w:val="0000FF"/>
                      <w:szCs w:val="21"/>
                    </w:rPr>
                  </w:pPr>
                  <w:r>
                    <w:rPr>
                      <w:rFonts w:hint="eastAsia"/>
                      <w:color w:val="0000FF"/>
                      <w:szCs w:val="21"/>
                    </w:rPr>
                    <w:t>4.32</w:t>
                  </w:r>
                </w:p>
              </w:tc>
              <w:tc>
                <w:tcPr>
                  <w:tcW w:w="1700" w:type="dxa"/>
                  <w:vAlign w:val="center"/>
                </w:tcPr>
                <w:p>
                  <w:pPr>
                    <w:spacing w:line="240" w:lineRule="atLeast"/>
                    <w:jc w:val="center"/>
                    <w:rPr>
                      <w:color w:val="0000FF"/>
                      <w:szCs w:val="21"/>
                    </w:rPr>
                  </w:pPr>
                  <w:r>
                    <w:rPr>
                      <w:rFonts w:hint="eastAsia"/>
                      <w:color w:val="0000FF"/>
                      <w:szCs w:val="21"/>
                    </w:rPr>
                    <w:t>3辆，每天12次</w:t>
                  </w:r>
                </w:p>
              </w:tc>
            </w:tr>
            <w:tr>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46" w:type="dxa"/>
                  <w:vAlign w:val="center"/>
                </w:tcPr>
                <w:p>
                  <w:pPr>
                    <w:spacing w:line="240" w:lineRule="atLeast"/>
                    <w:jc w:val="center"/>
                    <w:rPr>
                      <w:rFonts w:hint="eastAsia"/>
                      <w:color w:val="0000FF"/>
                      <w:szCs w:val="21"/>
                    </w:rPr>
                  </w:pPr>
                  <w:r>
                    <w:rPr>
                      <w:rFonts w:hint="eastAsia"/>
                      <w:color w:val="0000FF"/>
                      <w:szCs w:val="21"/>
                    </w:rPr>
                    <w:t>4</w:t>
                  </w:r>
                </w:p>
              </w:tc>
              <w:tc>
                <w:tcPr>
                  <w:tcW w:w="2474" w:type="dxa"/>
                  <w:gridSpan w:val="2"/>
                  <w:vAlign w:val="center"/>
                </w:tcPr>
                <w:p>
                  <w:pPr>
                    <w:spacing w:line="240" w:lineRule="atLeast"/>
                    <w:jc w:val="center"/>
                    <w:rPr>
                      <w:rFonts w:hint="eastAsia"/>
                      <w:color w:val="0000FF"/>
                      <w:szCs w:val="21"/>
                    </w:rPr>
                  </w:pPr>
                  <w:r>
                    <w:rPr>
                      <w:rFonts w:hint="eastAsia"/>
                      <w:color w:val="0000FF"/>
                      <w:szCs w:val="21"/>
                    </w:rPr>
                    <w:t>合计</w:t>
                  </w:r>
                </w:p>
              </w:tc>
              <w:tc>
                <w:tcPr>
                  <w:tcW w:w="1048" w:type="dxa"/>
                  <w:vAlign w:val="center"/>
                </w:tcPr>
                <w:p>
                  <w:pPr>
                    <w:spacing w:line="240" w:lineRule="atLeast"/>
                    <w:jc w:val="center"/>
                    <w:rPr>
                      <w:rFonts w:hint="eastAsia"/>
                      <w:color w:val="0000FF"/>
                      <w:szCs w:val="21"/>
                    </w:rPr>
                  </w:pPr>
                  <w:r>
                    <w:rPr>
                      <w:rFonts w:hint="eastAsia"/>
                      <w:color w:val="0000FF"/>
                      <w:szCs w:val="21"/>
                    </w:rPr>
                    <w:t>17.6</w:t>
                  </w:r>
                </w:p>
              </w:tc>
              <w:tc>
                <w:tcPr>
                  <w:tcW w:w="1002" w:type="dxa"/>
                  <w:vAlign w:val="center"/>
                </w:tcPr>
                <w:p>
                  <w:pPr>
                    <w:spacing w:line="240" w:lineRule="atLeast"/>
                    <w:jc w:val="center"/>
                    <w:rPr>
                      <w:rFonts w:hint="eastAsia"/>
                      <w:color w:val="0000FF"/>
                      <w:szCs w:val="21"/>
                    </w:rPr>
                  </w:pPr>
                  <w:r>
                    <w:rPr>
                      <w:rFonts w:hint="eastAsia"/>
                      <w:color w:val="0000FF"/>
                      <w:szCs w:val="21"/>
                    </w:rPr>
                    <w:t>13.28</w:t>
                  </w:r>
                </w:p>
              </w:tc>
              <w:tc>
                <w:tcPr>
                  <w:tcW w:w="760" w:type="dxa"/>
                  <w:vAlign w:val="center"/>
                </w:tcPr>
                <w:p>
                  <w:pPr>
                    <w:spacing w:line="240" w:lineRule="atLeast"/>
                    <w:jc w:val="center"/>
                    <w:rPr>
                      <w:rFonts w:hint="eastAsia"/>
                      <w:color w:val="0000FF"/>
                      <w:szCs w:val="21"/>
                    </w:rPr>
                  </w:pPr>
                  <w:r>
                    <w:rPr>
                      <w:rFonts w:hint="eastAsia"/>
                      <w:color w:val="0000FF"/>
                      <w:szCs w:val="21"/>
                    </w:rPr>
                    <w:t>4.32</w:t>
                  </w:r>
                </w:p>
              </w:tc>
              <w:tc>
                <w:tcPr>
                  <w:tcW w:w="883" w:type="dxa"/>
                  <w:vAlign w:val="center"/>
                </w:tcPr>
                <w:p>
                  <w:pPr>
                    <w:spacing w:line="240" w:lineRule="atLeast"/>
                    <w:jc w:val="center"/>
                    <w:rPr>
                      <w:rFonts w:hint="eastAsia"/>
                      <w:color w:val="0000FF"/>
                      <w:szCs w:val="21"/>
                    </w:rPr>
                  </w:pPr>
                  <w:r>
                    <w:rPr>
                      <w:rFonts w:hint="eastAsia"/>
                      <w:color w:val="0000FF"/>
                      <w:szCs w:val="21"/>
                    </w:rPr>
                    <w:t>4.48</w:t>
                  </w:r>
                </w:p>
              </w:tc>
              <w:tc>
                <w:tcPr>
                  <w:tcW w:w="1700" w:type="dxa"/>
                  <w:vAlign w:val="center"/>
                </w:tcPr>
                <w:p>
                  <w:pPr>
                    <w:spacing w:line="240" w:lineRule="atLeast"/>
                    <w:jc w:val="center"/>
                    <w:rPr>
                      <w:rFonts w:hint="eastAsia"/>
                      <w:color w:val="0000FF"/>
                      <w:szCs w:val="21"/>
                    </w:rPr>
                  </w:pPr>
                </w:p>
              </w:tc>
            </w:tr>
          </w:tbl>
          <w:p>
            <w:pPr>
              <w:spacing w:line="360" w:lineRule="auto"/>
              <w:ind w:firstLine="480" w:firstLineChars="200"/>
              <w:rPr>
                <w:color w:val="0000FF"/>
                <w:sz w:val="24"/>
              </w:rPr>
            </w:pPr>
            <w:r>
              <w:rPr>
                <w:rFonts w:hint="eastAsia"/>
                <w:color w:val="0000FF"/>
                <w:sz w:val="24"/>
              </w:rPr>
              <w:t>8</w:t>
            </w:r>
            <w:r>
              <w:rPr>
                <w:color w:val="0000FF"/>
                <w:sz w:val="24"/>
              </w:rPr>
              <w:t>.1.2排水</w:t>
            </w:r>
          </w:p>
          <w:p>
            <w:pPr>
              <w:spacing w:line="360" w:lineRule="auto"/>
              <w:ind w:firstLine="480" w:firstLineChars="200"/>
              <w:rPr>
                <w:rFonts w:hint="eastAsia"/>
                <w:color w:val="0000FF"/>
                <w:sz w:val="24"/>
                <w:szCs w:val="28"/>
              </w:rPr>
            </w:pPr>
            <w:r>
              <w:rPr>
                <w:color w:val="0000FF"/>
                <w:sz w:val="24"/>
                <w:szCs w:val="28"/>
              </w:rPr>
              <w:t>项目排水采用雨污分流制。</w:t>
            </w:r>
          </w:p>
          <w:p>
            <w:pPr>
              <w:spacing w:line="360" w:lineRule="auto"/>
              <w:ind w:firstLine="480" w:firstLineChars="200"/>
              <w:rPr>
                <w:rFonts w:hint="eastAsia"/>
                <w:color w:val="0000FF"/>
                <w:sz w:val="24"/>
                <w:szCs w:val="28"/>
              </w:rPr>
            </w:pPr>
            <w:r>
              <w:rPr>
                <w:rFonts w:hint="eastAsia"/>
                <w:color w:val="0000FF"/>
                <w:sz w:val="24"/>
                <w:szCs w:val="28"/>
              </w:rPr>
              <w:t>雨水：经厂区雨水管网排放。</w:t>
            </w:r>
          </w:p>
          <w:p>
            <w:pPr>
              <w:spacing w:line="360" w:lineRule="auto"/>
              <w:ind w:firstLine="480" w:firstLineChars="200"/>
              <w:rPr>
                <w:rFonts w:hint="eastAsia"/>
                <w:color w:val="0000FF"/>
                <w:sz w:val="24"/>
                <w:szCs w:val="28"/>
              </w:rPr>
            </w:pPr>
            <w:r>
              <w:rPr>
                <w:rFonts w:hint="eastAsia"/>
                <w:color w:val="0000FF"/>
                <w:sz w:val="24"/>
                <w:szCs w:val="28"/>
              </w:rPr>
              <w:t>项目排水主要为生活废水和洗车废水，员工生活废水依托亿信肥业有限公司现有化粪池处理后，由亿信肥业有限公司统一运至宁县污水处理站进行处理。洗车废水经沉淀池沉淀后回用于储煤库和道路泼洒抑尘。</w:t>
            </w:r>
          </w:p>
          <w:p>
            <w:pPr>
              <w:spacing w:line="360" w:lineRule="auto"/>
              <w:ind w:firstLine="480" w:firstLineChars="200"/>
              <w:rPr>
                <w:color w:val="0000FF"/>
                <w:sz w:val="24"/>
              </w:rPr>
            </w:pPr>
            <w:r>
              <w:rPr>
                <w:rFonts w:hint="eastAsia"/>
                <w:color w:val="0000FF"/>
                <w:sz w:val="24"/>
              </w:rPr>
              <w:t>8</w:t>
            </w:r>
            <w:r>
              <w:rPr>
                <w:color w:val="0000FF"/>
                <w:sz w:val="24"/>
              </w:rPr>
              <w:t>.1.3水平衡</w:t>
            </w:r>
          </w:p>
          <w:p>
            <w:pPr>
              <w:spacing w:line="360" w:lineRule="auto"/>
              <w:ind w:firstLine="480" w:firstLineChars="200"/>
              <w:rPr>
                <w:rFonts w:hint="eastAsia"/>
                <w:color w:val="0000FF"/>
                <w:sz w:val="24"/>
                <w:szCs w:val="28"/>
              </w:rPr>
            </w:pPr>
            <w:r>
              <w:rPr>
                <w:color w:val="0000FF"/>
                <w:sz w:val="24"/>
                <w:szCs w:val="28"/>
              </w:rPr>
              <w:t>项目水平衡见图</w:t>
            </w:r>
            <w:r>
              <w:rPr>
                <w:rFonts w:hint="eastAsia"/>
                <w:color w:val="0000FF"/>
                <w:sz w:val="24"/>
                <w:szCs w:val="28"/>
              </w:rPr>
              <w:t>4</w:t>
            </w:r>
            <w:r>
              <w:rPr>
                <w:color w:val="0000FF"/>
                <w:sz w:val="24"/>
                <w:szCs w:val="28"/>
              </w:rPr>
              <w:t>。</w:t>
            </w:r>
          </w:p>
          <w:p>
            <w:pPr>
              <w:spacing w:line="360" w:lineRule="auto"/>
              <w:jc w:val="center"/>
              <w:rPr>
                <w:rFonts w:hint="eastAsia"/>
                <w:highlight w:val="yellow"/>
              </w:rPr>
            </w:pPr>
            <w:r>
              <w:object>
                <v:shape id="_x0000_i1025" o:spt="75" type="#_x0000_t75" style="height:141pt;width:273.75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spacing w:line="360" w:lineRule="auto"/>
              <w:rPr>
                <w:rFonts w:hint="eastAsia"/>
                <w:b/>
                <w:color w:val="0000FF"/>
              </w:rPr>
            </w:pPr>
            <w:r>
              <w:rPr>
                <w:rFonts w:hint="eastAsia"/>
                <w:b/>
                <w:color w:val="0000FF"/>
              </w:rPr>
              <w:t>注：虚框内为依托庆阳亿信肥业有限公司化粪池措施，不属于本项目。</w:t>
            </w:r>
          </w:p>
          <w:p>
            <w:pPr>
              <w:spacing w:line="360" w:lineRule="auto"/>
              <w:jc w:val="center"/>
              <w:rPr>
                <w:b/>
                <w:color w:val="0000FF"/>
                <w:sz w:val="24"/>
              </w:rPr>
            </w:pPr>
            <w:r>
              <w:rPr>
                <w:b/>
                <w:color w:val="0000FF"/>
                <w:sz w:val="24"/>
              </w:rPr>
              <w:t>图</w:t>
            </w:r>
            <w:r>
              <w:rPr>
                <w:rFonts w:hint="eastAsia"/>
                <w:b/>
                <w:color w:val="0000FF"/>
                <w:sz w:val="24"/>
              </w:rPr>
              <w:t>4</w:t>
            </w:r>
            <w:r>
              <w:rPr>
                <w:b/>
                <w:color w:val="0000FF"/>
                <w:sz w:val="24"/>
              </w:rPr>
              <w:t xml:space="preserve">       项目水平衡图   单位：m</w:t>
            </w:r>
            <w:r>
              <w:rPr>
                <w:b/>
                <w:color w:val="0000FF"/>
                <w:sz w:val="24"/>
                <w:vertAlign w:val="superscript"/>
              </w:rPr>
              <w:t>3</w:t>
            </w:r>
            <w:r>
              <w:rPr>
                <w:b/>
                <w:color w:val="0000FF"/>
                <w:sz w:val="24"/>
              </w:rPr>
              <w:t>/d</w:t>
            </w:r>
          </w:p>
          <w:p>
            <w:pPr>
              <w:spacing w:line="360" w:lineRule="auto"/>
              <w:ind w:firstLine="480" w:firstLineChars="200"/>
              <w:rPr>
                <w:color w:val="0000FF"/>
                <w:sz w:val="24"/>
              </w:rPr>
            </w:pPr>
            <w:r>
              <w:rPr>
                <w:rFonts w:hint="eastAsia"/>
                <w:color w:val="0000FF"/>
                <w:sz w:val="24"/>
              </w:rPr>
              <w:t>8</w:t>
            </w:r>
            <w:r>
              <w:rPr>
                <w:color w:val="0000FF"/>
                <w:sz w:val="24"/>
              </w:rPr>
              <w:t>.2供电</w:t>
            </w:r>
          </w:p>
          <w:p>
            <w:pPr>
              <w:pStyle w:val="91"/>
              <w:spacing w:line="360" w:lineRule="auto"/>
              <w:ind w:firstLine="520" w:firstLineChars="200"/>
              <w:rPr>
                <w:color w:val="0000FF"/>
                <w:kern w:val="2"/>
              </w:rPr>
            </w:pPr>
            <w:r>
              <w:rPr>
                <w:rFonts w:hint="eastAsia"/>
                <w:color w:val="0000FF"/>
                <w:kern w:val="2"/>
              </w:rPr>
              <w:t>项目用电由厂区现有供电管线供给，能满足项目用电需求。</w:t>
            </w:r>
          </w:p>
          <w:p>
            <w:pPr>
              <w:spacing w:line="360" w:lineRule="auto"/>
              <w:ind w:firstLine="480" w:firstLineChars="200"/>
              <w:rPr>
                <w:rFonts w:hint="eastAsia"/>
                <w:color w:val="0000FF"/>
                <w:sz w:val="24"/>
                <w:szCs w:val="28"/>
              </w:rPr>
            </w:pPr>
            <w:r>
              <w:rPr>
                <w:rFonts w:hint="eastAsia"/>
                <w:color w:val="0000FF"/>
                <w:sz w:val="24"/>
                <w:szCs w:val="28"/>
              </w:rPr>
              <w:t>8.3供暖</w:t>
            </w:r>
          </w:p>
          <w:p>
            <w:pPr>
              <w:spacing w:line="360" w:lineRule="auto"/>
              <w:ind w:firstLine="480" w:firstLineChars="200"/>
              <w:rPr>
                <w:rFonts w:hint="eastAsia"/>
                <w:color w:val="0000FF"/>
                <w:sz w:val="24"/>
                <w:szCs w:val="28"/>
              </w:rPr>
            </w:pPr>
            <w:r>
              <w:rPr>
                <w:rFonts w:hint="eastAsia"/>
                <w:color w:val="0000FF"/>
                <w:sz w:val="24"/>
                <w:szCs w:val="28"/>
              </w:rPr>
              <w:t>项目生产不用暖，冬季生活采暖依托厂区现有空调取暖。</w:t>
            </w:r>
          </w:p>
          <w:p>
            <w:pPr>
              <w:spacing w:line="360" w:lineRule="auto"/>
              <w:rPr>
                <w:sz w:val="24"/>
                <w:szCs w:val="28"/>
              </w:rPr>
            </w:pPr>
          </w:p>
        </w:tc>
      </w:tr>
    </w:tbl>
    <w:p>
      <w:pPr>
        <w:rPr>
          <w:vanish/>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7" w:hRule="atLeast"/>
        </w:trPr>
        <w:tc>
          <w:tcPr>
            <w:tcW w:w="8529" w:type="dxa"/>
          </w:tcPr>
          <w:p>
            <w:pPr>
              <w:widowControl/>
              <w:spacing w:line="360" w:lineRule="auto"/>
              <w:jc w:val="left"/>
              <w:rPr>
                <w:b/>
                <w:bCs/>
                <w:kern w:val="0"/>
                <w:sz w:val="28"/>
                <w:szCs w:val="28"/>
              </w:rPr>
            </w:pPr>
            <w:r>
              <w:rPr>
                <w:b/>
                <w:bCs/>
                <w:kern w:val="0"/>
                <w:sz w:val="28"/>
                <w:szCs w:val="28"/>
              </w:rPr>
              <w:t>与本项目有关的原有污染情况及主要环境问题:</w:t>
            </w:r>
          </w:p>
          <w:p>
            <w:pPr>
              <w:adjustRightInd w:val="0"/>
              <w:snapToGrid w:val="0"/>
              <w:spacing w:line="360" w:lineRule="auto"/>
              <w:ind w:right="105" w:rightChars="50" w:firstLine="480" w:firstLineChars="200"/>
              <w:rPr>
                <w:rFonts w:hint="eastAsia"/>
                <w:color w:val="0000FF"/>
                <w:sz w:val="24"/>
                <w:szCs w:val="28"/>
              </w:rPr>
            </w:pPr>
            <w:r>
              <w:rPr>
                <w:color w:val="0000FF"/>
                <w:sz w:val="24"/>
                <w:szCs w:val="28"/>
              </w:rPr>
              <w:t>本项目建设地点位于</w:t>
            </w:r>
            <w:r>
              <w:rPr>
                <w:rFonts w:hint="eastAsia"/>
                <w:color w:val="0000FF"/>
                <w:sz w:val="24"/>
                <w:szCs w:val="28"/>
              </w:rPr>
              <w:t>甘肃省庆阳市宁县长庆桥工业园区一区</w:t>
            </w:r>
            <w:r>
              <w:rPr>
                <w:rFonts w:hint="eastAsia"/>
                <w:color w:val="0000FF"/>
                <w:sz w:val="24"/>
                <w:szCs w:val="28"/>
                <w:highlight w:val="yellow"/>
              </w:rPr>
              <w:t>庆阳亿信肥业有限责任公司</w:t>
            </w:r>
            <w:r>
              <w:rPr>
                <w:rFonts w:hint="eastAsia"/>
                <w:color w:val="0000FF"/>
                <w:sz w:val="24"/>
                <w:szCs w:val="28"/>
              </w:rPr>
              <w:t>内。</w:t>
            </w:r>
            <w:r>
              <w:rPr>
                <w:color w:val="0000FF"/>
                <w:sz w:val="24"/>
                <w:szCs w:val="28"/>
              </w:rPr>
              <w:t>地理坐标为</w:t>
            </w:r>
            <w:r>
              <w:rPr>
                <w:bCs/>
                <w:color w:val="0000FF"/>
                <w:sz w:val="24"/>
                <w:szCs w:val="28"/>
              </w:rPr>
              <w:t>北纬35°17′46″，东经107°47′23″</w:t>
            </w:r>
            <w:r>
              <w:rPr>
                <w:color w:val="0000FF"/>
                <w:sz w:val="24"/>
                <w:szCs w:val="28"/>
              </w:rPr>
              <w:t>。项目所在地东侧为</w:t>
            </w:r>
            <w:r>
              <w:rPr>
                <w:rFonts w:hint="eastAsia"/>
                <w:color w:val="0000FF"/>
                <w:sz w:val="24"/>
                <w:szCs w:val="28"/>
              </w:rPr>
              <w:t>荒地</w:t>
            </w:r>
            <w:r>
              <w:rPr>
                <w:color w:val="0000FF"/>
                <w:sz w:val="24"/>
                <w:szCs w:val="28"/>
              </w:rPr>
              <w:t>，北</w:t>
            </w:r>
            <w:r>
              <w:rPr>
                <w:rFonts w:hint="eastAsia"/>
                <w:color w:val="0000FF"/>
                <w:sz w:val="24"/>
                <w:szCs w:val="28"/>
              </w:rPr>
              <w:t>侧为亿信有机肥成品库房</w:t>
            </w:r>
            <w:r>
              <w:rPr>
                <w:color w:val="0000FF"/>
                <w:sz w:val="24"/>
                <w:szCs w:val="28"/>
              </w:rPr>
              <w:t>，西侧</w:t>
            </w:r>
            <w:r>
              <w:rPr>
                <w:rFonts w:hint="eastAsia"/>
                <w:color w:val="0000FF"/>
                <w:sz w:val="24"/>
                <w:szCs w:val="28"/>
              </w:rPr>
              <w:t>为亿信有机肥生产车间</w:t>
            </w:r>
            <w:r>
              <w:rPr>
                <w:color w:val="0000FF"/>
                <w:sz w:val="24"/>
                <w:szCs w:val="28"/>
              </w:rPr>
              <w:t>，南侧</w:t>
            </w:r>
            <w:r>
              <w:rPr>
                <w:rFonts w:hint="eastAsia"/>
                <w:color w:val="0000FF"/>
                <w:sz w:val="24"/>
                <w:szCs w:val="28"/>
              </w:rPr>
              <w:t>为空地</w:t>
            </w:r>
            <w:r>
              <w:rPr>
                <w:color w:val="0000FF"/>
                <w:sz w:val="24"/>
                <w:szCs w:val="28"/>
              </w:rPr>
              <w:t>。</w:t>
            </w:r>
            <w:r>
              <w:rPr>
                <w:rFonts w:hint="eastAsia"/>
                <w:color w:val="0000FF"/>
                <w:sz w:val="24"/>
                <w:szCs w:val="28"/>
              </w:rPr>
              <w:t>项目周边产污主要为庆阳亿信肥业有限责任公司生产区生产工序产生的污染物。</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根据环评现场勘查和庆阳亿信肥业提供相关资料，其废物主要产排情况如下所示。</w:t>
            </w:r>
          </w:p>
          <w:p>
            <w:pPr>
              <w:adjustRightInd w:val="0"/>
              <w:snapToGrid w:val="0"/>
              <w:spacing w:line="360" w:lineRule="auto"/>
              <w:ind w:right="105" w:rightChars="50" w:firstLine="480" w:firstLineChars="200"/>
              <w:rPr>
                <w:rFonts w:hint="eastAsia"/>
                <w:b/>
                <w:color w:val="0000FF"/>
                <w:sz w:val="24"/>
                <w:szCs w:val="28"/>
              </w:rPr>
            </w:pPr>
            <w:r>
              <w:rPr>
                <w:rFonts w:hint="eastAsia"/>
                <w:b/>
                <w:color w:val="0000FF"/>
                <w:sz w:val="24"/>
                <w:szCs w:val="28"/>
              </w:rPr>
              <w:t>1、废气</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庆阳亿信肥业项目生物有机肥生产装置粉碎粉尘采用布袋除尘器（除尘效率99%），其排放速率及排放浓度满足《大气污染物综合排放标准》（GB16297-1996）二级标准；</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生物有机肥生产装置烘干工段热风炉采用旋风除尘器除尘（除尘效率为90%），处理后烟尘、SO</w:t>
            </w:r>
            <w:r>
              <w:rPr>
                <w:rFonts w:hint="eastAsia"/>
                <w:color w:val="0000FF"/>
                <w:sz w:val="24"/>
                <w:szCs w:val="28"/>
                <w:vertAlign w:val="subscript"/>
              </w:rPr>
              <w:t>2</w:t>
            </w:r>
            <w:r>
              <w:rPr>
                <w:rFonts w:hint="eastAsia"/>
                <w:color w:val="0000FF"/>
                <w:sz w:val="24"/>
                <w:szCs w:val="28"/>
              </w:rPr>
              <w:t>排放浓度满足《工业炉窑大气污染排放标准》（GB9078-1996）二级标准。产生的氯化氢排放速率及排放浓度满足《大气污染物综合排放标准》（GB16297-1996）二级标准；氨气排放速率满足《恶臭污染物排放标准》（GB14554-93）表2标准。</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锅炉废气采取自带麻石水浴除尘（除尘效率90%）处理后，烟气经25m高的烟囱排放。烟尘、SO</w:t>
            </w:r>
            <w:r>
              <w:rPr>
                <w:rFonts w:hint="eastAsia"/>
                <w:color w:val="0000FF"/>
                <w:sz w:val="24"/>
                <w:szCs w:val="28"/>
                <w:vertAlign w:val="subscript"/>
              </w:rPr>
              <w:t>2</w:t>
            </w:r>
            <w:r>
              <w:rPr>
                <w:rFonts w:hint="eastAsia"/>
                <w:color w:val="0000FF"/>
                <w:sz w:val="24"/>
                <w:szCs w:val="28"/>
              </w:rPr>
              <w:t>排放浓度满足《锅炉大气污染物排放标准》（GB13271-2014）表2标准要求。</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无组织排放主要为煤棚粉尘，对煤棚的地面进行硬化，煤棚为三面封闭并设置煤棚顶。采取定期洒水的方式抑制煤尘的无组织排放。</w:t>
            </w:r>
          </w:p>
          <w:p>
            <w:pPr>
              <w:adjustRightInd w:val="0"/>
              <w:snapToGrid w:val="0"/>
              <w:spacing w:line="360" w:lineRule="auto"/>
              <w:ind w:right="105" w:rightChars="50" w:firstLine="480" w:firstLineChars="200"/>
              <w:rPr>
                <w:rFonts w:hint="eastAsia"/>
                <w:b/>
                <w:color w:val="0000FF"/>
                <w:sz w:val="24"/>
                <w:szCs w:val="28"/>
              </w:rPr>
            </w:pPr>
            <w:r>
              <w:rPr>
                <w:rFonts w:hint="eastAsia"/>
                <w:b/>
                <w:color w:val="0000FF"/>
                <w:sz w:val="24"/>
                <w:szCs w:val="28"/>
              </w:rPr>
              <w:t>2、废水</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庆阳亿信肥业产生的废水主要为锅炉房排污及生活污水。</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生活污水主要污染物为COD、BOD</w:t>
            </w:r>
            <w:r>
              <w:rPr>
                <w:rFonts w:hint="eastAsia"/>
                <w:color w:val="0000FF"/>
                <w:sz w:val="24"/>
                <w:szCs w:val="28"/>
                <w:vertAlign w:val="subscript"/>
              </w:rPr>
              <w:t>5</w:t>
            </w:r>
            <w:r>
              <w:rPr>
                <w:rFonts w:hint="eastAsia"/>
                <w:color w:val="0000FF"/>
                <w:sz w:val="24"/>
                <w:szCs w:val="28"/>
              </w:rPr>
              <w:t>、NH</w:t>
            </w:r>
            <w:r>
              <w:rPr>
                <w:rFonts w:hint="eastAsia"/>
                <w:color w:val="0000FF"/>
                <w:sz w:val="24"/>
                <w:szCs w:val="28"/>
                <w:vertAlign w:val="subscript"/>
              </w:rPr>
              <w:t>3</w:t>
            </w:r>
            <w:r>
              <w:rPr>
                <w:rFonts w:hint="eastAsia"/>
                <w:color w:val="0000FF"/>
                <w:sz w:val="24"/>
                <w:szCs w:val="28"/>
              </w:rPr>
              <w:t>-N。近生活污水经化粪池处理后由吸污车运至宁县污水处理厂进行处理。</w:t>
            </w:r>
          </w:p>
          <w:p>
            <w:pPr>
              <w:adjustRightInd w:val="0"/>
              <w:snapToGrid w:val="0"/>
              <w:spacing w:line="360" w:lineRule="auto"/>
              <w:ind w:right="105" w:rightChars="50" w:firstLine="480" w:firstLineChars="200"/>
              <w:rPr>
                <w:rFonts w:hint="eastAsia"/>
                <w:color w:val="0000FF"/>
                <w:sz w:val="24"/>
                <w:szCs w:val="28"/>
              </w:rPr>
            </w:pPr>
            <w:r>
              <w:rPr>
                <w:rFonts w:hint="eastAsia"/>
                <w:color w:val="0000FF"/>
                <w:sz w:val="24"/>
                <w:szCs w:val="28"/>
              </w:rPr>
              <w:t>锅炉房排水包括锅炉排污及软水器排污，主要污染物为SS、TDS，经冷却后用于煤棚的洒水、抑尘。</w:t>
            </w:r>
          </w:p>
          <w:p>
            <w:pPr>
              <w:adjustRightInd w:val="0"/>
              <w:snapToGrid w:val="0"/>
              <w:spacing w:line="360" w:lineRule="auto"/>
              <w:ind w:right="105" w:rightChars="50" w:firstLine="480" w:firstLineChars="200"/>
              <w:rPr>
                <w:rFonts w:hint="eastAsia"/>
                <w:b/>
                <w:bCs/>
                <w:color w:val="0000FF"/>
                <w:sz w:val="24"/>
                <w:szCs w:val="28"/>
              </w:rPr>
            </w:pPr>
            <w:r>
              <w:rPr>
                <w:rFonts w:hint="eastAsia"/>
                <w:b/>
                <w:bCs/>
                <w:color w:val="0000FF"/>
                <w:sz w:val="24"/>
                <w:szCs w:val="28"/>
              </w:rPr>
              <w:t>3、噪声</w:t>
            </w:r>
          </w:p>
          <w:p>
            <w:pPr>
              <w:adjustRightInd w:val="0"/>
              <w:snapToGrid w:val="0"/>
              <w:spacing w:line="360" w:lineRule="auto"/>
              <w:ind w:right="105" w:rightChars="50" w:firstLine="480" w:firstLineChars="200"/>
              <w:rPr>
                <w:rFonts w:hint="eastAsia"/>
                <w:bCs/>
                <w:color w:val="0000FF"/>
                <w:sz w:val="24"/>
                <w:szCs w:val="28"/>
              </w:rPr>
            </w:pPr>
            <w:r>
              <w:rPr>
                <w:rFonts w:hint="eastAsia"/>
                <w:bCs/>
                <w:color w:val="0000FF"/>
                <w:sz w:val="24"/>
                <w:szCs w:val="28"/>
              </w:rPr>
              <w:t>庆阳亿信肥业产生的噪声主要来自生产车间内各生产设备以及各种泵、风机等设备的机械噪声，根据噪声监测结果，厂界噪声可达到《工业企业厂界环境噪声排放标准》3类标准值。</w:t>
            </w:r>
          </w:p>
          <w:p>
            <w:pPr>
              <w:adjustRightInd w:val="0"/>
              <w:snapToGrid w:val="0"/>
              <w:spacing w:line="360" w:lineRule="auto"/>
              <w:ind w:right="105" w:rightChars="50" w:firstLine="480" w:firstLineChars="200"/>
              <w:rPr>
                <w:rFonts w:hint="eastAsia"/>
                <w:bCs/>
                <w:color w:val="0000FF"/>
                <w:sz w:val="24"/>
                <w:szCs w:val="28"/>
              </w:rPr>
            </w:pPr>
            <w:r>
              <w:rPr>
                <w:rFonts w:hint="eastAsia"/>
                <w:bCs/>
                <w:color w:val="0000FF"/>
                <w:sz w:val="24"/>
                <w:szCs w:val="28"/>
              </w:rPr>
              <w:t>4、固废</w:t>
            </w:r>
          </w:p>
          <w:p>
            <w:pPr>
              <w:adjustRightInd w:val="0"/>
              <w:snapToGrid w:val="0"/>
              <w:spacing w:line="360" w:lineRule="auto"/>
              <w:ind w:firstLine="480" w:firstLineChars="200"/>
              <w:rPr>
                <w:rFonts w:hint="eastAsia" w:ascii="仿宋_GB2312" w:eastAsia="仿宋_GB2312"/>
                <w:color w:val="0000FF"/>
                <w:sz w:val="24"/>
              </w:rPr>
            </w:pPr>
            <w:r>
              <w:rPr>
                <w:rFonts w:hint="eastAsia"/>
                <w:bCs/>
                <w:color w:val="0000FF"/>
                <w:sz w:val="24"/>
                <w:szCs w:val="28"/>
              </w:rPr>
              <w:t>庆阳亿信肥业</w:t>
            </w:r>
            <w:r>
              <w:rPr>
                <w:color w:val="0000FF"/>
                <w:kern w:val="0"/>
                <w:sz w:val="24"/>
              </w:rPr>
              <w:t>固体废物主要为除尘器捕集下来的除尘灰、锅炉及热风炉产生的炉渣</w:t>
            </w:r>
            <w:r>
              <w:rPr>
                <w:rFonts w:hint="eastAsia"/>
                <w:color w:val="0000FF"/>
                <w:kern w:val="0"/>
                <w:sz w:val="24"/>
              </w:rPr>
              <w:t>、</w:t>
            </w:r>
            <w:r>
              <w:rPr>
                <w:color w:val="0000FF"/>
                <w:kern w:val="0"/>
                <w:sz w:val="24"/>
              </w:rPr>
              <w:t>生活垃圾。</w:t>
            </w:r>
            <w:r>
              <w:rPr>
                <w:color w:val="0000FF"/>
                <w:sz w:val="24"/>
              </w:rPr>
              <w:t>固体废物总量为</w:t>
            </w:r>
            <w:r>
              <w:rPr>
                <w:rFonts w:hint="eastAsia"/>
                <w:color w:val="0000FF"/>
                <w:sz w:val="24"/>
              </w:rPr>
              <w:t>594.924</w:t>
            </w:r>
            <w:r>
              <w:rPr>
                <w:color w:val="0000FF"/>
                <w:sz w:val="24"/>
              </w:rPr>
              <w:t>t/a，</w:t>
            </w:r>
            <w:r>
              <w:rPr>
                <w:rFonts w:hint="eastAsia"/>
                <w:color w:val="0000FF"/>
                <w:sz w:val="24"/>
              </w:rPr>
              <w:t>其中除尘灰回收利用，炉渣外卖，生活垃圾交由当地环卫部门进行处理。</w:t>
            </w:r>
          </w:p>
          <w:p>
            <w:pPr>
              <w:adjustRightInd w:val="0"/>
              <w:snapToGrid w:val="0"/>
              <w:spacing w:line="360" w:lineRule="auto"/>
              <w:ind w:right="105" w:rightChars="50" w:firstLine="480" w:firstLineChars="200"/>
              <w:rPr>
                <w:rFonts w:hint="eastAsia"/>
                <w:bCs/>
                <w:color w:val="0000FF"/>
                <w:sz w:val="24"/>
                <w:szCs w:val="28"/>
              </w:rPr>
            </w:pPr>
            <w:r>
              <w:rPr>
                <w:rFonts w:hint="eastAsia"/>
                <w:bCs/>
                <w:color w:val="0000FF"/>
                <w:sz w:val="24"/>
                <w:szCs w:val="28"/>
              </w:rPr>
              <w:t>综上所述，庆阳亿信肥业生产过程产生的固废均能得到合理处置，对外界环境影响较小。</w:t>
            </w:r>
          </w:p>
          <w:p>
            <w:pPr>
              <w:adjustRightInd w:val="0"/>
              <w:snapToGrid w:val="0"/>
              <w:spacing w:line="360" w:lineRule="auto"/>
              <w:ind w:right="105" w:rightChars="50" w:firstLine="480" w:firstLineChars="200"/>
              <w:rPr>
                <w:rFonts w:hint="eastAsia"/>
                <w:bCs/>
                <w:sz w:val="24"/>
                <w:szCs w:val="28"/>
              </w:rPr>
            </w:pPr>
          </w:p>
          <w:p>
            <w:pPr>
              <w:adjustRightInd w:val="0"/>
              <w:snapToGrid w:val="0"/>
              <w:spacing w:line="360" w:lineRule="auto"/>
              <w:ind w:right="105" w:rightChars="50" w:firstLine="480" w:firstLineChars="200"/>
              <w:rPr>
                <w:rFonts w:hint="eastAsia"/>
                <w:bCs/>
                <w:sz w:val="24"/>
                <w:szCs w:val="28"/>
              </w:rPr>
            </w:pPr>
          </w:p>
          <w:p>
            <w:pPr>
              <w:adjustRightInd w:val="0"/>
              <w:snapToGrid w:val="0"/>
              <w:spacing w:line="360" w:lineRule="auto"/>
              <w:ind w:right="105" w:rightChars="50" w:firstLine="480" w:firstLineChars="200"/>
              <w:rPr>
                <w:rFonts w:hint="eastAsia"/>
                <w:bCs/>
                <w:sz w:val="24"/>
                <w:szCs w:val="28"/>
              </w:rPr>
            </w:pPr>
          </w:p>
          <w:p>
            <w:pPr>
              <w:adjustRightInd w:val="0"/>
              <w:snapToGrid w:val="0"/>
              <w:spacing w:line="360" w:lineRule="auto"/>
              <w:ind w:right="105" w:rightChars="50" w:firstLine="480" w:firstLineChars="200"/>
              <w:rPr>
                <w:rFonts w:hint="eastAsia"/>
                <w:bCs/>
                <w:sz w:val="24"/>
                <w:szCs w:val="28"/>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adjustRightInd w:val="0"/>
              <w:snapToGrid w:val="0"/>
              <w:spacing w:after="0" w:line="360" w:lineRule="auto"/>
              <w:ind w:left="0" w:leftChars="0" w:firstLine="600" w:firstLineChars="200"/>
              <w:outlineLvl w:val="0"/>
              <w:rPr>
                <w:rFonts w:hint="eastAsia" w:eastAsia="黑体"/>
                <w:sz w:val="30"/>
                <w:szCs w:val="30"/>
              </w:rPr>
            </w:pPr>
          </w:p>
          <w:p>
            <w:pPr>
              <w:pStyle w:val="15"/>
              <w:tabs>
                <w:tab w:val="left" w:pos="1809"/>
              </w:tabs>
              <w:adjustRightInd w:val="0"/>
              <w:snapToGrid w:val="0"/>
              <w:spacing w:after="0" w:line="360" w:lineRule="auto"/>
              <w:ind w:left="0" w:leftChars="0"/>
              <w:outlineLvl w:val="0"/>
              <w:rPr>
                <w:rFonts w:hint="eastAsia" w:eastAsia="黑体"/>
                <w:sz w:val="30"/>
                <w:szCs w:val="30"/>
              </w:rPr>
            </w:pPr>
          </w:p>
        </w:tc>
      </w:tr>
    </w:tbl>
    <w:p>
      <w:pPr>
        <w:spacing w:line="360" w:lineRule="auto"/>
        <w:ind w:firstLine="560"/>
        <w:contextualSpacing/>
        <w:rPr>
          <w:rFonts w:hint="eastAsia" w:hAnsi="宋体"/>
          <w:sz w:val="24"/>
        </w:rPr>
      </w:pPr>
    </w:p>
    <w:p>
      <w:pPr>
        <w:pStyle w:val="15"/>
        <w:adjustRightInd w:val="0"/>
        <w:snapToGrid w:val="0"/>
        <w:spacing w:after="0" w:line="360" w:lineRule="auto"/>
        <w:ind w:left="0" w:leftChars="0"/>
        <w:outlineLvl w:val="0"/>
        <w:rPr>
          <w:rFonts w:eastAsia="黑体"/>
          <w:sz w:val="32"/>
        </w:rPr>
      </w:pPr>
      <w:r>
        <w:rPr>
          <w:rFonts w:eastAsia="黑体"/>
          <w:sz w:val="30"/>
          <w:szCs w:val="30"/>
        </w:rPr>
        <w:t>建设项目所在地自然环境社会环境简况</w:t>
      </w:r>
    </w:p>
    <w:tbl>
      <w:tblPr>
        <w:tblStyle w:val="2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6" w:hRule="atLeast"/>
        </w:trPr>
        <w:tc>
          <w:tcPr>
            <w:tcW w:w="8789" w:type="dxa"/>
          </w:tcPr>
          <w:p>
            <w:pPr>
              <w:spacing w:line="360" w:lineRule="auto"/>
              <w:rPr>
                <w:color w:val="0000FF"/>
                <w:spacing w:val="-10"/>
                <w:sz w:val="28"/>
              </w:rPr>
            </w:pPr>
            <w:r>
              <w:rPr>
                <w:b/>
                <w:bCs/>
                <w:spacing w:val="-10"/>
                <w:sz w:val="28"/>
              </w:rPr>
              <w:t>自</w:t>
            </w:r>
            <w:r>
              <w:rPr>
                <w:b/>
                <w:bCs/>
                <w:color w:val="0000FF"/>
                <w:spacing w:val="-10"/>
                <w:sz w:val="28"/>
              </w:rPr>
              <w:t>然环境简况（地形、地貌、地质、气候、气象、水文、植被、生物多样性等）</w:t>
            </w:r>
          </w:p>
          <w:p>
            <w:pPr>
              <w:spacing w:line="360" w:lineRule="auto"/>
              <w:ind w:firstLine="437" w:firstLineChars="199"/>
              <w:rPr>
                <w:b/>
                <w:color w:val="0000FF"/>
                <w:spacing w:val="-10"/>
                <w:sz w:val="24"/>
              </w:rPr>
            </w:pPr>
            <w:r>
              <w:rPr>
                <w:b/>
                <w:color w:val="0000FF"/>
                <w:spacing w:val="-10"/>
                <w:sz w:val="24"/>
              </w:rPr>
              <w:t>1、地理位置</w:t>
            </w:r>
          </w:p>
          <w:p>
            <w:pPr>
              <w:spacing w:line="360" w:lineRule="auto"/>
              <w:ind w:firstLine="560"/>
              <w:contextualSpacing/>
              <w:rPr>
                <w:color w:val="0000FF"/>
                <w:sz w:val="24"/>
              </w:rPr>
            </w:pPr>
            <w:r>
              <w:rPr>
                <w:rFonts w:hAnsi="宋体"/>
                <w:color w:val="0000FF"/>
                <w:sz w:val="24"/>
              </w:rPr>
              <w:t>宁县位于甘肃省庆阳市东南部，座落于保存最完整的黄土高原腹地，地理位置东经</w:t>
            </w:r>
            <w:r>
              <w:rPr>
                <w:color w:val="0000FF"/>
                <w:sz w:val="24"/>
              </w:rPr>
              <w:t>107°41′-108°34′</w:t>
            </w:r>
            <w:r>
              <w:rPr>
                <w:rFonts w:hAnsi="宋体"/>
                <w:color w:val="0000FF"/>
                <w:sz w:val="24"/>
              </w:rPr>
              <w:t>，北纬</w:t>
            </w:r>
            <w:r>
              <w:rPr>
                <w:color w:val="0000FF"/>
                <w:sz w:val="24"/>
              </w:rPr>
              <w:t>35°15′-35°52′</w:t>
            </w:r>
            <w:r>
              <w:rPr>
                <w:rFonts w:hAnsi="宋体"/>
                <w:color w:val="0000FF"/>
                <w:sz w:val="24"/>
              </w:rPr>
              <w:t>，东以子午岭主脊与陕西省的黄陵、富县为界，南与正宁县、陕西省的长武县接壤，西靠平凉市的泾川县，北与合水、西峰为邻。</w:t>
            </w:r>
          </w:p>
          <w:p>
            <w:pPr>
              <w:spacing w:line="360" w:lineRule="auto"/>
              <w:ind w:firstLine="560"/>
              <w:contextualSpacing/>
              <w:rPr>
                <w:rFonts w:hint="eastAsia" w:hAnsi="宋体"/>
                <w:color w:val="0000FF"/>
                <w:sz w:val="24"/>
              </w:rPr>
            </w:pPr>
            <w:r>
              <w:rPr>
                <w:rFonts w:hAnsi="宋体"/>
                <w:color w:val="0000FF"/>
                <w:sz w:val="24"/>
              </w:rPr>
              <w:t>宁县是甘、陕、宁三省之要冲，同时也是三省结合部人流、物流、信息流的窗口，具有重要的区位优势。全县共辖</w:t>
            </w:r>
            <w:r>
              <w:rPr>
                <w:color w:val="0000FF"/>
                <w:sz w:val="24"/>
              </w:rPr>
              <w:t>8</w:t>
            </w:r>
            <w:r>
              <w:rPr>
                <w:rFonts w:hAnsi="宋体"/>
                <w:color w:val="0000FF"/>
                <w:sz w:val="24"/>
              </w:rPr>
              <w:t>镇</w:t>
            </w:r>
            <w:r>
              <w:rPr>
                <w:color w:val="0000FF"/>
                <w:sz w:val="24"/>
              </w:rPr>
              <w:t>10</w:t>
            </w:r>
            <w:r>
              <w:rPr>
                <w:rFonts w:hAnsi="宋体"/>
                <w:color w:val="0000FF"/>
                <w:sz w:val="24"/>
              </w:rPr>
              <w:t>乡，</w:t>
            </w:r>
            <w:r>
              <w:rPr>
                <w:color w:val="0000FF"/>
                <w:sz w:val="24"/>
              </w:rPr>
              <w:t>257</w:t>
            </w:r>
            <w:r>
              <w:rPr>
                <w:rFonts w:hAnsi="宋体"/>
                <w:color w:val="0000FF"/>
                <w:sz w:val="24"/>
              </w:rPr>
              <w:t>个行政村，</w:t>
            </w:r>
            <w:r>
              <w:rPr>
                <w:color w:val="0000FF"/>
                <w:sz w:val="24"/>
              </w:rPr>
              <w:t>1805</w:t>
            </w:r>
            <w:r>
              <w:rPr>
                <w:rFonts w:hAnsi="宋体"/>
                <w:color w:val="0000FF"/>
                <w:sz w:val="24"/>
              </w:rPr>
              <w:t>个村民小组、</w:t>
            </w:r>
            <w:r>
              <w:rPr>
                <w:color w:val="0000FF"/>
                <w:sz w:val="24"/>
              </w:rPr>
              <w:t>11.07</w:t>
            </w:r>
            <w:r>
              <w:rPr>
                <w:rFonts w:hAnsi="宋体"/>
                <w:color w:val="0000FF"/>
                <w:sz w:val="24"/>
              </w:rPr>
              <w:t>万户。</w:t>
            </w:r>
            <w:r>
              <w:rPr>
                <w:color w:val="0000FF"/>
                <w:sz w:val="24"/>
              </w:rPr>
              <w:t>2014</w:t>
            </w:r>
            <w:r>
              <w:rPr>
                <w:rFonts w:hAnsi="宋体"/>
                <w:color w:val="0000FF"/>
                <w:sz w:val="24"/>
              </w:rPr>
              <w:t>年底，全县总人口</w:t>
            </w:r>
            <w:r>
              <w:rPr>
                <w:color w:val="0000FF"/>
                <w:sz w:val="24"/>
              </w:rPr>
              <w:t>54.9</w:t>
            </w:r>
            <w:r>
              <w:rPr>
                <w:rFonts w:hAnsi="宋体"/>
                <w:color w:val="0000FF"/>
                <w:sz w:val="24"/>
              </w:rPr>
              <w:t>万人，其中非农户籍人口为</w:t>
            </w:r>
            <w:r>
              <w:rPr>
                <w:color w:val="0000FF"/>
                <w:sz w:val="24"/>
              </w:rPr>
              <w:t>4.3</w:t>
            </w:r>
            <w:r>
              <w:rPr>
                <w:rFonts w:hAnsi="宋体"/>
                <w:color w:val="0000FF"/>
                <w:sz w:val="24"/>
              </w:rPr>
              <w:t>万人，农业人口</w:t>
            </w:r>
            <w:r>
              <w:rPr>
                <w:color w:val="0000FF"/>
                <w:sz w:val="24"/>
              </w:rPr>
              <w:t>50.6</w:t>
            </w:r>
            <w:r>
              <w:rPr>
                <w:rFonts w:hAnsi="宋体"/>
                <w:color w:val="0000FF"/>
                <w:sz w:val="24"/>
              </w:rPr>
              <w:t>万人。全县总面积</w:t>
            </w:r>
            <w:r>
              <w:rPr>
                <w:color w:val="0000FF"/>
                <w:sz w:val="24"/>
              </w:rPr>
              <w:t>2653km</w:t>
            </w:r>
            <w:r>
              <w:rPr>
                <w:color w:val="0000FF"/>
                <w:sz w:val="24"/>
                <w:vertAlign w:val="superscript"/>
              </w:rPr>
              <w:t>2</w:t>
            </w:r>
            <w:r>
              <w:rPr>
                <w:rFonts w:hAnsi="宋体"/>
                <w:color w:val="0000FF"/>
                <w:sz w:val="24"/>
              </w:rPr>
              <w:t>，其中耕地</w:t>
            </w:r>
            <w:r>
              <w:rPr>
                <w:color w:val="0000FF"/>
                <w:sz w:val="24"/>
              </w:rPr>
              <w:t>96</w:t>
            </w:r>
            <w:r>
              <w:rPr>
                <w:rFonts w:hAnsi="宋体"/>
                <w:color w:val="0000FF"/>
                <w:sz w:val="24"/>
              </w:rPr>
              <w:t>万亩，人口密度</w:t>
            </w:r>
            <w:r>
              <w:rPr>
                <w:color w:val="0000FF"/>
                <w:sz w:val="24"/>
              </w:rPr>
              <w:t>203</w:t>
            </w:r>
            <w:r>
              <w:rPr>
                <w:rFonts w:hAnsi="宋体"/>
                <w:color w:val="0000FF"/>
                <w:sz w:val="24"/>
              </w:rPr>
              <w:t>人</w:t>
            </w:r>
            <w:r>
              <w:rPr>
                <w:color w:val="0000FF"/>
                <w:sz w:val="24"/>
              </w:rPr>
              <w:t>/ km</w:t>
            </w:r>
            <w:r>
              <w:rPr>
                <w:color w:val="0000FF"/>
                <w:sz w:val="24"/>
                <w:vertAlign w:val="superscript"/>
              </w:rPr>
              <w:t>2</w:t>
            </w:r>
            <w:r>
              <w:rPr>
                <w:rFonts w:hAnsi="宋体"/>
                <w:color w:val="0000FF"/>
                <w:sz w:val="24"/>
              </w:rPr>
              <w:t>。</w:t>
            </w:r>
          </w:p>
          <w:p>
            <w:pPr>
              <w:autoSpaceDE w:val="0"/>
              <w:autoSpaceDN w:val="0"/>
              <w:adjustRightInd w:val="0"/>
              <w:spacing w:line="360" w:lineRule="auto"/>
              <w:ind w:firstLine="480" w:firstLineChars="200"/>
              <w:jc w:val="left"/>
              <w:rPr>
                <w:rFonts w:hint="eastAsia"/>
                <w:color w:val="0000FF"/>
                <w:kern w:val="0"/>
                <w:sz w:val="24"/>
              </w:rPr>
            </w:pPr>
            <w:r>
              <w:rPr>
                <w:rFonts w:hint="eastAsia"/>
                <w:color w:val="0000FF"/>
                <w:kern w:val="0"/>
                <w:sz w:val="24"/>
              </w:rPr>
              <w:t>中村镇隶属于甘肃省庆阳市宁县，位于宁县南部，东与正宁县接壤，南与陕西省长武县隔泾河相望，西与新庄镇相接，北与早胜镇为邻。全镇总面积161.3平方公里，其中耕地面积8.23万亩。辖18个村委会，154个村民小组，39710人，土地面积 154.6平方公里。</w:t>
            </w:r>
          </w:p>
          <w:p>
            <w:pPr>
              <w:pStyle w:val="91"/>
              <w:snapToGrid w:val="0"/>
              <w:spacing w:line="360" w:lineRule="auto"/>
              <w:ind w:firstLine="520" w:firstLineChars="200"/>
              <w:rPr>
                <w:rFonts w:hint="eastAsia"/>
                <w:b/>
                <w:color w:val="0000FF"/>
                <w:szCs w:val="28"/>
              </w:rPr>
            </w:pPr>
            <w:r>
              <w:rPr>
                <w:b/>
                <w:color w:val="0000FF"/>
                <w:szCs w:val="28"/>
              </w:rPr>
              <w:t>2</w:t>
            </w:r>
            <w:r>
              <w:rPr>
                <w:rFonts w:hint="eastAsia"/>
                <w:b/>
                <w:color w:val="0000FF"/>
                <w:szCs w:val="28"/>
              </w:rPr>
              <w:t>、地形、地貌</w:t>
            </w:r>
          </w:p>
          <w:p>
            <w:pPr>
              <w:pStyle w:val="91"/>
              <w:snapToGrid w:val="0"/>
              <w:spacing w:line="360" w:lineRule="auto"/>
              <w:ind w:firstLine="520" w:firstLineChars="200"/>
              <w:rPr>
                <w:rFonts w:hint="eastAsia"/>
                <w:b/>
                <w:color w:val="0000FF"/>
                <w:kern w:val="2"/>
                <w:szCs w:val="28"/>
              </w:rPr>
            </w:pPr>
            <w:r>
              <w:rPr>
                <w:rFonts w:hint="eastAsia"/>
                <w:color w:val="0000FF"/>
              </w:rPr>
              <w:t>宁县属于关山至六盘山褶皱带移动的鄂尔多斯地台东南部。宁县域境内基本地貌为：东部梁峁沟壑交错，中西部多川台河谷与高原沟壑相间，地形为东北高，西南低，东西长、南北窄，海拔在860m~1760m之间，相对高差900m。</w:t>
            </w:r>
          </w:p>
          <w:p>
            <w:pPr>
              <w:spacing w:line="360" w:lineRule="auto"/>
              <w:ind w:firstLine="480" w:firstLineChars="200"/>
              <w:rPr>
                <w:rFonts w:hint="eastAsia"/>
                <w:color w:val="0000FF"/>
                <w:sz w:val="24"/>
              </w:rPr>
            </w:pPr>
            <w:r>
              <w:rPr>
                <w:rFonts w:hint="eastAsia"/>
                <w:color w:val="0000FF"/>
                <w:sz w:val="24"/>
              </w:rPr>
              <w:t>项目建设场地属自重湿陷性黄土场地，地基土湿陷程度不均一，湿陷性土层最大下限深度为13.7m，湿陷等级为Ⅱ级，湿陷程度为中等。该场地为中软场地土，场地类别为Ⅱ类，抗震防裂度为6度，设计基本地震加速度为0.05g，设计特征周期为0.40s，设计分组属第二组，属可进行建设的场地坑边坡安全等级为三级。</w:t>
            </w:r>
          </w:p>
          <w:p>
            <w:pPr>
              <w:pStyle w:val="91"/>
              <w:snapToGrid w:val="0"/>
              <w:spacing w:line="360" w:lineRule="auto"/>
              <w:ind w:firstLine="520" w:firstLineChars="200"/>
              <w:rPr>
                <w:rFonts w:hint="eastAsia"/>
                <w:b/>
                <w:color w:val="0000FF"/>
                <w:szCs w:val="28"/>
              </w:rPr>
            </w:pPr>
            <w:r>
              <w:rPr>
                <w:rFonts w:hint="eastAsia"/>
                <w:b/>
                <w:color w:val="0000FF"/>
                <w:szCs w:val="28"/>
              </w:rPr>
              <w:t>3、地质概况</w:t>
            </w:r>
          </w:p>
          <w:p>
            <w:pPr>
              <w:spacing w:line="360" w:lineRule="auto"/>
              <w:ind w:firstLine="480" w:firstLineChars="200"/>
              <w:rPr>
                <w:color w:val="0000FF"/>
                <w:sz w:val="24"/>
              </w:rPr>
            </w:pPr>
            <w:r>
              <w:rPr>
                <w:color w:val="0000FF"/>
                <w:sz w:val="24"/>
              </w:rPr>
              <w:t>（1）地质地层</w:t>
            </w:r>
          </w:p>
          <w:p>
            <w:pPr>
              <w:spacing w:line="360" w:lineRule="auto"/>
              <w:ind w:firstLine="480" w:firstLineChars="200"/>
              <w:rPr>
                <w:color w:val="0000FF"/>
                <w:sz w:val="24"/>
              </w:rPr>
            </w:pPr>
            <w:r>
              <w:rPr>
                <w:color w:val="0000FF"/>
                <w:sz w:val="24"/>
              </w:rPr>
              <w:t>项目所在的宁县位于陕甘宁盆地（即鄂尔多斯盆地）西南部，属于祁吕贺兰山字型构造体系东部的伊陕盾地，是我国新华夏系第三沉降带控制的大型内陆盆地之一。盆地的雏型形成于二叠纪中晚期到早三叠纪。中三叠纪到早白垩纪为大型内陆拗陷盆地的发展阶段，地壳运动以沉降为主，形成一个大型萁状拗陷，即铜川-庆阳拗陷。三叠纪末拗陷急剧上升隆起，三叠纪大型盆地解体，随即产生侏罗纪大型拗陷盆地，形成现今构造盆地轮廓。燕山运动使侏罗纪盆地解体，东部上升形成斜坡；西部于宁夏天池至环县一线形成南北向较大幅度拗陷一天环向斜。形成厚达4000m以上的沉积，其中下白垩统沉积厚度达1000m。</w:t>
            </w:r>
          </w:p>
          <w:p>
            <w:pPr>
              <w:spacing w:line="360" w:lineRule="auto"/>
              <w:ind w:firstLine="480" w:firstLineChars="200"/>
              <w:rPr>
                <w:color w:val="0000FF"/>
                <w:sz w:val="24"/>
              </w:rPr>
            </w:pPr>
            <w:r>
              <w:rPr>
                <w:color w:val="0000FF"/>
                <w:sz w:val="24"/>
              </w:rPr>
              <w:t>（2）场地冻土深度</w:t>
            </w:r>
          </w:p>
          <w:p>
            <w:pPr>
              <w:spacing w:line="360" w:lineRule="auto"/>
              <w:ind w:firstLine="480" w:firstLineChars="200"/>
              <w:rPr>
                <w:color w:val="0000FF"/>
                <w:sz w:val="24"/>
              </w:rPr>
            </w:pPr>
            <w:r>
              <w:rPr>
                <w:color w:val="0000FF"/>
                <w:sz w:val="24"/>
              </w:rPr>
              <w:t>据庆阳气象站资料，庆阳市区历年最大冻土深度82cm，为季节性冻土。</w:t>
            </w:r>
          </w:p>
          <w:p>
            <w:pPr>
              <w:spacing w:line="360" w:lineRule="auto"/>
              <w:ind w:firstLine="480" w:firstLineChars="200"/>
              <w:rPr>
                <w:color w:val="0000FF"/>
                <w:sz w:val="24"/>
              </w:rPr>
            </w:pPr>
            <w:r>
              <w:rPr>
                <w:color w:val="0000FF"/>
                <w:sz w:val="24"/>
              </w:rPr>
              <w:t>（3）地震烈度</w:t>
            </w:r>
          </w:p>
          <w:p>
            <w:pPr>
              <w:adjustRightInd w:val="0"/>
              <w:snapToGrid w:val="0"/>
              <w:spacing w:line="360" w:lineRule="auto"/>
              <w:ind w:firstLine="480" w:firstLineChars="200"/>
              <w:rPr>
                <w:rFonts w:hint="eastAsia"/>
                <w:color w:val="0000FF"/>
                <w:sz w:val="24"/>
              </w:rPr>
            </w:pPr>
            <w:r>
              <w:rPr>
                <w:color w:val="0000FF"/>
                <w:sz w:val="24"/>
              </w:rPr>
              <w:t>根据GB50011-2001《建筑抗震设计规范》，庆阳市抗震设防烈度为6度。设计基本地震加速度0.05g。</w:t>
            </w:r>
          </w:p>
          <w:p>
            <w:pPr>
              <w:pStyle w:val="91"/>
              <w:snapToGrid w:val="0"/>
              <w:spacing w:line="360" w:lineRule="auto"/>
              <w:ind w:firstLine="520" w:firstLineChars="200"/>
              <w:rPr>
                <w:rFonts w:hint="eastAsia"/>
                <w:b/>
                <w:color w:val="0000FF"/>
                <w:kern w:val="2"/>
                <w:szCs w:val="28"/>
              </w:rPr>
            </w:pPr>
            <w:r>
              <w:rPr>
                <w:rFonts w:hint="eastAsia"/>
                <w:b/>
                <w:color w:val="0000FF"/>
                <w:kern w:val="2"/>
                <w:szCs w:val="28"/>
              </w:rPr>
              <w:t>4、气候、气象</w:t>
            </w:r>
          </w:p>
          <w:p>
            <w:pPr>
              <w:pStyle w:val="91"/>
              <w:snapToGrid w:val="0"/>
              <w:spacing w:line="360" w:lineRule="auto"/>
              <w:ind w:firstLine="480" w:firstLineChars="200"/>
              <w:rPr>
                <w:rFonts w:hint="eastAsia"/>
                <w:color w:val="0000FF"/>
                <w:spacing w:val="0"/>
                <w:kern w:val="2"/>
              </w:rPr>
            </w:pPr>
            <w:r>
              <w:rPr>
                <w:rFonts w:hint="eastAsia"/>
                <w:color w:val="0000FF"/>
                <w:spacing w:val="0"/>
                <w:kern w:val="2"/>
              </w:rPr>
              <w:t>宁县地处大陆内部，属暖温带大陆性季风气候，四季分明，光照充足。年平均气温8.7℃，历年极端最高气温36.5℃，历年极端最低气温-25.4℃，历年最热月（7 月）平均温度为22℃，最冷月（元月）平均气温为-5.8℃。多年平均降水量565.9mm，春季半干旱，降雨多集中在7、8、9 三个月，降水年际变化差别明显。冬季干旱，雨雪稀少，夏秋多雨，降水集中。年蒸发量平均为1442.6mm，历年平均相对湿度为67%。年平均日照时数为2369.1小时，年太阳辐射总量平均为127.3千卡/平方厘米。主导风向为东南风，次为西北风。冻土深度一般在80cm以下，最大冻土深度为86cm，历年最大积雪深度为21cm，历年最大无霜期为219天，最短无霜期为126天，多年平均无霜期为168.2天。</w:t>
            </w:r>
          </w:p>
          <w:p>
            <w:pPr>
              <w:pStyle w:val="91"/>
              <w:snapToGrid w:val="0"/>
              <w:spacing w:line="360" w:lineRule="auto"/>
              <w:ind w:firstLine="520" w:firstLineChars="200"/>
              <w:rPr>
                <w:rFonts w:hint="eastAsia"/>
                <w:b/>
                <w:color w:val="0000FF"/>
                <w:kern w:val="2"/>
                <w:szCs w:val="28"/>
              </w:rPr>
            </w:pPr>
            <w:r>
              <w:rPr>
                <w:rFonts w:hint="eastAsia"/>
                <w:b/>
                <w:color w:val="0000FF"/>
                <w:kern w:val="2"/>
                <w:szCs w:val="28"/>
              </w:rPr>
              <w:t>5、水文及水文地质</w:t>
            </w:r>
          </w:p>
          <w:p>
            <w:pPr>
              <w:spacing w:line="360" w:lineRule="auto"/>
              <w:ind w:firstLine="480" w:firstLineChars="200"/>
              <w:contextualSpacing/>
              <w:rPr>
                <w:color w:val="0000FF"/>
                <w:sz w:val="24"/>
                <w:szCs w:val="20"/>
              </w:rPr>
            </w:pPr>
            <w:r>
              <w:rPr>
                <w:rFonts w:hAnsi="宋体"/>
                <w:color w:val="0000FF"/>
                <w:sz w:val="24"/>
                <w:szCs w:val="20"/>
              </w:rPr>
              <w:t>流经宁县境内的河流主要有泾河、马莲河、九龙河、城北河等</w:t>
            </w:r>
            <w:r>
              <w:rPr>
                <w:color w:val="0000FF"/>
                <w:sz w:val="24"/>
                <w:szCs w:val="20"/>
              </w:rPr>
              <w:t>7</w:t>
            </w:r>
            <w:r>
              <w:rPr>
                <w:rFonts w:hAnsi="宋体"/>
                <w:color w:val="0000FF"/>
                <w:sz w:val="24"/>
                <w:szCs w:val="20"/>
              </w:rPr>
              <w:t>条河流，年入境流量</w:t>
            </w:r>
            <w:r>
              <w:rPr>
                <w:color w:val="0000FF"/>
                <w:sz w:val="24"/>
                <w:szCs w:val="20"/>
              </w:rPr>
              <w:t>6.66</w:t>
            </w:r>
            <w:r>
              <w:rPr>
                <w:rFonts w:hAnsi="宋体"/>
                <w:color w:val="0000FF"/>
                <w:sz w:val="24"/>
                <w:szCs w:val="20"/>
              </w:rPr>
              <w:t>亿</w:t>
            </w:r>
            <w:r>
              <w:rPr>
                <w:color w:val="0000FF"/>
                <w:sz w:val="24"/>
                <w:szCs w:val="20"/>
              </w:rPr>
              <w:t>km</w:t>
            </w:r>
            <w:r>
              <w:rPr>
                <w:color w:val="0000FF"/>
                <w:sz w:val="24"/>
                <w:szCs w:val="20"/>
                <w:vertAlign w:val="superscript"/>
              </w:rPr>
              <w:t>3</w:t>
            </w:r>
            <w:r>
              <w:rPr>
                <w:rFonts w:hAnsi="宋体"/>
                <w:color w:val="0000FF"/>
                <w:sz w:val="24"/>
                <w:szCs w:val="20"/>
              </w:rPr>
              <w:t>。</w:t>
            </w:r>
            <w:r>
              <w:rPr>
                <w:rFonts w:hAnsi="宋体"/>
                <w:color w:val="0000FF"/>
                <w:sz w:val="24"/>
              </w:rPr>
              <w:t>其中马莲河属过境河流，常年平均流量</w:t>
            </w:r>
            <w:r>
              <w:rPr>
                <w:color w:val="0000FF"/>
                <w:sz w:val="24"/>
              </w:rPr>
              <w:t>4.25 m</w:t>
            </w:r>
            <w:r>
              <w:rPr>
                <w:color w:val="0000FF"/>
                <w:sz w:val="24"/>
                <w:vertAlign w:val="superscript"/>
              </w:rPr>
              <w:t>3</w:t>
            </w:r>
            <w:r>
              <w:rPr>
                <w:color w:val="0000FF"/>
                <w:sz w:val="24"/>
              </w:rPr>
              <w:t>/s</w:t>
            </w:r>
            <w:r>
              <w:rPr>
                <w:rFonts w:hAnsi="宋体"/>
                <w:color w:val="0000FF"/>
                <w:sz w:val="24"/>
              </w:rPr>
              <w:t>，马莲河上游为高含镁、氯、硫酸盐离子的苦水区，河水矿化度平均</w:t>
            </w:r>
            <w:r>
              <w:rPr>
                <w:color w:val="0000FF"/>
                <w:sz w:val="24"/>
              </w:rPr>
              <w:t>1.4 g/L</w:t>
            </w:r>
            <w:r>
              <w:rPr>
                <w:rFonts w:hAnsi="宋体"/>
                <w:color w:val="0000FF"/>
                <w:sz w:val="24"/>
              </w:rPr>
              <w:t>，枯水期达</w:t>
            </w:r>
            <w:r>
              <w:rPr>
                <w:color w:val="0000FF"/>
                <w:sz w:val="24"/>
              </w:rPr>
              <w:t>1.92 g/L</w:t>
            </w:r>
            <w:r>
              <w:rPr>
                <w:rFonts w:hAnsi="宋体"/>
                <w:color w:val="0000FF"/>
                <w:sz w:val="24"/>
              </w:rPr>
              <w:t>，历年利用量较小。九龙河流域面积</w:t>
            </w:r>
            <w:r>
              <w:rPr>
                <w:color w:val="0000FF"/>
                <w:sz w:val="24"/>
              </w:rPr>
              <w:t>640 km</w:t>
            </w:r>
            <w:r>
              <w:rPr>
                <w:color w:val="0000FF"/>
                <w:sz w:val="24"/>
                <w:vertAlign w:val="superscript"/>
              </w:rPr>
              <w:t>2</w:t>
            </w:r>
            <w:r>
              <w:rPr>
                <w:rFonts w:hAnsi="宋体"/>
                <w:color w:val="0000FF"/>
                <w:sz w:val="24"/>
              </w:rPr>
              <w:t>，主河道长</w:t>
            </w:r>
            <w:r>
              <w:rPr>
                <w:color w:val="0000FF"/>
                <w:sz w:val="24"/>
              </w:rPr>
              <w:t>56 km</w:t>
            </w:r>
            <w:r>
              <w:rPr>
                <w:rFonts w:hAnsi="宋体"/>
                <w:color w:val="0000FF"/>
                <w:sz w:val="24"/>
              </w:rPr>
              <w:t>，多年平均流量</w:t>
            </w:r>
            <w:r>
              <w:rPr>
                <w:color w:val="0000FF"/>
                <w:sz w:val="24"/>
              </w:rPr>
              <w:t>0.71 m</w:t>
            </w:r>
            <w:r>
              <w:rPr>
                <w:color w:val="0000FF"/>
                <w:sz w:val="24"/>
                <w:vertAlign w:val="superscript"/>
              </w:rPr>
              <w:t>3</w:t>
            </w:r>
            <w:r>
              <w:rPr>
                <w:color w:val="0000FF"/>
                <w:sz w:val="24"/>
              </w:rPr>
              <w:t>/s</w:t>
            </w:r>
            <w:r>
              <w:rPr>
                <w:rFonts w:hAnsi="宋体"/>
                <w:color w:val="0000FF"/>
                <w:sz w:val="24"/>
              </w:rPr>
              <w:t>，水质较好，适宜灌溉和饮用。城北河集水面积</w:t>
            </w:r>
            <w:r>
              <w:rPr>
                <w:color w:val="0000FF"/>
                <w:sz w:val="24"/>
              </w:rPr>
              <w:t>1856 km</w:t>
            </w:r>
            <w:r>
              <w:rPr>
                <w:color w:val="0000FF"/>
                <w:sz w:val="24"/>
                <w:vertAlign w:val="superscript"/>
              </w:rPr>
              <w:t>2</w:t>
            </w:r>
            <w:r>
              <w:rPr>
                <w:rFonts w:hAnsi="宋体"/>
                <w:color w:val="0000FF"/>
                <w:sz w:val="24"/>
              </w:rPr>
              <w:t>，多年平均流量</w:t>
            </w:r>
            <w:r>
              <w:rPr>
                <w:color w:val="0000FF"/>
                <w:sz w:val="24"/>
              </w:rPr>
              <w:t>1.44 m</w:t>
            </w:r>
            <w:r>
              <w:rPr>
                <w:color w:val="0000FF"/>
                <w:sz w:val="24"/>
                <w:vertAlign w:val="superscript"/>
              </w:rPr>
              <w:t>3</w:t>
            </w:r>
            <w:r>
              <w:rPr>
                <w:color w:val="0000FF"/>
                <w:sz w:val="24"/>
              </w:rPr>
              <w:t>/s</w:t>
            </w:r>
            <w:r>
              <w:rPr>
                <w:rFonts w:hAnsi="宋体"/>
                <w:color w:val="0000FF"/>
                <w:sz w:val="24"/>
              </w:rPr>
              <w:t>，主河道长</w:t>
            </w:r>
            <w:r>
              <w:rPr>
                <w:color w:val="0000FF"/>
                <w:sz w:val="24"/>
              </w:rPr>
              <w:t>72 km</w:t>
            </w:r>
            <w:r>
              <w:rPr>
                <w:rFonts w:hAnsi="宋体"/>
                <w:color w:val="0000FF"/>
                <w:sz w:val="24"/>
              </w:rPr>
              <w:t>，上游植被较好，水质良好。</w:t>
            </w:r>
          </w:p>
          <w:p>
            <w:pPr>
              <w:spacing w:line="360" w:lineRule="auto"/>
              <w:ind w:firstLine="480" w:firstLineChars="200"/>
              <w:contextualSpacing/>
              <w:rPr>
                <w:color w:val="0000FF"/>
                <w:sz w:val="24"/>
              </w:rPr>
            </w:pPr>
            <w:r>
              <w:rPr>
                <w:rFonts w:hAnsi="宋体"/>
                <w:color w:val="0000FF"/>
                <w:sz w:val="24"/>
                <w:szCs w:val="20"/>
              </w:rPr>
              <w:t>地下水分为深层和浅层水，深层地下水分布较广，储存于中生界白垩系</w:t>
            </w:r>
            <w:r>
              <w:rPr>
                <w:color w:val="0000FF"/>
                <w:sz w:val="24"/>
                <w:szCs w:val="20"/>
              </w:rPr>
              <w:t>,</w:t>
            </w:r>
            <w:r>
              <w:rPr>
                <w:rFonts w:hAnsi="宋体"/>
                <w:color w:val="0000FF"/>
                <w:sz w:val="24"/>
                <w:szCs w:val="20"/>
              </w:rPr>
              <w:t>马莲河以东深层地下水水质较好，有开采利用价值。浅层地下水有河谷地区潜水、黄土地区潜水和黄土梁峁区潜水。地下水径流量</w:t>
            </w:r>
            <w:r>
              <w:rPr>
                <w:color w:val="0000FF"/>
                <w:sz w:val="24"/>
                <w:szCs w:val="20"/>
              </w:rPr>
              <w:t>1.6589</w:t>
            </w:r>
            <w:r>
              <w:rPr>
                <w:rFonts w:hAnsi="宋体"/>
                <w:color w:val="0000FF"/>
                <w:sz w:val="24"/>
                <w:szCs w:val="20"/>
              </w:rPr>
              <w:t>亿</w:t>
            </w:r>
            <w:r>
              <w:rPr>
                <w:color w:val="0000FF"/>
                <w:sz w:val="24"/>
                <w:szCs w:val="20"/>
              </w:rPr>
              <w:t>m</w:t>
            </w:r>
            <w:r>
              <w:rPr>
                <w:color w:val="0000FF"/>
                <w:sz w:val="24"/>
                <w:szCs w:val="20"/>
                <w:vertAlign w:val="superscript"/>
              </w:rPr>
              <w:t>3</w:t>
            </w:r>
            <w:r>
              <w:rPr>
                <w:color w:val="0000FF"/>
                <w:sz w:val="24"/>
                <w:szCs w:val="20"/>
              </w:rPr>
              <w:t>,</w:t>
            </w:r>
            <w:r>
              <w:rPr>
                <w:rFonts w:hAnsi="宋体"/>
                <w:color w:val="0000FF"/>
                <w:sz w:val="24"/>
                <w:szCs w:val="20"/>
              </w:rPr>
              <w:t>其中马莲河径流量</w:t>
            </w:r>
            <w:r>
              <w:rPr>
                <w:color w:val="0000FF"/>
                <w:sz w:val="24"/>
                <w:szCs w:val="20"/>
              </w:rPr>
              <w:t>16.7</w:t>
            </w:r>
            <w:r>
              <w:rPr>
                <w:rFonts w:hAnsi="宋体"/>
                <w:color w:val="0000FF"/>
                <w:sz w:val="24"/>
                <w:szCs w:val="20"/>
              </w:rPr>
              <w:t>万</w:t>
            </w:r>
            <w:r>
              <w:rPr>
                <w:color w:val="0000FF"/>
                <w:sz w:val="24"/>
                <w:szCs w:val="20"/>
              </w:rPr>
              <w:t>m</w:t>
            </w:r>
            <w:r>
              <w:rPr>
                <w:color w:val="0000FF"/>
                <w:sz w:val="24"/>
                <w:szCs w:val="20"/>
                <w:vertAlign w:val="superscript"/>
              </w:rPr>
              <w:t>3</w:t>
            </w:r>
            <w:r>
              <w:rPr>
                <w:color w:val="0000FF"/>
                <w:sz w:val="24"/>
                <w:szCs w:val="20"/>
              </w:rPr>
              <w:t>/a</w:t>
            </w:r>
            <w:r>
              <w:rPr>
                <w:rFonts w:hAnsi="宋体"/>
                <w:color w:val="0000FF"/>
                <w:sz w:val="24"/>
                <w:szCs w:val="20"/>
              </w:rPr>
              <w:t>，九龙川径流量</w:t>
            </w:r>
            <w:r>
              <w:rPr>
                <w:color w:val="0000FF"/>
                <w:sz w:val="24"/>
                <w:szCs w:val="20"/>
              </w:rPr>
              <w:t>180.4</w:t>
            </w:r>
            <w:r>
              <w:rPr>
                <w:rFonts w:hAnsi="宋体"/>
                <w:color w:val="0000FF"/>
                <w:sz w:val="24"/>
                <w:szCs w:val="20"/>
              </w:rPr>
              <w:t>万</w:t>
            </w:r>
            <w:r>
              <w:rPr>
                <w:color w:val="0000FF"/>
                <w:sz w:val="24"/>
                <w:szCs w:val="20"/>
              </w:rPr>
              <w:t>m</w:t>
            </w:r>
            <w:r>
              <w:rPr>
                <w:color w:val="0000FF"/>
                <w:sz w:val="24"/>
                <w:szCs w:val="20"/>
                <w:vertAlign w:val="superscript"/>
              </w:rPr>
              <w:t>3</w:t>
            </w:r>
            <w:r>
              <w:rPr>
                <w:color w:val="0000FF"/>
                <w:sz w:val="24"/>
                <w:szCs w:val="20"/>
              </w:rPr>
              <w:t>/a</w:t>
            </w:r>
          </w:p>
          <w:p>
            <w:pPr>
              <w:spacing w:line="360" w:lineRule="auto"/>
              <w:ind w:firstLine="480" w:firstLineChars="200"/>
              <w:contextualSpacing/>
              <w:rPr>
                <w:color w:val="0000FF"/>
                <w:sz w:val="24"/>
                <w:szCs w:val="20"/>
              </w:rPr>
            </w:pPr>
            <w:r>
              <w:rPr>
                <w:rFonts w:hAnsi="宋体"/>
                <w:color w:val="0000FF"/>
                <w:sz w:val="24"/>
                <w:szCs w:val="20"/>
              </w:rPr>
              <w:t>泾河发源于六盘山东麓的宁夏回族自治区泾源县泾河源乡老龙潭以上的山坡，河源处海拔高程</w:t>
            </w:r>
            <w:r>
              <w:rPr>
                <w:color w:val="0000FF"/>
                <w:sz w:val="24"/>
                <w:szCs w:val="20"/>
              </w:rPr>
              <w:t>2850m</w:t>
            </w:r>
            <w:r>
              <w:rPr>
                <w:rFonts w:hAnsi="宋体"/>
                <w:color w:val="0000FF"/>
                <w:sz w:val="24"/>
                <w:szCs w:val="20"/>
              </w:rPr>
              <w:t>左右，河流由西南流向东北，经崆峒区、泾川县，在长庆桥以下</w:t>
            </w:r>
            <w:r>
              <w:rPr>
                <w:color w:val="0000FF"/>
                <w:sz w:val="24"/>
                <w:szCs w:val="20"/>
              </w:rPr>
              <w:t>4km</w:t>
            </w:r>
            <w:r>
              <w:rPr>
                <w:rFonts w:hAnsi="宋体"/>
                <w:color w:val="0000FF"/>
                <w:sz w:val="24"/>
                <w:szCs w:val="20"/>
              </w:rPr>
              <w:t>处进入陕西省，干流全长</w:t>
            </w:r>
            <w:r>
              <w:rPr>
                <w:color w:val="0000FF"/>
                <w:sz w:val="24"/>
                <w:szCs w:val="20"/>
              </w:rPr>
              <w:t>455km</w:t>
            </w:r>
            <w:r>
              <w:rPr>
                <w:rFonts w:hAnsi="宋体"/>
                <w:color w:val="0000FF"/>
                <w:sz w:val="24"/>
                <w:szCs w:val="20"/>
              </w:rPr>
              <w:t>流域总面积</w:t>
            </w:r>
            <w:r>
              <w:rPr>
                <w:color w:val="0000FF"/>
                <w:sz w:val="24"/>
                <w:szCs w:val="20"/>
              </w:rPr>
              <w:t>45421km</w:t>
            </w:r>
            <w:r>
              <w:rPr>
                <w:color w:val="0000FF"/>
                <w:sz w:val="24"/>
                <w:szCs w:val="20"/>
                <w:vertAlign w:val="superscript"/>
              </w:rPr>
              <w:t>2</w:t>
            </w:r>
            <w:r>
              <w:rPr>
                <w:rFonts w:hAnsi="宋体"/>
                <w:color w:val="0000FF"/>
                <w:sz w:val="24"/>
                <w:szCs w:val="20"/>
              </w:rPr>
              <w:t>，总落差</w:t>
            </w:r>
            <w:r>
              <w:rPr>
                <w:color w:val="0000FF"/>
                <w:sz w:val="24"/>
                <w:szCs w:val="20"/>
              </w:rPr>
              <w:t>1517m</w:t>
            </w:r>
            <w:r>
              <w:rPr>
                <w:rFonts w:hAnsi="宋体"/>
                <w:color w:val="0000FF"/>
                <w:sz w:val="24"/>
                <w:szCs w:val="20"/>
              </w:rPr>
              <w:t>。在甘肃境内干流全长</w:t>
            </w:r>
            <w:r>
              <w:rPr>
                <w:color w:val="0000FF"/>
                <w:sz w:val="24"/>
                <w:szCs w:val="20"/>
              </w:rPr>
              <w:t>179.3km</w:t>
            </w:r>
            <w:r>
              <w:rPr>
                <w:rFonts w:hAnsi="宋体"/>
                <w:color w:val="0000FF"/>
                <w:sz w:val="24"/>
                <w:szCs w:val="20"/>
              </w:rPr>
              <w:t>，在平凉市境内干流长</w:t>
            </w:r>
            <w:r>
              <w:rPr>
                <w:color w:val="0000FF"/>
                <w:sz w:val="24"/>
                <w:szCs w:val="20"/>
              </w:rPr>
              <w:t>132km</w:t>
            </w:r>
            <w:r>
              <w:rPr>
                <w:rFonts w:hAnsi="宋体"/>
                <w:color w:val="0000FF"/>
                <w:sz w:val="24"/>
                <w:szCs w:val="20"/>
              </w:rPr>
              <w:t>，杨家坪断面控制流域面积</w:t>
            </w:r>
            <w:r>
              <w:rPr>
                <w:color w:val="0000FF"/>
                <w:sz w:val="24"/>
                <w:szCs w:val="20"/>
              </w:rPr>
              <w:t>14124km</w:t>
            </w:r>
            <w:r>
              <w:rPr>
                <w:color w:val="0000FF"/>
                <w:sz w:val="24"/>
                <w:szCs w:val="20"/>
                <w:vertAlign w:val="superscript"/>
              </w:rPr>
              <w:t>2</w:t>
            </w:r>
            <w:r>
              <w:rPr>
                <w:rFonts w:hAnsi="宋体"/>
                <w:color w:val="0000FF"/>
                <w:sz w:val="24"/>
                <w:szCs w:val="20"/>
              </w:rPr>
              <w:t>，河流平均比降</w:t>
            </w:r>
            <w:r>
              <w:rPr>
                <w:color w:val="0000FF"/>
                <w:sz w:val="24"/>
                <w:szCs w:val="20"/>
              </w:rPr>
              <w:t>1.86%</w:t>
            </w:r>
            <w:r>
              <w:rPr>
                <w:rFonts w:hAnsi="宋体"/>
                <w:color w:val="0000FF"/>
                <w:sz w:val="24"/>
                <w:szCs w:val="20"/>
              </w:rPr>
              <w:t>。多年平均径流量</w:t>
            </w:r>
            <w:r>
              <w:rPr>
                <w:color w:val="0000FF"/>
                <w:sz w:val="24"/>
                <w:szCs w:val="20"/>
              </w:rPr>
              <w:t>7.319</w:t>
            </w:r>
            <w:r>
              <w:rPr>
                <w:rFonts w:hAnsi="宋体"/>
                <w:color w:val="0000FF"/>
                <w:sz w:val="24"/>
                <w:szCs w:val="20"/>
              </w:rPr>
              <w:t>亿</w:t>
            </w:r>
            <w:r>
              <w:rPr>
                <w:color w:val="0000FF"/>
                <w:sz w:val="24"/>
                <w:szCs w:val="20"/>
              </w:rPr>
              <w:t>m³</w:t>
            </w:r>
            <w:r>
              <w:rPr>
                <w:rFonts w:hAnsi="宋体"/>
                <w:color w:val="0000FF"/>
                <w:sz w:val="24"/>
                <w:szCs w:val="20"/>
              </w:rPr>
              <w:t>，多年平均输沙量</w:t>
            </w:r>
            <w:r>
              <w:rPr>
                <w:color w:val="0000FF"/>
                <w:sz w:val="24"/>
                <w:szCs w:val="20"/>
              </w:rPr>
              <w:t>8850</w:t>
            </w:r>
            <w:r>
              <w:rPr>
                <w:rFonts w:hAnsi="宋体"/>
                <w:color w:val="0000FF"/>
                <w:sz w:val="24"/>
                <w:szCs w:val="20"/>
              </w:rPr>
              <w:t>万</w:t>
            </w:r>
            <w:r>
              <w:rPr>
                <w:color w:val="0000FF"/>
                <w:sz w:val="24"/>
                <w:szCs w:val="20"/>
              </w:rPr>
              <w:t>t</w:t>
            </w:r>
            <w:r>
              <w:rPr>
                <w:rFonts w:hAnsi="宋体"/>
                <w:color w:val="0000FF"/>
                <w:sz w:val="24"/>
                <w:szCs w:val="20"/>
              </w:rPr>
              <w:t>。</w:t>
            </w:r>
          </w:p>
          <w:p>
            <w:pPr>
              <w:spacing w:line="360" w:lineRule="auto"/>
              <w:ind w:firstLine="480" w:firstLineChars="200"/>
              <w:contextualSpacing/>
              <w:jc w:val="left"/>
              <w:rPr>
                <w:color w:val="0000FF"/>
                <w:sz w:val="24"/>
              </w:rPr>
            </w:pPr>
            <w:r>
              <w:rPr>
                <w:rFonts w:hAnsi="宋体"/>
                <w:color w:val="0000FF"/>
                <w:sz w:val="24"/>
              </w:rPr>
              <w:t>拟建工程场地勘探深度范围内，地层复杂程度一般，自上而下主要由</w:t>
            </w:r>
            <w:r>
              <w:rPr>
                <w:color w:val="0000FF"/>
                <w:sz w:val="24"/>
              </w:rPr>
              <w:fldChar w:fldCharType="begin"/>
            </w:r>
            <w:r>
              <w:rPr>
                <w:color w:val="0000FF"/>
                <w:sz w:val="24"/>
              </w:rPr>
              <w:instrText xml:space="preserve"> = 1 \* GB3 </w:instrText>
            </w:r>
            <w:r>
              <w:rPr>
                <w:color w:val="0000FF"/>
                <w:sz w:val="24"/>
              </w:rPr>
              <w:fldChar w:fldCharType="separate"/>
            </w:r>
            <w:r>
              <w:rPr>
                <w:rFonts w:ascii="宋体" w:hAnsi="宋体"/>
                <w:color w:val="0000FF"/>
                <w:sz w:val="24"/>
                <w:lang w:val="en-US" w:eastAsia="zh-CN"/>
              </w:rPr>
              <w:t>①</w:t>
            </w:r>
            <w:r>
              <w:rPr>
                <w:color w:val="0000FF"/>
                <w:sz w:val="24"/>
              </w:rPr>
              <w:fldChar w:fldCharType="end"/>
            </w:r>
            <w:r>
              <w:rPr>
                <w:rFonts w:hAnsi="宋体"/>
                <w:color w:val="0000FF"/>
                <w:sz w:val="24"/>
              </w:rPr>
              <w:t>人工填土（</w:t>
            </w:r>
            <w:r>
              <w:rPr>
                <w:color w:val="0000FF"/>
                <w:sz w:val="24"/>
              </w:rPr>
              <w:t>Q</w:t>
            </w:r>
            <w:r>
              <w:rPr>
                <w:color w:val="0000FF"/>
                <w:sz w:val="24"/>
                <w:vertAlign w:val="subscript"/>
              </w:rPr>
              <w:t>4</w:t>
            </w:r>
            <w:r>
              <w:rPr>
                <w:color w:val="0000FF"/>
                <w:sz w:val="24"/>
                <w:vertAlign w:val="superscript"/>
              </w:rPr>
              <w:t>ml</w:t>
            </w:r>
            <w:r>
              <w:rPr>
                <w:rFonts w:hAnsi="宋体"/>
                <w:color w:val="0000FF"/>
                <w:sz w:val="24"/>
              </w:rPr>
              <w:t>）、</w:t>
            </w:r>
            <w:r>
              <w:rPr>
                <w:color w:val="0000FF"/>
                <w:sz w:val="24"/>
              </w:rPr>
              <w:fldChar w:fldCharType="begin"/>
            </w:r>
            <w:r>
              <w:rPr>
                <w:color w:val="0000FF"/>
                <w:sz w:val="24"/>
              </w:rPr>
              <w:instrText xml:space="preserve"> = 2 \* GB3 </w:instrText>
            </w:r>
            <w:r>
              <w:rPr>
                <w:color w:val="0000FF"/>
                <w:sz w:val="24"/>
              </w:rPr>
              <w:fldChar w:fldCharType="separate"/>
            </w:r>
            <w:r>
              <w:rPr>
                <w:rFonts w:ascii="宋体" w:hAnsi="宋体"/>
                <w:color w:val="0000FF"/>
                <w:sz w:val="24"/>
                <w:lang w:val="en-US" w:eastAsia="zh-CN"/>
              </w:rPr>
              <w:t>②</w:t>
            </w:r>
            <w:r>
              <w:rPr>
                <w:color w:val="0000FF"/>
                <w:sz w:val="24"/>
              </w:rPr>
              <w:fldChar w:fldCharType="end"/>
            </w:r>
            <w:r>
              <w:rPr>
                <w:color w:val="0000FF"/>
                <w:sz w:val="24"/>
                <w:vertAlign w:val="subscript"/>
              </w:rPr>
              <w:t>2</w:t>
            </w:r>
            <w:r>
              <w:rPr>
                <w:rFonts w:hAnsi="宋体"/>
                <w:color w:val="0000FF"/>
                <w:sz w:val="24"/>
              </w:rPr>
              <w:t>古土壤</w:t>
            </w:r>
            <w:r>
              <w:rPr>
                <w:color w:val="0000FF"/>
                <w:sz w:val="24"/>
              </w:rPr>
              <w:t>1</w:t>
            </w:r>
            <w:r>
              <w:rPr>
                <w:rFonts w:hAnsi="宋体"/>
                <w:color w:val="0000FF"/>
                <w:sz w:val="24"/>
              </w:rPr>
              <w:t>（</w:t>
            </w:r>
            <w:r>
              <w:rPr>
                <w:color w:val="0000FF"/>
                <w:sz w:val="24"/>
              </w:rPr>
              <w:t>Q</w:t>
            </w:r>
            <w:r>
              <w:rPr>
                <w:color w:val="0000FF"/>
                <w:sz w:val="24"/>
                <w:vertAlign w:val="subscript"/>
              </w:rPr>
              <w:t>3</w:t>
            </w:r>
            <w:r>
              <w:rPr>
                <w:color w:val="0000FF"/>
                <w:sz w:val="24"/>
                <w:vertAlign w:val="superscript"/>
              </w:rPr>
              <w:t>pd</w:t>
            </w:r>
            <w:r>
              <w:rPr>
                <w:rFonts w:hAnsi="宋体"/>
                <w:color w:val="0000FF"/>
                <w:sz w:val="24"/>
              </w:rPr>
              <w:t>）及</w:t>
            </w: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1</w:t>
            </w:r>
            <w:r>
              <w:rPr>
                <w:rFonts w:hAnsi="宋体"/>
                <w:color w:val="0000FF"/>
                <w:sz w:val="24"/>
              </w:rPr>
              <w:t>离石黄土</w:t>
            </w:r>
            <w:r>
              <w:rPr>
                <w:color w:val="0000FF"/>
                <w:sz w:val="24"/>
              </w:rPr>
              <w:t>1</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w:t>
            </w: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2</w:t>
            </w:r>
            <w:r>
              <w:rPr>
                <w:rFonts w:hAnsi="宋体"/>
                <w:color w:val="0000FF"/>
                <w:sz w:val="24"/>
              </w:rPr>
              <w:t>古土壤</w:t>
            </w:r>
            <w:r>
              <w:rPr>
                <w:color w:val="0000FF"/>
                <w:sz w:val="24"/>
              </w:rPr>
              <w:t>2</w:t>
            </w:r>
            <w:r>
              <w:rPr>
                <w:rFonts w:hAnsi="宋体"/>
                <w:color w:val="0000FF"/>
                <w:sz w:val="24"/>
              </w:rPr>
              <w:t>（</w:t>
            </w:r>
            <w:r>
              <w:rPr>
                <w:color w:val="0000FF"/>
                <w:sz w:val="24"/>
              </w:rPr>
              <w:t>Q</w:t>
            </w:r>
            <w:r>
              <w:rPr>
                <w:color w:val="0000FF"/>
                <w:sz w:val="24"/>
                <w:vertAlign w:val="subscript"/>
              </w:rPr>
              <w:t>2</w:t>
            </w:r>
            <w:r>
              <w:rPr>
                <w:color w:val="0000FF"/>
                <w:sz w:val="24"/>
                <w:vertAlign w:val="superscript"/>
              </w:rPr>
              <w:t>pd</w:t>
            </w:r>
            <w:r>
              <w:rPr>
                <w:rFonts w:hAnsi="宋体"/>
                <w:color w:val="0000FF"/>
                <w:sz w:val="24"/>
              </w:rPr>
              <w:t>）、</w:t>
            </w: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3</w:t>
            </w:r>
            <w:r>
              <w:rPr>
                <w:rFonts w:hAnsi="宋体"/>
                <w:color w:val="0000FF"/>
                <w:sz w:val="24"/>
              </w:rPr>
              <w:t>离石黄土</w:t>
            </w:r>
            <w:r>
              <w:rPr>
                <w:color w:val="0000FF"/>
                <w:sz w:val="24"/>
              </w:rPr>
              <w:t>2</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w:t>
            </w: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4</w:t>
            </w:r>
            <w:r>
              <w:rPr>
                <w:rFonts w:hAnsi="宋体"/>
                <w:color w:val="0000FF"/>
                <w:sz w:val="24"/>
              </w:rPr>
              <w:t>古土壤</w:t>
            </w:r>
            <w:r>
              <w:rPr>
                <w:color w:val="0000FF"/>
                <w:sz w:val="24"/>
              </w:rPr>
              <w:t>3</w:t>
            </w:r>
            <w:r>
              <w:rPr>
                <w:rFonts w:hAnsi="宋体"/>
                <w:color w:val="0000FF"/>
                <w:sz w:val="24"/>
              </w:rPr>
              <w:t>（</w:t>
            </w:r>
            <w:r>
              <w:rPr>
                <w:color w:val="0000FF"/>
                <w:sz w:val="24"/>
              </w:rPr>
              <w:t>Q</w:t>
            </w:r>
            <w:r>
              <w:rPr>
                <w:color w:val="0000FF"/>
                <w:sz w:val="24"/>
                <w:vertAlign w:val="subscript"/>
              </w:rPr>
              <w:t>2</w:t>
            </w:r>
            <w:r>
              <w:rPr>
                <w:color w:val="0000FF"/>
                <w:sz w:val="24"/>
                <w:vertAlign w:val="superscript"/>
              </w:rPr>
              <w:t>pd</w:t>
            </w:r>
            <w:r>
              <w:rPr>
                <w:rFonts w:hAnsi="宋体"/>
                <w:color w:val="0000FF"/>
                <w:sz w:val="24"/>
              </w:rPr>
              <w:t>）、</w:t>
            </w: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5</w:t>
            </w:r>
            <w:r>
              <w:rPr>
                <w:rFonts w:hAnsi="宋体"/>
                <w:color w:val="0000FF"/>
                <w:sz w:val="24"/>
              </w:rPr>
              <w:t>离石黄土</w:t>
            </w:r>
            <w:r>
              <w:rPr>
                <w:color w:val="0000FF"/>
                <w:sz w:val="24"/>
              </w:rPr>
              <w:t>3</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）及</w:t>
            </w:r>
            <w:r>
              <w:rPr>
                <w:color w:val="0000FF"/>
                <w:sz w:val="24"/>
              </w:rPr>
              <w:fldChar w:fldCharType="begin"/>
            </w:r>
            <w:r>
              <w:rPr>
                <w:color w:val="0000FF"/>
                <w:sz w:val="24"/>
              </w:rPr>
              <w:instrText xml:space="preserve"> = 4 \* GB3 </w:instrText>
            </w:r>
            <w:r>
              <w:rPr>
                <w:color w:val="0000FF"/>
                <w:sz w:val="24"/>
              </w:rPr>
              <w:fldChar w:fldCharType="separate"/>
            </w:r>
            <w:r>
              <w:rPr>
                <w:rFonts w:ascii="宋体" w:hAnsi="宋体"/>
                <w:color w:val="0000FF"/>
                <w:sz w:val="24"/>
                <w:lang w:val="en-US" w:eastAsia="zh-CN"/>
              </w:rPr>
              <w:t>④</w:t>
            </w:r>
            <w:r>
              <w:rPr>
                <w:color w:val="0000FF"/>
                <w:sz w:val="24"/>
              </w:rPr>
              <w:fldChar w:fldCharType="end"/>
            </w:r>
            <w:r>
              <w:rPr>
                <w:rFonts w:hAnsi="宋体"/>
                <w:color w:val="0000FF"/>
                <w:sz w:val="24"/>
              </w:rPr>
              <w:t>泥质粉砂岩（</w:t>
            </w:r>
            <w:r>
              <w:rPr>
                <w:color w:val="0000FF"/>
                <w:sz w:val="24"/>
              </w:rPr>
              <w:t>K</w:t>
            </w:r>
            <w:r>
              <w:rPr>
                <w:rFonts w:hAnsi="宋体"/>
                <w:color w:val="0000FF"/>
                <w:sz w:val="24"/>
              </w:rPr>
              <w:t>）构成。分述如下：</w:t>
            </w:r>
          </w:p>
          <w:p>
            <w:pPr>
              <w:spacing w:line="360" w:lineRule="auto"/>
              <w:ind w:firstLine="480" w:firstLineChars="200"/>
              <w:contextualSpacing/>
              <w:jc w:val="left"/>
              <w:rPr>
                <w:color w:val="0000FF"/>
                <w:sz w:val="24"/>
              </w:rPr>
            </w:pPr>
            <w:r>
              <w:rPr>
                <w:color w:val="0000FF"/>
                <w:sz w:val="24"/>
              </w:rPr>
              <w:fldChar w:fldCharType="begin"/>
            </w:r>
            <w:r>
              <w:rPr>
                <w:color w:val="0000FF"/>
                <w:sz w:val="24"/>
              </w:rPr>
              <w:instrText xml:space="preserve"> = 1 \* GB3 </w:instrText>
            </w:r>
            <w:r>
              <w:rPr>
                <w:color w:val="0000FF"/>
                <w:sz w:val="24"/>
              </w:rPr>
              <w:fldChar w:fldCharType="separate"/>
            </w:r>
            <w:r>
              <w:rPr>
                <w:rFonts w:ascii="宋体" w:hAnsi="宋体"/>
                <w:color w:val="0000FF"/>
                <w:sz w:val="24"/>
                <w:lang w:val="en-US" w:eastAsia="zh-CN"/>
              </w:rPr>
              <w:t>①</w:t>
            </w:r>
            <w:r>
              <w:rPr>
                <w:color w:val="0000FF"/>
                <w:sz w:val="24"/>
              </w:rPr>
              <w:fldChar w:fldCharType="end"/>
            </w:r>
            <w:r>
              <w:rPr>
                <w:rFonts w:hAnsi="宋体"/>
                <w:color w:val="0000FF"/>
                <w:sz w:val="24"/>
              </w:rPr>
              <w:t>层：人工填土（</w:t>
            </w:r>
            <w:r>
              <w:rPr>
                <w:color w:val="0000FF"/>
                <w:sz w:val="24"/>
              </w:rPr>
              <w:t>Q</w:t>
            </w:r>
            <w:r>
              <w:rPr>
                <w:color w:val="0000FF"/>
                <w:sz w:val="24"/>
                <w:vertAlign w:val="subscript"/>
              </w:rPr>
              <w:t>4</w:t>
            </w:r>
            <w:r>
              <w:rPr>
                <w:color w:val="0000FF"/>
                <w:sz w:val="24"/>
                <w:vertAlign w:val="superscript"/>
              </w:rPr>
              <w:t>ml</w:t>
            </w:r>
            <w:r>
              <w:rPr>
                <w:rFonts w:hAnsi="宋体"/>
                <w:color w:val="0000FF"/>
                <w:sz w:val="24"/>
              </w:rPr>
              <w:t>）</w:t>
            </w:r>
            <w:r>
              <w:rPr>
                <w:color w:val="0000FF"/>
                <w:sz w:val="24"/>
              </w:rPr>
              <w:t>:</w:t>
            </w:r>
            <w:r>
              <w:rPr>
                <w:rFonts w:hAnsi="宋体"/>
                <w:color w:val="0000FF"/>
                <w:sz w:val="24"/>
              </w:rPr>
              <w:t>层厚</w:t>
            </w:r>
            <w:r>
              <w:rPr>
                <w:color w:val="0000FF"/>
                <w:sz w:val="24"/>
              </w:rPr>
              <w:t>10.20</w:t>
            </w:r>
            <w:r>
              <w:rPr>
                <w:rFonts w:hAnsi="宋体"/>
                <w:color w:val="0000FF"/>
                <w:sz w:val="24"/>
              </w:rPr>
              <w:t>～</w:t>
            </w:r>
            <w:r>
              <w:rPr>
                <w:color w:val="0000FF"/>
                <w:sz w:val="24"/>
              </w:rPr>
              <w:t>12.20m</w:t>
            </w:r>
            <w:r>
              <w:rPr>
                <w:rFonts w:hAnsi="宋体"/>
                <w:color w:val="0000FF"/>
                <w:sz w:val="24"/>
              </w:rPr>
              <w:t>，平均层厚为</w:t>
            </w:r>
            <w:r>
              <w:rPr>
                <w:color w:val="0000FF"/>
                <w:sz w:val="24"/>
              </w:rPr>
              <w:t>11.16m</w:t>
            </w:r>
            <w:r>
              <w:rPr>
                <w:rFonts w:hAnsi="宋体"/>
                <w:color w:val="0000FF"/>
                <w:sz w:val="24"/>
              </w:rPr>
              <w:t>；层顶高程为</w:t>
            </w:r>
            <w:r>
              <w:rPr>
                <w:color w:val="0000FF"/>
                <w:sz w:val="24"/>
              </w:rPr>
              <w:t>951.39</w:t>
            </w:r>
            <w:r>
              <w:rPr>
                <w:rFonts w:hAnsi="宋体"/>
                <w:color w:val="0000FF"/>
                <w:sz w:val="24"/>
              </w:rPr>
              <w:t>～</w:t>
            </w:r>
            <w:r>
              <w:rPr>
                <w:color w:val="0000FF"/>
                <w:sz w:val="24"/>
              </w:rPr>
              <w:t>953.08m</w:t>
            </w:r>
            <w:r>
              <w:rPr>
                <w:rFonts w:hAnsi="宋体"/>
                <w:color w:val="0000FF"/>
                <w:sz w:val="24"/>
              </w:rPr>
              <w:t>；黄褐色，土质不均匀，松散，稍湿，包含杂草根系，层顶分布，含砖块、碎石等建筑、生活垃圾，主要以黄土状粉土为主。全场分布。</w:t>
            </w:r>
          </w:p>
          <w:p>
            <w:pPr>
              <w:spacing w:line="360" w:lineRule="auto"/>
              <w:ind w:firstLine="555"/>
              <w:contextualSpacing/>
              <w:jc w:val="left"/>
              <w:rPr>
                <w:color w:val="0000FF"/>
                <w:sz w:val="24"/>
              </w:rPr>
            </w:pPr>
            <w:r>
              <w:rPr>
                <w:color w:val="0000FF"/>
                <w:sz w:val="24"/>
              </w:rPr>
              <w:fldChar w:fldCharType="begin"/>
            </w:r>
            <w:r>
              <w:rPr>
                <w:color w:val="0000FF"/>
                <w:sz w:val="24"/>
              </w:rPr>
              <w:instrText xml:space="preserve"> = 2 \* GB3 </w:instrText>
            </w:r>
            <w:r>
              <w:rPr>
                <w:color w:val="0000FF"/>
                <w:sz w:val="24"/>
              </w:rPr>
              <w:fldChar w:fldCharType="separate"/>
            </w:r>
            <w:r>
              <w:rPr>
                <w:rFonts w:ascii="宋体" w:hAnsi="宋体"/>
                <w:color w:val="0000FF"/>
                <w:sz w:val="24"/>
                <w:lang w:val="en-US" w:eastAsia="zh-CN"/>
              </w:rPr>
              <w:t>②</w:t>
            </w:r>
            <w:r>
              <w:rPr>
                <w:color w:val="0000FF"/>
                <w:sz w:val="24"/>
              </w:rPr>
              <w:fldChar w:fldCharType="end"/>
            </w:r>
            <w:r>
              <w:rPr>
                <w:color w:val="0000FF"/>
                <w:sz w:val="24"/>
                <w:vertAlign w:val="subscript"/>
              </w:rPr>
              <w:t>2</w:t>
            </w:r>
            <w:r>
              <w:rPr>
                <w:rFonts w:hAnsi="宋体"/>
                <w:color w:val="0000FF"/>
                <w:sz w:val="24"/>
              </w:rPr>
              <w:t>层：古土壤</w:t>
            </w:r>
            <w:r>
              <w:rPr>
                <w:color w:val="0000FF"/>
                <w:sz w:val="24"/>
              </w:rPr>
              <w:t>1</w:t>
            </w:r>
            <w:r>
              <w:rPr>
                <w:rFonts w:hAnsi="宋体"/>
                <w:color w:val="0000FF"/>
                <w:sz w:val="24"/>
              </w:rPr>
              <w:t>（</w:t>
            </w:r>
            <w:r>
              <w:rPr>
                <w:color w:val="0000FF"/>
                <w:sz w:val="24"/>
              </w:rPr>
              <w:t>Q</w:t>
            </w:r>
            <w:r>
              <w:rPr>
                <w:color w:val="0000FF"/>
                <w:sz w:val="24"/>
                <w:vertAlign w:val="subscript"/>
              </w:rPr>
              <w:t>3</w:t>
            </w:r>
            <w:r>
              <w:rPr>
                <w:color w:val="0000FF"/>
                <w:sz w:val="24"/>
                <w:vertAlign w:val="superscript"/>
              </w:rPr>
              <w:t>pd</w:t>
            </w:r>
            <w:r>
              <w:rPr>
                <w:rFonts w:hAnsi="宋体"/>
                <w:color w:val="0000FF"/>
                <w:sz w:val="24"/>
              </w:rPr>
              <w:t>）：层厚</w:t>
            </w:r>
            <w:r>
              <w:rPr>
                <w:color w:val="0000FF"/>
                <w:sz w:val="24"/>
              </w:rPr>
              <w:t>2.10</w:t>
            </w:r>
            <w:r>
              <w:rPr>
                <w:rFonts w:hAnsi="宋体"/>
                <w:color w:val="0000FF"/>
                <w:sz w:val="24"/>
              </w:rPr>
              <w:t>～</w:t>
            </w:r>
            <w:r>
              <w:rPr>
                <w:color w:val="0000FF"/>
                <w:sz w:val="24"/>
              </w:rPr>
              <w:t>3.30m</w:t>
            </w:r>
            <w:r>
              <w:rPr>
                <w:rFonts w:hAnsi="宋体"/>
                <w:color w:val="0000FF"/>
                <w:sz w:val="24"/>
              </w:rPr>
              <w:t>，平均层厚为</w:t>
            </w:r>
            <w:r>
              <w:rPr>
                <w:color w:val="0000FF"/>
                <w:sz w:val="24"/>
              </w:rPr>
              <w:t>2.73m</w:t>
            </w:r>
            <w:r>
              <w:rPr>
                <w:rFonts w:hAnsi="宋体"/>
                <w:color w:val="0000FF"/>
                <w:sz w:val="24"/>
              </w:rPr>
              <w:t>；层顶高程为</w:t>
            </w:r>
            <w:r>
              <w:rPr>
                <w:color w:val="0000FF"/>
                <w:sz w:val="24"/>
              </w:rPr>
              <w:t>939.39</w:t>
            </w:r>
            <w:r>
              <w:rPr>
                <w:rFonts w:hAnsi="宋体"/>
                <w:color w:val="0000FF"/>
                <w:sz w:val="24"/>
              </w:rPr>
              <w:t>～</w:t>
            </w:r>
            <w:r>
              <w:rPr>
                <w:color w:val="0000FF"/>
                <w:sz w:val="24"/>
              </w:rPr>
              <w:t>942.88m</w:t>
            </w:r>
            <w:r>
              <w:rPr>
                <w:rFonts w:hAnsi="宋体"/>
                <w:color w:val="0000FF"/>
                <w:sz w:val="24"/>
              </w:rPr>
              <w:t>；棕红～红褐色，土质较为均匀，稍密，稍湿，含白色钙质假菌丝，层底含少量姜结石颗粒，粒径</w:t>
            </w:r>
            <w:r>
              <w:rPr>
                <w:color w:val="0000FF"/>
                <w:sz w:val="24"/>
              </w:rPr>
              <w:t>2</w:t>
            </w:r>
            <w:r>
              <w:rPr>
                <w:rFonts w:hAnsi="宋体"/>
                <w:color w:val="0000FF"/>
                <w:sz w:val="24"/>
              </w:rPr>
              <w:t>～</w:t>
            </w:r>
            <w:r>
              <w:rPr>
                <w:color w:val="0000FF"/>
                <w:sz w:val="24"/>
              </w:rPr>
              <w:t>4cm</w:t>
            </w:r>
            <w:r>
              <w:rPr>
                <w:rFonts w:hAnsi="宋体"/>
                <w:color w:val="0000FF"/>
                <w:sz w:val="24"/>
              </w:rPr>
              <w:t>不等，孔隙发育中等，具针孔、虫孔结构，具竖向柱状节理，干强度高，韧性中等，无光泽，无摇震反应。</w:t>
            </w:r>
          </w:p>
          <w:p>
            <w:pPr>
              <w:spacing w:line="360" w:lineRule="auto"/>
              <w:ind w:firstLine="568" w:firstLineChars="237"/>
              <w:contextualSpacing/>
              <w:jc w:val="left"/>
              <w:rPr>
                <w:color w:val="0000FF"/>
                <w:sz w:val="24"/>
              </w:rPr>
            </w:pP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1</w:t>
            </w:r>
            <w:r>
              <w:rPr>
                <w:rFonts w:hAnsi="宋体"/>
                <w:color w:val="0000FF"/>
                <w:sz w:val="24"/>
              </w:rPr>
              <w:t>层</w:t>
            </w:r>
            <w:r>
              <w:rPr>
                <w:color w:val="0000FF"/>
                <w:sz w:val="24"/>
              </w:rPr>
              <w:t>:</w:t>
            </w:r>
            <w:r>
              <w:rPr>
                <w:rFonts w:hAnsi="宋体"/>
                <w:color w:val="0000FF"/>
                <w:sz w:val="24"/>
              </w:rPr>
              <w:t>离石黄土</w:t>
            </w:r>
            <w:r>
              <w:rPr>
                <w:color w:val="0000FF"/>
                <w:sz w:val="24"/>
              </w:rPr>
              <w:t>1</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）：层厚</w:t>
            </w:r>
            <w:r>
              <w:rPr>
                <w:color w:val="0000FF"/>
                <w:sz w:val="24"/>
              </w:rPr>
              <w:t>9.40</w:t>
            </w:r>
            <w:r>
              <w:rPr>
                <w:rFonts w:hAnsi="宋体"/>
                <w:color w:val="0000FF"/>
                <w:sz w:val="24"/>
              </w:rPr>
              <w:t>～</w:t>
            </w:r>
            <w:r>
              <w:rPr>
                <w:color w:val="0000FF"/>
                <w:sz w:val="24"/>
              </w:rPr>
              <w:t>10.70m</w:t>
            </w:r>
            <w:r>
              <w:rPr>
                <w:rFonts w:hAnsi="宋体"/>
                <w:color w:val="0000FF"/>
                <w:sz w:val="24"/>
              </w:rPr>
              <w:t>，平均层厚为</w:t>
            </w:r>
            <w:r>
              <w:rPr>
                <w:color w:val="0000FF"/>
                <w:sz w:val="24"/>
              </w:rPr>
              <w:t>10.08m</w:t>
            </w:r>
            <w:r>
              <w:rPr>
                <w:rFonts w:hAnsi="宋体"/>
                <w:color w:val="0000FF"/>
                <w:sz w:val="24"/>
              </w:rPr>
              <w:t>；层顶高程为</w:t>
            </w:r>
            <w:r>
              <w:rPr>
                <w:color w:val="0000FF"/>
                <w:sz w:val="24"/>
              </w:rPr>
              <w:t>937.29</w:t>
            </w:r>
            <w:r>
              <w:rPr>
                <w:rFonts w:hAnsi="宋体"/>
                <w:color w:val="0000FF"/>
                <w:sz w:val="24"/>
              </w:rPr>
              <w:t>～</w:t>
            </w:r>
            <w:r>
              <w:rPr>
                <w:color w:val="0000FF"/>
                <w:sz w:val="24"/>
              </w:rPr>
              <w:t>939.68m</w:t>
            </w:r>
            <w:r>
              <w:rPr>
                <w:rFonts w:hAnsi="宋体"/>
                <w:color w:val="0000FF"/>
                <w:sz w:val="24"/>
              </w:rPr>
              <w:t>；浅黄～褐黄色，土质均匀，稍密，稍湿，偶见姜结石颗粒，粒径</w:t>
            </w:r>
            <w:r>
              <w:rPr>
                <w:color w:val="0000FF"/>
                <w:sz w:val="24"/>
              </w:rPr>
              <w:t>0.5</w:t>
            </w:r>
            <w:r>
              <w:rPr>
                <w:rFonts w:hAnsi="宋体"/>
                <w:color w:val="0000FF"/>
                <w:sz w:val="24"/>
              </w:rPr>
              <w:t>～</w:t>
            </w:r>
            <w:r>
              <w:rPr>
                <w:color w:val="0000FF"/>
                <w:sz w:val="24"/>
              </w:rPr>
              <w:t>2cm</w:t>
            </w:r>
            <w:r>
              <w:rPr>
                <w:rFonts w:hAnsi="宋体"/>
                <w:color w:val="0000FF"/>
                <w:sz w:val="24"/>
              </w:rPr>
              <w:t>，孔隙发育中等，白色钙质结核呈斑团状零星分布。干强度中等，韧性低，无摇震反应。</w:t>
            </w:r>
          </w:p>
          <w:p>
            <w:pPr>
              <w:autoSpaceDE w:val="0"/>
              <w:autoSpaceDN w:val="0"/>
              <w:spacing w:line="360" w:lineRule="auto"/>
              <w:ind w:firstLine="480" w:firstLineChars="200"/>
              <w:contextualSpacing/>
              <w:rPr>
                <w:color w:val="0000FF"/>
                <w:sz w:val="24"/>
              </w:rPr>
            </w:pP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2</w:t>
            </w:r>
            <w:r>
              <w:rPr>
                <w:rFonts w:hAnsi="宋体"/>
                <w:color w:val="0000FF"/>
                <w:sz w:val="24"/>
              </w:rPr>
              <w:t>层：古土壤</w:t>
            </w:r>
            <w:r>
              <w:rPr>
                <w:color w:val="0000FF"/>
                <w:sz w:val="24"/>
              </w:rPr>
              <w:t>2</w:t>
            </w:r>
            <w:r>
              <w:rPr>
                <w:rFonts w:hAnsi="宋体"/>
                <w:color w:val="0000FF"/>
                <w:sz w:val="24"/>
              </w:rPr>
              <w:t>（</w:t>
            </w:r>
            <w:r>
              <w:rPr>
                <w:color w:val="0000FF"/>
                <w:sz w:val="24"/>
              </w:rPr>
              <w:t>Q</w:t>
            </w:r>
            <w:r>
              <w:rPr>
                <w:color w:val="0000FF"/>
                <w:sz w:val="24"/>
                <w:vertAlign w:val="subscript"/>
              </w:rPr>
              <w:t>2</w:t>
            </w:r>
            <w:r>
              <w:rPr>
                <w:color w:val="0000FF"/>
                <w:sz w:val="24"/>
                <w:vertAlign w:val="superscript"/>
              </w:rPr>
              <w:t>pd</w:t>
            </w:r>
            <w:r>
              <w:rPr>
                <w:rFonts w:hAnsi="宋体"/>
                <w:color w:val="0000FF"/>
                <w:sz w:val="24"/>
              </w:rPr>
              <w:t>）：层厚</w:t>
            </w:r>
            <w:r>
              <w:rPr>
                <w:color w:val="0000FF"/>
                <w:sz w:val="24"/>
              </w:rPr>
              <w:t>2.90</w:t>
            </w:r>
            <w:r>
              <w:rPr>
                <w:rFonts w:hAnsi="宋体"/>
                <w:color w:val="0000FF"/>
                <w:sz w:val="24"/>
              </w:rPr>
              <w:t>～</w:t>
            </w:r>
            <w:r>
              <w:rPr>
                <w:color w:val="0000FF"/>
                <w:sz w:val="24"/>
              </w:rPr>
              <w:t>3.60m</w:t>
            </w:r>
            <w:r>
              <w:rPr>
                <w:rFonts w:hAnsi="宋体"/>
                <w:color w:val="0000FF"/>
                <w:sz w:val="24"/>
              </w:rPr>
              <w:t>，平均层厚为</w:t>
            </w:r>
            <w:r>
              <w:rPr>
                <w:color w:val="0000FF"/>
                <w:sz w:val="24"/>
              </w:rPr>
              <w:t>3.31m</w:t>
            </w:r>
            <w:r>
              <w:rPr>
                <w:rFonts w:hAnsi="宋体"/>
                <w:color w:val="0000FF"/>
                <w:sz w:val="24"/>
              </w:rPr>
              <w:t>；层顶高程为</w:t>
            </w:r>
            <w:r>
              <w:rPr>
                <w:color w:val="0000FF"/>
                <w:sz w:val="24"/>
              </w:rPr>
              <w:t>926.59</w:t>
            </w:r>
            <w:r>
              <w:rPr>
                <w:rFonts w:hAnsi="宋体"/>
                <w:color w:val="0000FF"/>
                <w:sz w:val="24"/>
              </w:rPr>
              <w:t>～</w:t>
            </w:r>
            <w:r>
              <w:rPr>
                <w:color w:val="0000FF"/>
                <w:sz w:val="24"/>
              </w:rPr>
              <w:t>930.28m</w:t>
            </w:r>
            <w:r>
              <w:rPr>
                <w:rFonts w:hAnsi="宋体"/>
                <w:color w:val="0000FF"/>
                <w:sz w:val="24"/>
              </w:rPr>
              <w:t>；棕红～红褐色，土质较为均匀，稍密，稍湿，含白色钙质假菌丝，层底包含少量姜结石颗粒，粒径</w:t>
            </w:r>
            <w:r>
              <w:rPr>
                <w:color w:val="0000FF"/>
                <w:sz w:val="24"/>
              </w:rPr>
              <w:t>2</w:t>
            </w:r>
            <w:r>
              <w:rPr>
                <w:rFonts w:hAnsi="宋体"/>
                <w:color w:val="0000FF"/>
                <w:sz w:val="24"/>
              </w:rPr>
              <w:t>～</w:t>
            </w:r>
            <w:r>
              <w:rPr>
                <w:color w:val="0000FF"/>
                <w:sz w:val="24"/>
              </w:rPr>
              <w:t>4cm</w:t>
            </w:r>
            <w:r>
              <w:rPr>
                <w:rFonts w:hAnsi="宋体"/>
                <w:color w:val="0000FF"/>
                <w:sz w:val="24"/>
              </w:rPr>
              <w:t>不等，孔隙发育中等，具针孔、虫孔结构，具竖向柱状节理，干强度高，韧性中等，无光泽，无摇震反应。</w:t>
            </w:r>
          </w:p>
          <w:p>
            <w:pPr>
              <w:autoSpaceDE w:val="0"/>
              <w:autoSpaceDN w:val="0"/>
              <w:spacing w:line="360" w:lineRule="auto"/>
              <w:ind w:firstLine="480" w:firstLineChars="200"/>
              <w:contextualSpacing/>
              <w:rPr>
                <w:color w:val="0000FF"/>
                <w:sz w:val="24"/>
              </w:rPr>
            </w:pP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3</w:t>
            </w:r>
            <w:r>
              <w:rPr>
                <w:rFonts w:hAnsi="宋体"/>
                <w:color w:val="0000FF"/>
                <w:sz w:val="24"/>
              </w:rPr>
              <w:t>层：离石黄土</w:t>
            </w:r>
            <w:r>
              <w:rPr>
                <w:color w:val="0000FF"/>
                <w:sz w:val="24"/>
              </w:rPr>
              <w:t>2</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）：层厚为</w:t>
            </w:r>
            <w:r>
              <w:rPr>
                <w:color w:val="0000FF"/>
                <w:sz w:val="24"/>
              </w:rPr>
              <w:t>3.30</w:t>
            </w:r>
            <w:r>
              <w:rPr>
                <w:rFonts w:hAnsi="宋体"/>
                <w:color w:val="0000FF"/>
                <w:sz w:val="24"/>
              </w:rPr>
              <w:t>～</w:t>
            </w:r>
            <w:r>
              <w:rPr>
                <w:color w:val="0000FF"/>
                <w:sz w:val="24"/>
              </w:rPr>
              <w:t>11.30m</w:t>
            </w:r>
            <w:r>
              <w:rPr>
                <w:rFonts w:hAnsi="宋体"/>
                <w:color w:val="0000FF"/>
                <w:sz w:val="24"/>
              </w:rPr>
              <w:t>；平均层厚为</w:t>
            </w:r>
            <w:r>
              <w:rPr>
                <w:color w:val="0000FF"/>
                <w:sz w:val="24"/>
              </w:rPr>
              <w:t>6.57m</w:t>
            </w:r>
            <w:r>
              <w:rPr>
                <w:rFonts w:hAnsi="宋体"/>
                <w:color w:val="0000FF"/>
                <w:sz w:val="24"/>
              </w:rPr>
              <w:t>；层顶高程为</w:t>
            </w:r>
            <w:r>
              <w:rPr>
                <w:color w:val="0000FF"/>
                <w:sz w:val="24"/>
              </w:rPr>
              <w:t>923.29</w:t>
            </w:r>
            <w:r>
              <w:rPr>
                <w:rFonts w:hAnsi="宋体"/>
                <w:color w:val="0000FF"/>
                <w:sz w:val="24"/>
              </w:rPr>
              <w:t>～</w:t>
            </w:r>
            <w:r>
              <w:rPr>
                <w:color w:val="0000FF"/>
                <w:sz w:val="24"/>
              </w:rPr>
              <w:t>926.68m</w:t>
            </w:r>
            <w:r>
              <w:rPr>
                <w:rFonts w:hAnsi="宋体"/>
                <w:color w:val="0000FF"/>
                <w:sz w:val="24"/>
              </w:rPr>
              <w:t>；褐黄色，土质均匀，稍密，稍湿，偶见姜结石颗粒，粒径</w:t>
            </w:r>
            <w:r>
              <w:rPr>
                <w:color w:val="0000FF"/>
                <w:sz w:val="24"/>
              </w:rPr>
              <w:t>0.5</w:t>
            </w:r>
            <w:r>
              <w:rPr>
                <w:rFonts w:hAnsi="宋体"/>
                <w:color w:val="0000FF"/>
                <w:sz w:val="24"/>
              </w:rPr>
              <w:t>～</w:t>
            </w:r>
            <w:r>
              <w:rPr>
                <w:color w:val="0000FF"/>
                <w:sz w:val="24"/>
              </w:rPr>
              <w:t>2cm</w:t>
            </w:r>
            <w:r>
              <w:rPr>
                <w:rFonts w:hAnsi="宋体"/>
                <w:color w:val="0000FF"/>
                <w:sz w:val="24"/>
              </w:rPr>
              <w:t>，孔隙发育中等，白色钙质结核呈斑团状零星分布。干强度中等，韧性低，无摇震反应。</w:t>
            </w:r>
          </w:p>
          <w:p>
            <w:pPr>
              <w:autoSpaceDE w:val="0"/>
              <w:autoSpaceDN w:val="0"/>
              <w:spacing w:line="360" w:lineRule="auto"/>
              <w:ind w:firstLine="480" w:firstLineChars="200"/>
              <w:contextualSpacing/>
              <w:rPr>
                <w:color w:val="0000FF"/>
                <w:sz w:val="24"/>
              </w:rPr>
            </w:pP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4</w:t>
            </w:r>
            <w:r>
              <w:rPr>
                <w:rFonts w:hAnsi="宋体"/>
                <w:color w:val="0000FF"/>
                <w:sz w:val="24"/>
              </w:rPr>
              <w:t>层：古土壤</w:t>
            </w:r>
            <w:r>
              <w:rPr>
                <w:color w:val="0000FF"/>
                <w:sz w:val="24"/>
              </w:rPr>
              <w:t>3</w:t>
            </w:r>
            <w:r>
              <w:rPr>
                <w:rFonts w:hAnsi="宋体"/>
                <w:color w:val="0000FF"/>
                <w:sz w:val="24"/>
              </w:rPr>
              <w:t>（</w:t>
            </w:r>
            <w:r>
              <w:rPr>
                <w:color w:val="0000FF"/>
                <w:sz w:val="24"/>
              </w:rPr>
              <w:t>Q</w:t>
            </w:r>
            <w:r>
              <w:rPr>
                <w:color w:val="0000FF"/>
                <w:sz w:val="24"/>
                <w:vertAlign w:val="subscript"/>
              </w:rPr>
              <w:t>2</w:t>
            </w:r>
            <w:r>
              <w:rPr>
                <w:color w:val="0000FF"/>
                <w:sz w:val="24"/>
                <w:vertAlign w:val="superscript"/>
              </w:rPr>
              <w:t>pd</w:t>
            </w:r>
            <w:r>
              <w:rPr>
                <w:rFonts w:hAnsi="宋体"/>
                <w:color w:val="0000FF"/>
                <w:sz w:val="24"/>
              </w:rPr>
              <w:t>）：层厚为</w:t>
            </w:r>
            <w:r>
              <w:rPr>
                <w:color w:val="0000FF"/>
                <w:sz w:val="24"/>
              </w:rPr>
              <w:t>3.50m</w:t>
            </w:r>
            <w:r>
              <w:rPr>
                <w:rFonts w:hAnsi="宋体"/>
                <w:color w:val="0000FF"/>
                <w:sz w:val="24"/>
              </w:rPr>
              <w:t>；层顶高程为</w:t>
            </w:r>
            <w:r>
              <w:rPr>
                <w:color w:val="0000FF"/>
                <w:sz w:val="24"/>
              </w:rPr>
              <w:t>914.61m</w:t>
            </w:r>
            <w:r>
              <w:rPr>
                <w:rFonts w:hAnsi="宋体"/>
                <w:color w:val="0000FF"/>
                <w:sz w:val="24"/>
              </w:rPr>
              <w:t>；棕红</w:t>
            </w:r>
            <w:r>
              <w:rPr>
                <w:color w:val="0000FF"/>
                <w:sz w:val="24"/>
              </w:rPr>
              <w:t>;</w:t>
            </w:r>
            <w:r>
              <w:rPr>
                <w:rFonts w:hAnsi="宋体"/>
                <w:color w:val="0000FF"/>
                <w:sz w:val="24"/>
              </w:rPr>
              <w:t>土质较为均匀</w:t>
            </w:r>
            <w:r>
              <w:rPr>
                <w:color w:val="0000FF"/>
                <w:sz w:val="24"/>
              </w:rPr>
              <w:t>;</w:t>
            </w:r>
            <w:r>
              <w:rPr>
                <w:rFonts w:hAnsi="宋体"/>
                <w:color w:val="0000FF"/>
                <w:sz w:val="24"/>
              </w:rPr>
              <w:t>稍密～中密</w:t>
            </w:r>
            <w:r>
              <w:rPr>
                <w:color w:val="0000FF"/>
                <w:sz w:val="24"/>
              </w:rPr>
              <w:t>;</w:t>
            </w:r>
            <w:r>
              <w:rPr>
                <w:rFonts w:hAnsi="宋体"/>
                <w:color w:val="0000FF"/>
                <w:sz w:val="24"/>
              </w:rPr>
              <w:t>稍湿</w:t>
            </w:r>
            <w:r>
              <w:rPr>
                <w:color w:val="0000FF"/>
                <w:sz w:val="24"/>
              </w:rPr>
              <w:t>;</w:t>
            </w:r>
            <w:r>
              <w:rPr>
                <w:rFonts w:hAnsi="宋体"/>
                <w:color w:val="0000FF"/>
                <w:sz w:val="24"/>
              </w:rPr>
              <w:t>可塑</w:t>
            </w:r>
            <w:r>
              <w:rPr>
                <w:color w:val="0000FF"/>
                <w:sz w:val="24"/>
              </w:rPr>
              <w:t>;</w:t>
            </w:r>
            <w:r>
              <w:rPr>
                <w:rFonts w:hAnsi="宋体"/>
                <w:color w:val="0000FF"/>
                <w:sz w:val="24"/>
              </w:rPr>
              <w:t>层底包含姜结石颗粒，粒径</w:t>
            </w:r>
            <w:r>
              <w:rPr>
                <w:color w:val="0000FF"/>
                <w:sz w:val="24"/>
              </w:rPr>
              <w:t>1</w:t>
            </w:r>
            <w:r>
              <w:rPr>
                <w:rFonts w:hAnsi="宋体"/>
                <w:color w:val="0000FF"/>
                <w:sz w:val="24"/>
              </w:rPr>
              <w:t>～</w:t>
            </w:r>
            <w:r>
              <w:rPr>
                <w:color w:val="0000FF"/>
                <w:sz w:val="24"/>
              </w:rPr>
              <w:t>3cm</w:t>
            </w:r>
            <w:r>
              <w:rPr>
                <w:rFonts w:hAnsi="宋体"/>
                <w:color w:val="0000FF"/>
                <w:sz w:val="24"/>
              </w:rPr>
              <w:t>不等</w:t>
            </w:r>
            <w:r>
              <w:rPr>
                <w:color w:val="0000FF"/>
                <w:sz w:val="24"/>
              </w:rPr>
              <w:t>;</w:t>
            </w:r>
            <w:r>
              <w:rPr>
                <w:rFonts w:hAnsi="宋体"/>
                <w:color w:val="0000FF"/>
                <w:sz w:val="24"/>
              </w:rPr>
              <w:t>孔隙发育强烈，具针孔、大孔结构，大孔内多为灰褐色粘土充填，白色钙质结核零星分布。干强度高，韧性中等，无摇震反应。</w:t>
            </w:r>
          </w:p>
          <w:p>
            <w:pPr>
              <w:autoSpaceDE w:val="0"/>
              <w:autoSpaceDN w:val="0"/>
              <w:spacing w:line="360" w:lineRule="auto"/>
              <w:ind w:firstLine="480" w:firstLineChars="200"/>
              <w:contextualSpacing/>
              <w:rPr>
                <w:color w:val="0000FF"/>
                <w:sz w:val="24"/>
              </w:rPr>
            </w:pPr>
            <w:r>
              <w:rPr>
                <w:color w:val="0000FF"/>
                <w:sz w:val="24"/>
              </w:rPr>
              <w:fldChar w:fldCharType="begin"/>
            </w:r>
            <w:r>
              <w:rPr>
                <w:color w:val="0000FF"/>
                <w:sz w:val="24"/>
              </w:rPr>
              <w:instrText xml:space="preserve"> = 3 \* GB3 </w:instrText>
            </w:r>
            <w:r>
              <w:rPr>
                <w:color w:val="0000FF"/>
                <w:sz w:val="24"/>
              </w:rPr>
              <w:fldChar w:fldCharType="separate"/>
            </w:r>
            <w:r>
              <w:rPr>
                <w:rFonts w:ascii="宋体" w:hAnsi="宋体"/>
                <w:color w:val="0000FF"/>
                <w:sz w:val="24"/>
                <w:lang w:val="en-US" w:eastAsia="zh-CN"/>
              </w:rPr>
              <w:t>③</w:t>
            </w:r>
            <w:r>
              <w:rPr>
                <w:color w:val="0000FF"/>
                <w:sz w:val="24"/>
              </w:rPr>
              <w:fldChar w:fldCharType="end"/>
            </w:r>
            <w:r>
              <w:rPr>
                <w:color w:val="0000FF"/>
                <w:sz w:val="24"/>
                <w:vertAlign w:val="subscript"/>
              </w:rPr>
              <w:t>5</w:t>
            </w:r>
            <w:r>
              <w:rPr>
                <w:rFonts w:hAnsi="宋体"/>
                <w:color w:val="0000FF"/>
                <w:sz w:val="24"/>
              </w:rPr>
              <w:t>层：离石黄土</w:t>
            </w:r>
            <w:r>
              <w:rPr>
                <w:color w:val="0000FF"/>
                <w:sz w:val="24"/>
              </w:rPr>
              <w:t>3</w:t>
            </w:r>
            <w:r>
              <w:rPr>
                <w:rFonts w:hAnsi="宋体"/>
                <w:color w:val="0000FF"/>
                <w:sz w:val="24"/>
              </w:rPr>
              <w:t>（</w:t>
            </w:r>
            <w:r>
              <w:rPr>
                <w:color w:val="0000FF"/>
                <w:sz w:val="24"/>
              </w:rPr>
              <w:t>Q</w:t>
            </w:r>
            <w:r>
              <w:rPr>
                <w:color w:val="0000FF"/>
                <w:sz w:val="24"/>
                <w:vertAlign w:val="subscript"/>
              </w:rPr>
              <w:t>2</w:t>
            </w:r>
            <w:r>
              <w:rPr>
                <w:color w:val="0000FF"/>
                <w:sz w:val="24"/>
                <w:vertAlign w:val="superscript"/>
              </w:rPr>
              <w:t>eol</w:t>
            </w:r>
            <w:r>
              <w:rPr>
                <w:rFonts w:hAnsi="宋体"/>
                <w:color w:val="0000FF"/>
                <w:sz w:val="24"/>
              </w:rPr>
              <w:t>）：层厚为</w:t>
            </w:r>
            <w:r>
              <w:rPr>
                <w:color w:val="0000FF"/>
                <w:sz w:val="24"/>
              </w:rPr>
              <w:t>2.00m</w:t>
            </w:r>
            <w:r>
              <w:rPr>
                <w:rFonts w:hAnsi="宋体"/>
                <w:color w:val="0000FF"/>
                <w:sz w:val="24"/>
              </w:rPr>
              <w:t>；层顶高程为</w:t>
            </w:r>
            <w:r>
              <w:rPr>
                <w:color w:val="0000FF"/>
                <w:sz w:val="24"/>
              </w:rPr>
              <w:t>911.11m</w:t>
            </w:r>
            <w:r>
              <w:rPr>
                <w:rFonts w:hAnsi="宋体"/>
                <w:color w:val="0000FF"/>
                <w:sz w:val="24"/>
              </w:rPr>
              <w:t>；褐黄</w:t>
            </w:r>
            <w:r>
              <w:rPr>
                <w:color w:val="0000FF"/>
                <w:sz w:val="24"/>
              </w:rPr>
              <w:t>;</w:t>
            </w:r>
            <w:r>
              <w:rPr>
                <w:rFonts w:hAnsi="宋体"/>
                <w:color w:val="0000FF"/>
                <w:sz w:val="24"/>
              </w:rPr>
              <w:t>土质均匀</w:t>
            </w:r>
            <w:r>
              <w:rPr>
                <w:color w:val="0000FF"/>
                <w:sz w:val="24"/>
              </w:rPr>
              <w:t>;</w:t>
            </w:r>
            <w:r>
              <w:rPr>
                <w:rFonts w:hAnsi="宋体"/>
                <w:color w:val="0000FF"/>
                <w:sz w:val="24"/>
              </w:rPr>
              <w:t>中密</w:t>
            </w:r>
            <w:r>
              <w:rPr>
                <w:color w:val="0000FF"/>
                <w:sz w:val="24"/>
              </w:rPr>
              <w:t>;</w:t>
            </w:r>
            <w:r>
              <w:rPr>
                <w:rFonts w:hAnsi="宋体"/>
                <w:color w:val="0000FF"/>
                <w:sz w:val="24"/>
              </w:rPr>
              <w:t>稍湿</w:t>
            </w:r>
            <w:r>
              <w:rPr>
                <w:color w:val="0000FF"/>
                <w:sz w:val="24"/>
              </w:rPr>
              <w:t>;</w:t>
            </w:r>
            <w:r>
              <w:rPr>
                <w:rFonts w:hAnsi="宋体"/>
                <w:color w:val="0000FF"/>
                <w:sz w:val="24"/>
              </w:rPr>
              <w:t>包含姜结石颗粒，粒径</w:t>
            </w:r>
            <w:r>
              <w:rPr>
                <w:color w:val="0000FF"/>
                <w:sz w:val="24"/>
              </w:rPr>
              <w:t>0.5</w:t>
            </w:r>
            <w:r>
              <w:rPr>
                <w:rFonts w:hAnsi="宋体"/>
                <w:color w:val="0000FF"/>
                <w:sz w:val="24"/>
              </w:rPr>
              <w:t>～</w:t>
            </w:r>
            <w:r>
              <w:rPr>
                <w:color w:val="0000FF"/>
                <w:sz w:val="24"/>
              </w:rPr>
              <w:t>2cm</w:t>
            </w:r>
            <w:r>
              <w:rPr>
                <w:rFonts w:hAnsi="宋体"/>
                <w:color w:val="0000FF"/>
                <w:sz w:val="24"/>
              </w:rPr>
              <w:t>不等</w:t>
            </w:r>
            <w:r>
              <w:rPr>
                <w:color w:val="0000FF"/>
                <w:sz w:val="24"/>
              </w:rPr>
              <w:t>;</w:t>
            </w:r>
            <w:r>
              <w:rPr>
                <w:rFonts w:hAnsi="宋体"/>
                <w:color w:val="0000FF"/>
                <w:sz w:val="24"/>
              </w:rPr>
              <w:t>孔隙发育中等，略具针孔、大孔结构，大孔内多为灰褐色粘土充填，白色钙质结核呈斑团状零星分布。干强度高，韧性中等，无光泽度，无摇震反应，风积成因。</w:t>
            </w:r>
          </w:p>
          <w:p>
            <w:pPr>
              <w:spacing w:line="360" w:lineRule="auto"/>
              <w:ind w:firstLine="480" w:firstLineChars="200"/>
              <w:contextualSpacing/>
              <w:rPr>
                <w:color w:val="0000FF"/>
                <w:sz w:val="24"/>
                <w:szCs w:val="20"/>
              </w:rPr>
            </w:pPr>
            <w:r>
              <w:rPr>
                <w:color w:val="0000FF"/>
                <w:sz w:val="24"/>
              </w:rPr>
              <w:fldChar w:fldCharType="begin"/>
            </w:r>
            <w:r>
              <w:rPr>
                <w:color w:val="0000FF"/>
                <w:sz w:val="24"/>
              </w:rPr>
              <w:instrText xml:space="preserve"> = 4 \* GB3 </w:instrText>
            </w:r>
            <w:r>
              <w:rPr>
                <w:color w:val="0000FF"/>
                <w:sz w:val="24"/>
              </w:rPr>
              <w:fldChar w:fldCharType="separate"/>
            </w:r>
            <w:r>
              <w:rPr>
                <w:rFonts w:ascii="宋体" w:hAnsi="宋体"/>
                <w:color w:val="0000FF"/>
                <w:sz w:val="24"/>
                <w:lang w:val="en-US" w:eastAsia="zh-CN"/>
              </w:rPr>
              <w:t>④</w:t>
            </w:r>
            <w:r>
              <w:rPr>
                <w:color w:val="0000FF"/>
                <w:sz w:val="24"/>
              </w:rPr>
              <w:fldChar w:fldCharType="end"/>
            </w:r>
            <w:r>
              <w:rPr>
                <w:rFonts w:hAnsi="宋体"/>
                <w:color w:val="0000FF"/>
                <w:sz w:val="24"/>
              </w:rPr>
              <w:t>层：泥质粉砂岩（</w:t>
            </w:r>
            <w:r>
              <w:rPr>
                <w:color w:val="0000FF"/>
                <w:sz w:val="24"/>
              </w:rPr>
              <w:t>K</w:t>
            </w:r>
            <w:r>
              <w:rPr>
                <w:rFonts w:hAnsi="宋体"/>
                <w:color w:val="0000FF"/>
                <w:sz w:val="24"/>
              </w:rPr>
              <w:t>）：揭露层厚为</w:t>
            </w:r>
            <w:r>
              <w:rPr>
                <w:color w:val="0000FF"/>
                <w:sz w:val="24"/>
              </w:rPr>
              <w:t>5.50m</w:t>
            </w:r>
            <w:r>
              <w:rPr>
                <w:rFonts w:hAnsi="宋体"/>
                <w:color w:val="0000FF"/>
                <w:sz w:val="24"/>
              </w:rPr>
              <w:t>；层顶高程为</w:t>
            </w:r>
            <w:r>
              <w:rPr>
                <w:color w:val="0000FF"/>
                <w:sz w:val="24"/>
              </w:rPr>
              <w:t>909.11m</w:t>
            </w:r>
            <w:r>
              <w:rPr>
                <w:rFonts w:hAnsi="宋体"/>
                <w:color w:val="0000FF"/>
                <w:sz w:val="24"/>
              </w:rPr>
              <w:t>；青灰</w:t>
            </w:r>
            <w:r>
              <w:rPr>
                <w:color w:val="0000FF"/>
                <w:sz w:val="24"/>
              </w:rPr>
              <w:t>;</w:t>
            </w:r>
            <w:r>
              <w:rPr>
                <w:rFonts w:hAnsi="宋体"/>
                <w:color w:val="0000FF"/>
                <w:sz w:val="24"/>
              </w:rPr>
              <w:t>砂质结构，块状构造，略具光泽，岩面呈强风化，中下层中风化～微风化，钻进较为困难，钻芯呈短柱状，具水平层理。夹灰绿色泥岩薄层。其中</w:t>
            </w:r>
            <w:r>
              <w:rPr>
                <w:color w:val="0000FF"/>
                <w:sz w:val="24"/>
              </w:rPr>
              <w:t>43.0</w:t>
            </w:r>
            <w:r>
              <w:rPr>
                <w:rFonts w:hAnsi="宋体"/>
                <w:color w:val="0000FF"/>
                <w:sz w:val="24"/>
              </w:rPr>
              <w:t>～</w:t>
            </w:r>
            <w:r>
              <w:rPr>
                <w:color w:val="0000FF"/>
                <w:sz w:val="24"/>
              </w:rPr>
              <w:t>44.5m</w:t>
            </w:r>
            <w:r>
              <w:rPr>
                <w:rFonts w:hAnsi="宋体"/>
                <w:color w:val="0000FF"/>
                <w:sz w:val="24"/>
              </w:rPr>
              <w:t>，含有粉砂质泥岩薄层。其中</w:t>
            </w:r>
            <w:r>
              <w:rPr>
                <w:color w:val="0000FF"/>
                <w:sz w:val="24"/>
              </w:rPr>
              <w:t>48.00</w:t>
            </w:r>
            <w:r>
              <w:rPr>
                <w:rFonts w:hAnsi="宋体"/>
                <w:color w:val="0000FF"/>
                <w:sz w:val="24"/>
              </w:rPr>
              <w:t>～</w:t>
            </w:r>
            <w:r>
              <w:rPr>
                <w:color w:val="0000FF"/>
                <w:sz w:val="24"/>
              </w:rPr>
              <w:t>48.50m</w:t>
            </w:r>
            <w:r>
              <w:rPr>
                <w:rFonts w:hAnsi="宋体"/>
                <w:color w:val="0000FF"/>
                <w:sz w:val="24"/>
              </w:rPr>
              <w:t>见强风化泥岩薄层。</w:t>
            </w:r>
          </w:p>
          <w:p>
            <w:pPr>
              <w:spacing w:line="360" w:lineRule="auto"/>
              <w:ind w:firstLine="480" w:firstLineChars="200"/>
              <w:rPr>
                <w:rFonts w:hint="eastAsia" w:cs="宋体"/>
                <w:b/>
                <w:bCs/>
                <w:color w:val="0000FF"/>
                <w:kern w:val="0"/>
                <w:sz w:val="24"/>
              </w:rPr>
            </w:pPr>
            <w:r>
              <w:rPr>
                <w:rFonts w:hint="eastAsia" w:cs="宋体"/>
                <w:b/>
                <w:bCs/>
                <w:color w:val="0000FF"/>
                <w:kern w:val="0"/>
                <w:sz w:val="24"/>
              </w:rPr>
              <w:t>6、矿产资源</w:t>
            </w:r>
          </w:p>
          <w:p>
            <w:pPr>
              <w:spacing w:line="360" w:lineRule="auto"/>
              <w:ind w:firstLine="480" w:firstLineChars="200"/>
              <w:rPr>
                <w:rFonts w:hint="eastAsia"/>
                <w:color w:val="0000FF"/>
                <w:sz w:val="24"/>
              </w:rPr>
            </w:pPr>
            <w:r>
              <w:rPr>
                <w:rFonts w:hint="eastAsia"/>
                <w:color w:val="0000FF"/>
                <w:sz w:val="24"/>
              </w:rPr>
              <w:t>宁县县域内矿产资源主要有煤、石油、煤层气、建筑用砂（沙）石、石灰石、矿泉水，砖瓦用粘土矿遍布境内。其中煤炭、石油、天然气等矿产资源储量丰富，遍布境内。截至2013年，煤炭探明总储量1027亿吨，占全省预测储量的73%，其中千米以浅储量77亿吨，查探明储量63亿吨，宁南煤田已开工建设；石油预测储量2亿吨，中石油、中石化已开始规模开采，“十二五”末产能可达120万吨；煤层气预测储量达2150亿立方米。每平方米有煤38.6吨，石油0.075吨，煤层气81立方米。</w:t>
            </w:r>
          </w:p>
          <w:p>
            <w:pPr>
              <w:spacing w:line="360" w:lineRule="auto"/>
              <w:ind w:firstLine="480" w:firstLineChars="200"/>
              <w:rPr>
                <w:rFonts w:hint="eastAsia" w:cs="宋体"/>
                <w:b/>
                <w:bCs/>
                <w:color w:val="0000FF"/>
                <w:kern w:val="0"/>
                <w:sz w:val="24"/>
              </w:rPr>
            </w:pPr>
            <w:r>
              <w:rPr>
                <w:rFonts w:hint="eastAsia" w:cs="宋体"/>
                <w:b/>
                <w:bCs/>
                <w:color w:val="0000FF"/>
                <w:kern w:val="0"/>
                <w:sz w:val="24"/>
              </w:rPr>
              <w:t>7、土壤植被</w:t>
            </w:r>
          </w:p>
          <w:p>
            <w:pPr>
              <w:spacing w:line="360" w:lineRule="auto"/>
              <w:ind w:firstLine="480" w:firstLineChars="200"/>
              <w:contextualSpacing/>
              <w:rPr>
                <w:color w:val="0000FF"/>
                <w:sz w:val="24"/>
              </w:rPr>
            </w:pPr>
            <w:r>
              <w:rPr>
                <w:rFonts w:hAnsi="宋体"/>
                <w:color w:val="0000FF"/>
                <w:sz w:val="24"/>
              </w:rPr>
              <w:t>宁县土壤受地形、母质、气候、植物、和耕作条件的影响，形成不同的土壤类型，即：黄绵土、黑垆土、淤积土、潮土、红粘土和灰褐土。全县土地资源比较丰富，有耕地</w:t>
            </w:r>
            <w:r>
              <w:rPr>
                <w:color w:val="0000FF"/>
                <w:sz w:val="24"/>
              </w:rPr>
              <w:t>69030</w:t>
            </w:r>
            <w:r>
              <w:rPr>
                <w:rFonts w:hAnsi="宋体"/>
                <w:color w:val="0000FF"/>
                <w:sz w:val="24"/>
              </w:rPr>
              <w:t>公顷。宁县温和较湿润的气候条件，适宜多种阔叶林和草本植被的生长发育，植物种类较多。据不完全调查，全县木本植物和草本植物类型约有</w:t>
            </w:r>
            <w:r>
              <w:rPr>
                <w:color w:val="0000FF"/>
                <w:sz w:val="24"/>
              </w:rPr>
              <w:t>40</w:t>
            </w:r>
            <w:r>
              <w:rPr>
                <w:rFonts w:hAnsi="宋体"/>
                <w:color w:val="0000FF"/>
                <w:sz w:val="24"/>
              </w:rPr>
              <w:t>多科</w:t>
            </w:r>
            <w:r>
              <w:rPr>
                <w:color w:val="0000FF"/>
                <w:sz w:val="24"/>
              </w:rPr>
              <w:t>200</w:t>
            </w:r>
            <w:r>
              <w:rPr>
                <w:rFonts w:hAnsi="宋体"/>
                <w:color w:val="0000FF"/>
                <w:sz w:val="24"/>
              </w:rPr>
              <w:t>种，农作物品种资源也很丰富。按照不同的地形条件和植被状况，大致可分为三个植被区：一是次生林植被区，主要分布于子午岭中段西侧与大弯、龙池、绣花楼、北桂花、九里沟、胡家岔、前崾岘、徐阳沟一线以东的中山丘陵地带。自然植被以落叶阔林为主，植被覆盖度</w:t>
            </w:r>
            <w:r>
              <w:rPr>
                <w:color w:val="0000FF"/>
                <w:sz w:val="24"/>
              </w:rPr>
              <w:t>90%</w:t>
            </w:r>
            <w:r>
              <w:rPr>
                <w:rFonts w:hAnsi="宋体"/>
                <w:color w:val="0000FF"/>
                <w:sz w:val="24"/>
              </w:rPr>
              <w:t>以上。地表枯枝落叶层达</w:t>
            </w:r>
            <w:r>
              <w:rPr>
                <w:color w:val="0000FF"/>
                <w:sz w:val="24"/>
              </w:rPr>
              <w:t>2~4 cm</w:t>
            </w:r>
            <w:r>
              <w:rPr>
                <w:rFonts w:hAnsi="宋体"/>
                <w:color w:val="0000FF"/>
                <w:sz w:val="24"/>
              </w:rPr>
              <w:t>，林下土壤向灰褐土发育；二是荒坡疏林草原植被区，即为林区以外未开垦的梁、茆、丘陵、沟谷、坡地。该区地形条件复杂，植物群落和长势差异很大。一般阳山覆盖度为</w:t>
            </w:r>
            <w:r>
              <w:rPr>
                <w:color w:val="0000FF"/>
                <w:sz w:val="24"/>
              </w:rPr>
              <w:t>20~70%</w:t>
            </w:r>
            <w:r>
              <w:rPr>
                <w:rFonts w:hAnsi="宋体"/>
                <w:color w:val="0000FF"/>
                <w:sz w:val="24"/>
              </w:rPr>
              <w:t>，阴山</w:t>
            </w:r>
            <w:r>
              <w:rPr>
                <w:color w:val="0000FF"/>
                <w:sz w:val="24"/>
              </w:rPr>
              <w:t>40~80%</w:t>
            </w:r>
            <w:r>
              <w:rPr>
                <w:rFonts w:hAnsi="宋体"/>
                <w:color w:val="0000FF"/>
                <w:sz w:val="24"/>
              </w:rPr>
              <w:t>。河谷川台地植被生长较好，覆盖度为</w:t>
            </w:r>
            <w:r>
              <w:rPr>
                <w:color w:val="0000FF"/>
                <w:sz w:val="24"/>
              </w:rPr>
              <w:t>50~90%</w:t>
            </w:r>
            <w:r>
              <w:rPr>
                <w:rFonts w:hAnsi="宋体"/>
                <w:color w:val="0000FF"/>
                <w:sz w:val="24"/>
              </w:rPr>
              <w:t>。植被条件较好的土壤则为薄腐殖灰绵土和薄腐殖灰培土及荒坡红土；三是农作物种植区，宁县是以种植业为主的农业县，农作物种植物遍布全县各地，农作物主要有粮食作物、经济作物、绿肥及饲料作物，田间杂草主要有冰草、偃麦草、米蒿、荠荠菜、苦菜、毛不留行、蒺藜等。</w:t>
            </w:r>
          </w:p>
          <w:p>
            <w:pPr>
              <w:spacing w:line="360" w:lineRule="auto"/>
              <w:ind w:firstLine="486" w:firstLineChars="196"/>
              <w:contextualSpacing/>
              <w:rPr>
                <w:color w:val="0000FF"/>
                <w:sz w:val="28"/>
                <w:szCs w:val="28"/>
              </w:rPr>
            </w:pPr>
            <w:r>
              <w:rPr>
                <w:rFonts w:hAnsi="宋体"/>
                <w:color w:val="0000FF"/>
                <w:spacing w:val="4"/>
                <w:sz w:val="24"/>
              </w:rPr>
              <w:t>甘肃境内共有野生动物</w:t>
            </w:r>
            <w:r>
              <w:rPr>
                <w:color w:val="0000FF"/>
                <w:spacing w:val="4"/>
                <w:sz w:val="24"/>
              </w:rPr>
              <w:t>650</w:t>
            </w:r>
            <w:r>
              <w:rPr>
                <w:rFonts w:hAnsi="宋体"/>
                <w:color w:val="0000FF"/>
                <w:spacing w:val="4"/>
                <w:sz w:val="24"/>
              </w:rPr>
              <w:t>多种。其中：两栖动物</w:t>
            </w:r>
            <w:r>
              <w:rPr>
                <w:color w:val="0000FF"/>
                <w:spacing w:val="4"/>
                <w:sz w:val="24"/>
              </w:rPr>
              <w:t>24</w:t>
            </w:r>
            <w:r>
              <w:rPr>
                <w:rFonts w:hAnsi="宋体"/>
                <w:color w:val="0000FF"/>
                <w:spacing w:val="4"/>
                <w:sz w:val="24"/>
              </w:rPr>
              <w:t>种；爬行动物</w:t>
            </w:r>
            <w:r>
              <w:rPr>
                <w:color w:val="0000FF"/>
                <w:spacing w:val="4"/>
                <w:sz w:val="24"/>
              </w:rPr>
              <w:t>57</w:t>
            </w:r>
            <w:r>
              <w:rPr>
                <w:rFonts w:hAnsi="宋体"/>
                <w:color w:val="0000FF"/>
                <w:spacing w:val="4"/>
                <w:sz w:val="24"/>
              </w:rPr>
              <w:t>种；鸟类</w:t>
            </w:r>
            <w:r>
              <w:rPr>
                <w:color w:val="0000FF"/>
                <w:spacing w:val="4"/>
                <w:sz w:val="24"/>
              </w:rPr>
              <w:t>441</w:t>
            </w:r>
            <w:r>
              <w:rPr>
                <w:rFonts w:hAnsi="宋体"/>
                <w:color w:val="0000FF"/>
                <w:spacing w:val="4"/>
                <w:sz w:val="24"/>
              </w:rPr>
              <w:t>种，哺乳动物</w:t>
            </w:r>
            <w:r>
              <w:rPr>
                <w:color w:val="0000FF"/>
                <w:spacing w:val="4"/>
                <w:sz w:val="24"/>
              </w:rPr>
              <w:t>137</w:t>
            </w:r>
            <w:r>
              <w:rPr>
                <w:rFonts w:hAnsi="宋体"/>
                <w:color w:val="0000FF"/>
                <w:spacing w:val="4"/>
                <w:sz w:val="24"/>
              </w:rPr>
              <w:t>种。项目所在区主要有小型啮齿类和爬行类动物。主要有啮齿类中的草原黄鼠、三趾跳鼠、五趾跳鼠、小毛足鼠、子午沙鼠、长爪沙鼠等；鸟类主要有麻雀、喜鹊等；爬行类主要有蛇类。此外，当地还有种类和数量较多的昆虫。无大型野生动物，且在现场踏勘及走访过程中未见珍稀、濒危及国家级和自治区级保护动物的栖息地及繁殖地。</w:t>
            </w:r>
          </w:p>
          <w:p>
            <w:pPr>
              <w:spacing w:line="360" w:lineRule="auto"/>
              <w:ind w:firstLine="480" w:firstLineChars="200"/>
              <w:rPr>
                <w:rFonts w:hint="eastAsia" w:cs="宋体"/>
                <w:b/>
                <w:bCs/>
                <w:color w:val="0000FF"/>
                <w:kern w:val="0"/>
                <w:sz w:val="24"/>
              </w:rPr>
            </w:pPr>
            <w:r>
              <w:rPr>
                <w:rFonts w:hint="eastAsia" w:cs="宋体"/>
                <w:b/>
                <w:bCs/>
                <w:color w:val="0000FF"/>
                <w:kern w:val="0"/>
                <w:sz w:val="24"/>
              </w:rPr>
              <w:t>8、自然灾害</w:t>
            </w:r>
          </w:p>
          <w:p>
            <w:pPr>
              <w:spacing w:line="360" w:lineRule="auto"/>
              <w:ind w:firstLine="480" w:firstLineChars="200"/>
              <w:rPr>
                <w:rFonts w:hint="eastAsia"/>
                <w:color w:val="0000FF"/>
                <w:sz w:val="24"/>
              </w:rPr>
            </w:pPr>
            <w:r>
              <w:rPr>
                <w:rFonts w:hint="eastAsia"/>
                <w:color w:val="0000FF"/>
                <w:sz w:val="24"/>
              </w:rPr>
              <w:t>自然灾害主要是干旱、霜冻、暴雨和冰雹等。</w:t>
            </w:r>
          </w:p>
          <w:p>
            <w:pPr>
              <w:spacing w:line="360" w:lineRule="auto"/>
              <w:ind w:firstLine="480" w:firstLineChars="200"/>
              <w:rPr>
                <w:rFonts w:hint="eastAsia" w:cs="宋体"/>
                <w:b/>
                <w:bCs/>
                <w:color w:val="0000FF"/>
                <w:kern w:val="0"/>
                <w:sz w:val="24"/>
              </w:rPr>
            </w:pPr>
            <w:r>
              <w:rPr>
                <w:rFonts w:hint="eastAsia" w:cs="宋体"/>
                <w:b/>
                <w:bCs/>
                <w:color w:val="0000FF"/>
                <w:kern w:val="0"/>
                <w:sz w:val="24"/>
              </w:rPr>
              <w:t>9、地震</w:t>
            </w:r>
          </w:p>
          <w:p>
            <w:pPr>
              <w:spacing w:line="360" w:lineRule="auto"/>
              <w:ind w:firstLine="480" w:firstLineChars="200"/>
              <w:rPr>
                <w:rFonts w:hint="eastAsia"/>
                <w:color w:val="0000FF"/>
                <w:sz w:val="24"/>
              </w:rPr>
            </w:pPr>
            <w:r>
              <w:rPr>
                <w:rFonts w:hint="eastAsia"/>
                <w:color w:val="0000FF"/>
                <w:sz w:val="24"/>
              </w:rPr>
              <w:t>根据《建筑抗震设计规范》(GB50011-2010)，宁县抗震设防烈度为 6 度，设计基本地震加速度值为 0.05 g，设计地震分组为第三组。</w:t>
            </w:r>
          </w:p>
          <w:p>
            <w:pPr>
              <w:autoSpaceDE w:val="0"/>
              <w:autoSpaceDN w:val="0"/>
              <w:adjustRightInd w:val="0"/>
              <w:spacing w:line="360" w:lineRule="auto"/>
              <w:ind w:firstLine="560" w:firstLineChars="200"/>
              <w:jc w:val="left"/>
              <w:rPr>
                <w:sz w:val="28"/>
                <w:szCs w:val="28"/>
              </w:rPr>
            </w:pPr>
          </w:p>
        </w:tc>
      </w:tr>
    </w:tbl>
    <w:p>
      <w:pPr>
        <w:spacing w:line="360" w:lineRule="auto"/>
        <w:ind w:firstLine="480" w:firstLineChars="200"/>
        <w:rPr>
          <w:rFonts w:hint="eastAsia"/>
          <w:sz w:val="24"/>
          <w:szCs w:val="28"/>
        </w:rPr>
      </w:pPr>
    </w:p>
    <w:p>
      <w:pPr>
        <w:spacing w:line="360" w:lineRule="auto"/>
        <w:ind w:firstLine="480" w:firstLineChars="200"/>
        <w:rPr>
          <w:rFonts w:hint="eastAsia"/>
          <w:sz w:val="24"/>
          <w:szCs w:val="28"/>
        </w:rPr>
      </w:pPr>
    </w:p>
    <w:p>
      <w:pPr>
        <w:pStyle w:val="15"/>
        <w:adjustRightInd w:val="0"/>
        <w:snapToGrid w:val="0"/>
        <w:spacing w:after="0" w:line="360" w:lineRule="auto"/>
        <w:ind w:left="0" w:leftChars="0"/>
        <w:outlineLvl w:val="0"/>
      </w:pPr>
      <w:r>
        <w:rPr>
          <w:rFonts w:eastAsia="黑体"/>
          <w:sz w:val="30"/>
          <w:szCs w:val="30"/>
        </w:rPr>
        <w:t>环境质量状况</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7" w:hRule="atLeast"/>
        </w:trPr>
        <w:tc>
          <w:tcPr>
            <w:tcW w:w="8421" w:type="dxa"/>
          </w:tcPr>
          <w:p>
            <w:pPr>
              <w:pStyle w:val="14"/>
              <w:spacing w:line="360" w:lineRule="auto"/>
              <w:rPr>
                <w:b/>
                <w:bCs/>
                <w:color w:val="0000FF"/>
                <w:kern w:val="2"/>
                <w:sz w:val="24"/>
                <w:szCs w:val="28"/>
              </w:rPr>
            </w:pPr>
            <w:r>
              <w:rPr>
                <w:b/>
                <w:bCs/>
                <w:color w:val="0000FF"/>
                <w:kern w:val="2"/>
                <w:sz w:val="24"/>
                <w:szCs w:val="28"/>
              </w:rPr>
              <w:t>建设项目所在地区域环境质量现状及主要环境问题（环境空气、地面水、地下水、声环境、生态环境等）</w:t>
            </w:r>
          </w:p>
          <w:p>
            <w:pPr>
              <w:spacing w:beforeLines="50" w:afterLines="50" w:line="360" w:lineRule="auto"/>
              <w:outlineLvl w:val="2"/>
              <w:rPr>
                <w:b/>
                <w:color w:val="0000FF"/>
                <w:sz w:val="24"/>
                <w:szCs w:val="28"/>
              </w:rPr>
            </w:pPr>
            <w:r>
              <w:rPr>
                <w:b/>
                <w:color w:val="0000FF"/>
                <w:sz w:val="24"/>
                <w:szCs w:val="28"/>
              </w:rPr>
              <w:t>1、环境空气质量现状</w:t>
            </w:r>
          </w:p>
          <w:p>
            <w:pPr>
              <w:spacing w:line="360" w:lineRule="auto"/>
              <w:ind w:firstLine="480" w:firstLineChars="200"/>
              <w:rPr>
                <w:color w:val="0000FF"/>
              </w:rPr>
            </w:pPr>
            <w:r>
              <w:rPr>
                <w:rFonts w:hint="eastAsia"/>
                <w:color w:val="0000FF"/>
                <w:sz w:val="24"/>
                <w:szCs w:val="22"/>
              </w:rPr>
              <w:t>本次大气环境质量现状评价引用2018年4月《庆阳市宁县站点空气质量月报》中有关大气环境常规监测资料，监测数据见表6：</w:t>
            </w:r>
          </w:p>
          <w:p>
            <w:pPr>
              <w:keepNext/>
              <w:snapToGrid w:val="0"/>
              <w:jc w:val="center"/>
              <w:rPr>
                <w:b/>
                <w:color w:val="0000FF"/>
                <w:sz w:val="24"/>
              </w:rPr>
            </w:pPr>
            <w:r>
              <w:rPr>
                <w:b/>
                <w:color w:val="0000FF"/>
                <w:sz w:val="24"/>
              </w:rPr>
              <w:t>表</w:t>
            </w:r>
            <w:r>
              <w:rPr>
                <w:rFonts w:hint="eastAsia"/>
                <w:b/>
                <w:color w:val="0000FF"/>
                <w:sz w:val="24"/>
              </w:rPr>
              <w:t>6</w:t>
            </w:r>
            <w:r>
              <w:rPr>
                <w:b/>
                <w:color w:val="0000FF"/>
                <w:sz w:val="24"/>
              </w:rPr>
              <w:t xml:space="preserve">  项目所在地环境空气质量监测结果 （µg/m</w:t>
            </w:r>
            <w:r>
              <w:rPr>
                <w:b/>
                <w:color w:val="0000FF"/>
                <w:sz w:val="24"/>
                <w:vertAlign w:val="superscript"/>
              </w:rPr>
              <w:t>3</w:t>
            </w:r>
            <w:r>
              <w:rPr>
                <w:b/>
                <w:color w:val="0000FF"/>
                <w:sz w:val="24"/>
              </w:rPr>
              <w:t>）</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827"/>
              <w:gridCol w:w="1046"/>
              <w:gridCol w:w="1062"/>
              <w:gridCol w:w="1108"/>
              <w:gridCol w:w="995"/>
              <w:gridCol w:w="103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35" w:type="dxa"/>
                  <w:vAlign w:val="center"/>
                </w:tcPr>
                <w:p>
                  <w:pPr>
                    <w:snapToGrid w:val="0"/>
                    <w:ind w:left="2" w:leftChars="-6" w:hanging="14" w:hangingChars="7"/>
                    <w:jc w:val="center"/>
                    <w:outlineLvl w:val="0"/>
                    <w:rPr>
                      <w:b/>
                      <w:color w:val="0000FF"/>
                      <w:szCs w:val="21"/>
                    </w:rPr>
                  </w:pPr>
                  <w:r>
                    <w:rPr>
                      <w:b/>
                      <w:color w:val="0000FF"/>
                      <w:szCs w:val="21"/>
                    </w:rPr>
                    <w:t>名称</w:t>
                  </w:r>
                </w:p>
              </w:tc>
              <w:tc>
                <w:tcPr>
                  <w:tcW w:w="827" w:type="dxa"/>
                  <w:vAlign w:val="center"/>
                </w:tcPr>
                <w:p>
                  <w:pPr>
                    <w:snapToGrid w:val="0"/>
                    <w:ind w:left="2" w:leftChars="-6" w:hanging="14" w:hangingChars="7"/>
                    <w:jc w:val="center"/>
                    <w:outlineLvl w:val="0"/>
                    <w:rPr>
                      <w:b/>
                      <w:color w:val="0000FF"/>
                      <w:szCs w:val="21"/>
                    </w:rPr>
                  </w:pPr>
                  <w:r>
                    <w:rPr>
                      <w:b/>
                      <w:color w:val="0000FF"/>
                      <w:szCs w:val="21"/>
                    </w:rPr>
                    <w:t>SO</w:t>
                  </w:r>
                  <w:r>
                    <w:rPr>
                      <w:b/>
                      <w:color w:val="0000FF"/>
                      <w:szCs w:val="21"/>
                      <w:vertAlign w:val="subscript"/>
                    </w:rPr>
                    <w:t>2</w:t>
                  </w:r>
                </w:p>
              </w:tc>
              <w:tc>
                <w:tcPr>
                  <w:tcW w:w="1046" w:type="dxa"/>
                  <w:vAlign w:val="center"/>
                </w:tcPr>
                <w:p>
                  <w:pPr>
                    <w:snapToGrid w:val="0"/>
                    <w:ind w:left="2" w:leftChars="-6" w:hanging="14" w:hangingChars="7"/>
                    <w:jc w:val="center"/>
                    <w:outlineLvl w:val="0"/>
                    <w:rPr>
                      <w:b/>
                      <w:color w:val="0000FF"/>
                      <w:szCs w:val="21"/>
                    </w:rPr>
                  </w:pPr>
                  <w:r>
                    <w:rPr>
                      <w:b/>
                      <w:color w:val="0000FF"/>
                      <w:szCs w:val="21"/>
                    </w:rPr>
                    <w:t>NO</w:t>
                  </w:r>
                  <w:r>
                    <w:rPr>
                      <w:b/>
                      <w:color w:val="0000FF"/>
                      <w:szCs w:val="21"/>
                      <w:vertAlign w:val="subscript"/>
                    </w:rPr>
                    <w:t>2</w:t>
                  </w:r>
                </w:p>
              </w:tc>
              <w:tc>
                <w:tcPr>
                  <w:tcW w:w="1062" w:type="dxa"/>
                  <w:vAlign w:val="center"/>
                </w:tcPr>
                <w:p>
                  <w:pPr>
                    <w:snapToGrid w:val="0"/>
                    <w:ind w:left="2" w:leftChars="-6" w:hanging="14" w:hangingChars="7"/>
                    <w:jc w:val="center"/>
                    <w:outlineLvl w:val="0"/>
                    <w:rPr>
                      <w:b/>
                      <w:color w:val="0000FF"/>
                      <w:szCs w:val="21"/>
                    </w:rPr>
                  </w:pPr>
                  <w:r>
                    <w:rPr>
                      <w:b/>
                      <w:color w:val="0000FF"/>
                      <w:szCs w:val="21"/>
                    </w:rPr>
                    <w:t>PM</w:t>
                  </w:r>
                  <w:r>
                    <w:rPr>
                      <w:b/>
                      <w:color w:val="0000FF"/>
                      <w:szCs w:val="21"/>
                      <w:vertAlign w:val="subscript"/>
                    </w:rPr>
                    <w:t>10</w:t>
                  </w:r>
                </w:p>
              </w:tc>
              <w:tc>
                <w:tcPr>
                  <w:tcW w:w="1108" w:type="dxa"/>
                  <w:vAlign w:val="center"/>
                </w:tcPr>
                <w:p>
                  <w:pPr>
                    <w:snapToGrid w:val="0"/>
                    <w:ind w:left="2" w:leftChars="-6" w:hanging="14" w:hangingChars="7"/>
                    <w:jc w:val="center"/>
                    <w:outlineLvl w:val="0"/>
                    <w:rPr>
                      <w:b/>
                      <w:color w:val="0000FF"/>
                      <w:szCs w:val="21"/>
                      <w:vertAlign w:val="subscript"/>
                    </w:rPr>
                  </w:pPr>
                  <w:r>
                    <w:rPr>
                      <w:rFonts w:hint="eastAsia"/>
                      <w:b/>
                      <w:color w:val="0000FF"/>
                      <w:szCs w:val="21"/>
                    </w:rPr>
                    <w:t>PM</w:t>
                  </w:r>
                  <w:r>
                    <w:rPr>
                      <w:rFonts w:hint="eastAsia"/>
                      <w:b/>
                      <w:color w:val="0000FF"/>
                      <w:szCs w:val="21"/>
                      <w:vertAlign w:val="subscript"/>
                    </w:rPr>
                    <w:t>2.5</w:t>
                  </w:r>
                </w:p>
              </w:tc>
              <w:tc>
                <w:tcPr>
                  <w:tcW w:w="995" w:type="dxa"/>
                  <w:vAlign w:val="center"/>
                </w:tcPr>
                <w:p>
                  <w:pPr>
                    <w:snapToGrid w:val="0"/>
                    <w:ind w:left="2" w:leftChars="-6" w:hanging="14" w:hangingChars="7"/>
                    <w:jc w:val="center"/>
                    <w:outlineLvl w:val="0"/>
                    <w:rPr>
                      <w:rFonts w:hint="eastAsia"/>
                      <w:b/>
                      <w:color w:val="0000FF"/>
                      <w:szCs w:val="21"/>
                    </w:rPr>
                  </w:pPr>
                  <w:r>
                    <w:rPr>
                      <w:rFonts w:hint="eastAsia"/>
                      <w:b/>
                      <w:color w:val="0000FF"/>
                      <w:szCs w:val="21"/>
                    </w:rPr>
                    <w:t>CO</w:t>
                  </w:r>
                </w:p>
              </w:tc>
              <w:tc>
                <w:tcPr>
                  <w:tcW w:w="1032" w:type="dxa"/>
                  <w:vAlign w:val="center"/>
                </w:tcPr>
                <w:p>
                  <w:pPr>
                    <w:snapToGrid w:val="0"/>
                    <w:ind w:left="2" w:leftChars="-6" w:hanging="14" w:hangingChars="7"/>
                    <w:jc w:val="center"/>
                    <w:outlineLvl w:val="0"/>
                    <w:rPr>
                      <w:rFonts w:hint="eastAsia"/>
                      <w:b/>
                      <w:color w:val="0000FF"/>
                      <w:szCs w:val="21"/>
                    </w:rPr>
                  </w:pPr>
                  <w:r>
                    <w:rPr>
                      <w:rFonts w:hint="eastAsia"/>
                      <w:b/>
                      <w:color w:val="0000FF"/>
                      <w:szCs w:val="21"/>
                    </w:rPr>
                    <w:t>O</w:t>
                  </w:r>
                  <w:r>
                    <w:rPr>
                      <w:rFonts w:hint="eastAsia"/>
                      <w:b/>
                      <w:color w:val="0000FF"/>
                      <w:szCs w:val="21"/>
                      <w:vertAlign w:val="subscript"/>
                    </w:rPr>
                    <w:t>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3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月</w:t>
                  </w:r>
                  <w:r>
                    <w:rPr>
                      <w:bCs/>
                      <w:color w:val="0000FF"/>
                      <w:szCs w:val="21"/>
                    </w:rPr>
                    <w:t>平均</w:t>
                  </w:r>
                  <w:r>
                    <w:rPr>
                      <w:rFonts w:hint="eastAsia"/>
                      <w:bCs/>
                      <w:color w:val="0000FF"/>
                      <w:szCs w:val="21"/>
                    </w:rPr>
                    <w:t>浓度</w:t>
                  </w:r>
                </w:p>
              </w:tc>
              <w:tc>
                <w:tcPr>
                  <w:tcW w:w="827"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19</w:t>
                  </w:r>
                </w:p>
              </w:tc>
              <w:tc>
                <w:tcPr>
                  <w:tcW w:w="1046"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17</w:t>
                  </w:r>
                </w:p>
              </w:tc>
              <w:tc>
                <w:tcPr>
                  <w:tcW w:w="1062" w:type="dxa"/>
                  <w:vAlign w:val="center"/>
                </w:tcPr>
                <w:p>
                  <w:pPr>
                    <w:snapToGrid w:val="0"/>
                    <w:ind w:left="2" w:leftChars="-6" w:hanging="14" w:hangingChars="7"/>
                    <w:jc w:val="center"/>
                    <w:outlineLvl w:val="0"/>
                    <w:rPr>
                      <w:rFonts w:hint="eastAsia"/>
                      <w:bCs/>
                      <w:color w:val="0000FF"/>
                      <w:szCs w:val="21"/>
                    </w:rPr>
                  </w:pPr>
                  <w:r>
                    <w:rPr>
                      <w:bCs/>
                      <w:color w:val="0000FF"/>
                      <w:szCs w:val="21"/>
                    </w:rPr>
                    <w:t>1</w:t>
                  </w:r>
                  <w:r>
                    <w:rPr>
                      <w:rFonts w:hint="eastAsia"/>
                      <w:bCs/>
                      <w:color w:val="0000FF"/>
                      <w:szCs w:val="21"/>
                    </w:rPr>
                    <w:t>40</w:t>
                  </w:r>
                </w:p>
              </w:tc>
              <w:tc>
                <w:tcPr>
                  <w:tcW w:w="1108"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47</w:t>
                  </w:r>
                </w:p>
              </w:tc>
              <w:tc>
                <w:tcPr>
                  <w:tcW w:w="99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0.7</w:t>
                  </w:r>
                </w:p>
              </w:tc>
              <w:tc>
                <w:tcPr>
                  <w:tcW w:w="1032"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137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8" w:hRule="exact"/>
                <w:jc w:val="center"/>
              </w:trPr>
              <w:tc>
                <w:tcPr>
                  <w:tcW w:w="2135" w:type="dxa"/>
                  <w:vAlign w:val="center"/>
                </w:tcPr>
                <w:p>
                  <w:pPr>
                    <w:snapToGrid w:val="0"/>
                    <w:ind w:left="4" w:leftChars="-6" w:hanging="16" w:hangingChars="7"/>
                    <w:jc w:val="center"/>
                    <w:outlineLvl w:val="0"/>
                    <w:rPr>
                      <w:bCs/>
                      <w:color w:val="0000FF"/>
                      <w:szCs w:val="21"/>
                    </w:rPr>
                  </w:pPr>
                  <w:r>
                    <w:rPr>
                      <w:rFonts w:hint="eastAsia"/>
                      <w:bCs/>
                      <w:color w:val="0000FF"/>
                      <w:spacing w:val="10"/>
                      <w:szCs w:val="21"/>
                    </w:rPr>
                    <w:t>《环境空气质量标准》</w:t>
                  </w:r>
                  <w:r>
                    <w:rPr>
                      <w:bCs/>
                      <w:color w:val="0000FF"/>
                      <w:spacing w:val="10"/>
                      <w:szCs w:val="21"/>
                    </w:rPr>
                    <w:t>（GB3095-2012）二级标准</w:t>
                  </w:r>
                </w:p>
              </w:tc>
              <w:tc>
                <w:tcPr>
                  <w:tcW w:w="827" w:type="dxa"/>
                  <w:vAlign w:val="center"/>
                </w:tcPr>
                <w:p>
                  <w:pPr>
                    <w:topLinePunct/>
                    <w:snapToGrid w:val="0"/>
                    <w:ind w:left="2" w:leftChars="-6" w:hanging="14" w:hangingChars="7"/>
                    <w:jc w:val="center"/>
                    <w:outlineLvl w:val="0"/>
                    <w:rPr>
                      <w:bCs/>
                      <w:color w:val="0000FF"/>
                      <w:szCs w:val="21"/>
                    </w:rPr>
                  </w:pPr>
                  <w:r>
                    <w:rPr>
                      <w:bCs/>
                      <w:color w:val="0000FF"/>
                      <w:szCs w:val="21"/>
                    </w:rPr>
                    <w:t>60</w:t>
                  </w:r>
                </w:p>
              </w:tc>
              <w:tc>
                <w:tcPr>
                  <w:tcW w:w="1046" w:type="dxa"/>
                  <w:vAlign w:val="center"/>
                </w:tcPr>
                <w:p>
                  <w:pPr>
                    <w:snapToGrid w:val="0"/>
                    <w:ind w:left="2" w:leftChars="-6" w:hanging="14" w:hangingChars="7"/>
                    <w:jc w:val="center"/>
                    <w:outlineLvl w:val="0"/>
                    <w:rPr>
                      <w:bCs/>
                      <w:color w:val="0000FF"/>
                      <w:szCs w:val="21"/>
                    </w:rPr>
                  </w:pPr>
                  <w:r>
                    <w:rPr>
                      <w:bCs/>
                      <w:color w:val="0000FF"/>
                      <w:szCs w:val="21"/>
                    </w:rPr>
                    <w:t>40</w:t>
                  </w:r>
                </w:p>
              </w:tc>
              <w:tc>
                <w:tcPr>
                  <w:tcW w:w="1062" w:type="dxa"/>
                  <w:vAlign w:val="center"/>
                </w:tcPr>
                <w:p>
                  <w:pPr>
                    <w:snapToGrid w:val="0"/>
                    <w:ind w:left="2" w:leftChars="-6" w:hanging="14" w:hangingChars="7"/>
                    <w:jc w:val="center"/>
                    <w:outlineLvl w:val="0"/>
                    <w:rPr>
                      <w:bCs/>
                      <w:color w:val="0000FF"/>
                      <w:szCs w:val="21"/>
                    </w:rPr>
                  </w:pPr>
                  <w:r>
                    <w:rPr>
                      <w:bCs/>
                      <w:color w:val="0000FF"/>
                      <w:szCs w:val="21"/>
                    </w:rPr>
                    <w:t>70</w:t>
                  </w:r>
                </w:p>
              </w:tc>
              <w:tc>
                <w:tcPr>
                  <w:tcW w:w="1108" w:type="dxa"/>
                  <w:vAlign w:val="center"/>
                </w:tcPr>
                <w:p>
                  <w:pPr>
                    <w:snapToGrid w:val="0"/>
                    <w:ind w:left="2" w:leftChars="-6" w:hanging="14" w:hangingChars="7"/>
                    <w:jc w:val="center"/>
                    <w:outlineLvl w:val="0"/>
                    <w:rPr>
                      <w:bCs/>
                      <w:color w:val="0000FF"/>
                      <w:szCs w:val="21"/>
                    </w:rPr>
                  </w:pPr>
                  <w:r>
                    <w:rPr>
                      <w:rFonts w:hint="eastAsia"/>
                      <w:bCs/>
                      <w:color w:val="0000FF"/>
                      <w:szCs w:val="21"/>
                    </w:rPr>
                    <w:t>35</w:t>
                  </w:r>
                </w:p>
              </w:tc>
              <w:tc>
                <w:tcPr>
                  <w:tcW w:w="99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4</w:t>
                  </w:r>
                </w:p>
              </w:tc>
              <w:tc>
                <w:tcPr>
                  <w:tcW w:w="1032"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160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3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浓度指数</w:t>
                  </w:r>
                </w:p>
              </w:tc>
              <w:tc>
                <w:tcPr>
                  <w:tcW w:w="827"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0.32</w:t>
                  </w:r>
                </w:p>
              </w:tc>
              <w:tc>
                <w:tcPr>
                  <w:tcW w:w="1046"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0.43</w:t>
                  </w:r>
                </w:p>
              </w:tc>
              <w:tc>
                <w:tcPr>
                  <w:tcW w:w="1062"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2</w:t>
                  </w:r>
                </w:p>
              </w:tc>
              <w:tc>
                <w:tcPr>
                  <w:tcW w:w="1108"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1.34</w:t>
                  </w:r>
                </w:p>
              </w:tc>
              <w:tc>
                <w:tcPr>
                  <w:tcW w:w="99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0.18</w:t>
                  </w:r>
                </w:p>
              </w:tc>
              <w:tc>
                <w:tcPr>
                  <w:tcW w:w="1032"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0.86</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35" w:type="dxa"/>
                  <w:vAlign w:val="center"/>
                </w:tcPr>
                <w:p>
                  <w:pPr>
                    <w:snapToGrid w:val="0"/>
                    <w:ind w:left="2" w:leftChars="-6" w:hanging="14" w:hangingChars="7"/>
                    <w:jc w:val="center"/>
                    <w:outlineLvl w:val="0"/>
                    <w:rPr>
                      <w:bCs/>
                      <w:color w:val="0000FF"/>
                      <w:szCs w:val="21"/>
                    </w:rPr>
                  </w:pPr>
                  <w:r>
                    <w:rPr>
                      <w:bCs/>
                      <w:color w:val="0000FF"/>
                      <w:szCs w:val="21"/>
                    </w:rPr>
                    <w:t>评价结果</w:t>
                  </w:r>
                </w:p>
              </w:tc>
              <w:tc>
                <w:tcPr>
                  <w:tcW w:w="827" w:type="dxa"/>
                  <w:vAlign w:val="center"/>
                </w:tcPr>
                <w:p>
                  <w:pPr>
                    <w:snapToGrid w:val="0"/>
                    <w:ind w:left="2" w:leftChars="-6" w:hanging="14" w:hangingChars="7"/>
                    <w:jc w:val="center"/>
                    <w:outlineLvl w:val="0"/>
                    <w:rPr>
                      <w:bCs/>
                      <w:color w:val="0000FF"/>
                      <w:szCs w:val="21"/>
                    </w:rPr>
                  </w:pPr>
                  <w:r>
                    <w:rPr>
                      <w:bCs/>
                      <w:color w:val="0000FF"/>
                      <w:szCs w:val="21"/>
                    </w:rPr>
                    <w:t>达标</w:t>
                  </w:r>
                </w:p>
              </w:tc>
              <w:tc>
                <w:tcPr>
                  <w:tcW w:w="1046"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达标</w:t>
                  </w:r>
                </w:p>
              </w:tc>
              <w:tc>
                <w:tcPr>
                  <w:tcW w:w="1062" w:type="dxa"/>
                  <w:vAlign w:val="center"/>
                </w:tcPr>
                <w:p>
                  <w:pPr>
                    <w:snapToGrid w:val="0"/>
                    <w:ind w:left="2" w:leftChars="-6" w:hanging="14" w:hangingChars="7"/>
                    <w:jc w:val="center"/>
                    <w:outlineLvl w:val="0"/>
                    <w:rPr>
                      <w:bCs/>
                      <w:color w:val="0000FF"/>
                      <w:szCs w:val="21"/>
                    </w:rPr>
                  </w:pPr>
                  <w:r>
                    <w:rPr>
                      <w:bCs/>
                      <w:color w:val="0000FF"/>
                      <w:szCs w:val="21"/>
                    </w:rPr>
                    <w:t>超标</w:t>
                  </w:r>
                </w:p>
              </w:tc>
              <w:tc>
                <w:tcPr>
                  <w:tcW w:w="1108"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超标</w:t>
                  </w:r>
                </w:p>
              </w:tc>
              <w:tc>
                <w:tcPr>
                  <w:tcW w:w="995"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达标</w:t>
                  </w:r>
                </w:p>
              </w:tc>
              <w:tc>
                <w:tcPr>
                  <w:tcW w:w="1032" w:type="dxa"/>
                  <w:vAlign w:val="center"/>
                </w:tcPr>
                <w:p>
                  <w:pPr>
                    <w:snapToGrid w:val="0"/>
                    <w:ind w:left="2" w:leftChars="-6" w:hanging="14" w:hangingChars="7"/>
                    <w:jc w:val="center"/>
                    <w:outlineLvl w:val="0"/>
                    <w:rPr>
                      <w:rFonts w:hint="eastAsia"/>
                      <w:bCs/>
                      <w:color w:val="0000FF"/>
                      <w:szCs w:val="21"/>
                    </w:rPr>
                  </w:pPr>
                  <w:r>
                    <w:rPr>
                      <w:rFonts w:hint="eastAsia"/>
                      <w:bCs/>
                      <w:color w:val="0000FF"/>
                      <w:szCs w:val="21"/>
                    </w:rPr>
                    <w:t>达标</w:t>
                  </w:r>
                </w:p>
              </w:tc>
            </w:tr>
          </w:tbl>
          <w:p>
            <w:pPr>
              <w:spacing w:line="360" w:lineRule="auto"/>
              <w:ind w:firstLine="480" w:firstLineChars="200"/>
              <w:rPr>
                <w:rFonts w:hint="eastAsia"/>
                <w:color w:val="0000FF"/>
                <w:sz w:val="24"/>
                <w:szCs w:val="22"/>
              </w:rPr>
            </w:pPr>
            <w:r>
              <w:rPr>
                <w:rFonts w:hint="eastAsia"/>
                <w:color w:val="0000FF"/>
                <w:sz w:val="24"/>
                <w:szCs w:val="22"/>
              </w:rPr>
              <w:t>根据监测结果，SO</w:t>
            </w:r>
            <w:r>
              <w:rPr>
                <w:rFonts w:hint="eastAsia"/>
                <w:color w:val="0000FF"/>
                <w:sz w:val="24"/>
                <w:szCs w:val="22"/>
                <w:vertAlign w:val="subscript"/>
              </w:rPr>
              <w:t>2</w:t>
            </w:r>
            <w:r>
              <w:rPr>
                <w:rFonts w:hint="eastAsia"/>
                <w:color w:val="0000FF"/>
                <w:sz w:val="24"/>
                <w:szCs w:val="22"/>
              </w:rPr>
              <w:t>、NO</w:t>
            </w:r>
            <w:r>
              <w:rPr>
                <w:rFonts w:hint="eastAsia"/>
                <w:color w:val="0000FF"/>
                <w:sz w:val="24"/>
                <w:szCs w:val="22"/>
                <w:vertAlign w:val="subscript"/>
              </w:rPr>
              <w:t>2</w:t>
            </w:r>
            <w:r>
              <w:rPr>
                <w:rFonts w:hint="eastAsia"/>
                <w:color w:val="0000FF"/>
                <w:sz w:val="24"/>
                <w:szCs w:val="22"/>
              </w:rPr>
              <w:t>、CO、O</w:t>
            </w:r>
            <w:r>
              <w:rPr>
                <w:rFonts w:hint="eastAsia"/>
                <w:color w:val="0000FF"/>
                <w:sz w:val="24"/>
                <w:szCs w:val="22"/>
                <w:vertAlign w:val="subscript"/>
              </w:rPr>
              <w:t>3</w:t>
            </w:r>
            <w:r>
              <w:rPr>
                <w:rFonts w:hint="eastAsia"/>
                <w:color w:val="0000FF"/>
                <w:sz w:val="24"/>
                <w:szCs w:val="22"/>
              </w:rPr>
              <w:t>的月平均浓度值符合《环境空气质量标准》(GB3095-2012)二级标准；PM</w:t>
            </w:r>
            <w:r>
              <w:rPr>
                <w:rFonts w:hint="eastAsia"/>
                <w:color w:val="0000FF"/>
                <w:sz w:val="24"/>
                <w:szCs w:val="22"/>
                <w:vertAlign w:val="subscript"/>
              </w:rPr>
              <w:t>10</w:t>
            </w:r>
            <w:r>
              <w:rPr>
                <w:rFonts w:hint="eastAsia"/>
                <w:color w:val="0000FF"/>
                <w:sz w:val="24"/>
                <w:szCs w:val="22"/>
              </w:rPr>
              <w:t>、PM</w:t>
            </w:r>
            <w:r>
              <w:rPr>
                <w:rFonts w:hint="eastAsia"/>
                <w:color w:val="0000FF"/>
                <w:sz w:val="24"/>
                <w:szCs w:val="22"/>
                <w:vertAlign w:val="subscript"/>
              </w:rPr>
              <w:t>2.5</w:t>
            </w:r>
            <w:r>
              <w:rPr>
                <w:rFonts w:hint="eastAsia"/>
                <w:color w:val="0000FF"/>
                <w:sz w:val="24"/>
                <w:szCs w:val="22"/>
              </w:rPr>
              <w:t>的月平均浓度超标，超标原因是北方天气4月份风沙较大所致。</w:t>
            </w:r>
          </w:p>
          <w:p>
            <w:pPr>
              <w:spacing w:beforeLines="50" w:afterLines="50" w:line="360" w:lineRule="auto"/>
              <w:outlineLvl w:val="2"/>
              <w:rPr>
                <w:b/>
                <w:color w:val="0000FF"/>
                <w:sz w:val="24"/>
                <w:szCs w:val="28"/>
              </w:rPr>
            </w:pPr>
            <w:r>
              <w:rPr>
                <w:rFonts w:hint="eastAsia"/>
                <w:b/>
                <w:color w:val="0000FF"/>
                <w:sz w:val="24"/>
                <w:szCs w:val="28"/>
              </w:rPr>
              <w:t>2</w:t>
            </w:r>
            <w:r>
              <w:rPr>
                <w:b/>
                <w:color w:val="0000FF"/>
                <w:sz w:val="24"/>
                <w:szCs w:val="28"/>
              </w:rPr>
              <w:t>、</w:t>
            </w:r>
            <w:r>
              <w:rPr>
                <w:rFonts w:hint="eastAsia"/>
                <w:b/>
                <w:color w:val="0000FF"/>
                <w:sz w:val="24"/>
                <w:szCs w:val="28"/>
              </w:rPr>
              <w:t>地表水</w:t>
            </w:r>
            <w:r>
              <w:rPr>
                <w:b/>
                <w:color w:val="0000FF"/>
                <w:sz w:val="24"/>
                <w:szCs w:val="28"/>
              </w:rPr>
              <w:t>环境质量现状评价</w:t>
            </w:r>
          </w:p>
          <w:p>
            <w:pPr>
              <w:spacing w:line="360" w:lineRule="auto"/>
              <w:ind w:firstLine="480" w:firstLineChars="200"/>
              <w:contextualSpacing/>
              <w:outlineLvl w:val="2"/>
              <w:rPr>
                <w:color w:val="0000FF"/>
                <w:sz w:val="24"/>
              </w:rPr>
            </w:pPr>
            <w:r>
              <w:rPr>
                <w:rFonts w:hAnsi="宋体"/>
                <w:color w:val="0000FF"/>
                <w:sz w:val="24"/>
              </w:rPr>
              <w:t>（</w:t>
            </w:r>
            <w:r>
              <w:rPr>
                <w:color w:val="0000FF"/>
                <w:sz w:val="24"/>
              </w:rPr>
              <w:t>1</w:t>
            </w:r>
            <w:r>
              <w:rPr>
                <w:rFonts w:hAnsi="宋体"/>
                <w:color w:val="0000FF"/>
                <w:sz w:val="24"/>
              </w:rPr>
              <w:t>）监测点布置</w:t>
            </w:r>
          </w:p>
          <w:p>
            <w:pPr>
              <w:spacing w:line="360" w:lineRule="auto"/>
              <w:ind w:firstLine="480" w:firstLineChars="200"/>
              <w:contextualSpacing/>
              <w:outlineLvl w:val="2"/>
              <w:rPr>
                <w:color w:val="0000FF"/>
                <w:sz w:val="24"/>
              </w:rPr>
            </w:pPr>
            <w:r>
              <w:rPr>
                <w:rFonts w:hAnsi="宋体"/>
                <w:color w:val="0000FF"/>
                <w:sz w:val="24"/>
              </w:rPr>
              <w:t>本项目地表水现状评价引用《</w:t>
            </w:r>
            <w:r>
              <w:rPr>
                <w:rFonts w:hAnsi="宋体"/>
                <w:color w:val="0000FF"/>
                <w:kern w:val="0"/>
                <w:sz w:val="24"/>
              </w:rPr>
              <w:t>长庆桥货场煤炭运输建设项目环境影响报告表</w:t>
            </w:r>
            <w:r>
              <w:rPr>
                <w:rFonts w:hAnsi="宋体"/>
                <w:color w:val="0000FF"/>
                <w:sz w:val="24"/>
              </w:rPr>
              <w:t>》中</w:t>
            </w:r>
            <w:r>
              <w:rPr>
                <w:color w:val="0000FF"/>
                <w:sz w:val="24"/>
              </w:rPr>
              <w:t>2#</w:t>
            </w:r>
            <w:r>
              <w:rPr>
                <w:rFonts w:hAnsi="宋体"/>
                <w:color w:val="0000FF"/>
                <w:sz w:val="24"/>
              </w:rPr>
              <w:t>监测点位监测数据，该监测点位于项目地南侧</w:t>
            </w:r>
            <w:r>
              <w:rPr>
                <w:color w:val="0000FF"/>
                <w:sz w:val="24"/>
              </w:rPr>
              <w:t>965m</w:t>
            </w:r>
            <w:r>
              <w:rPr>
                <w:rFonts w:hAnsi="宋体"/>
                <w:color w:val="0000FF"/>
                <w:sz w:val="24"/>
              </w:rPr>
              <w:t>处，具体见附图</w:t>
            </w:r>
            <w:r>
              <w:rPr>
                <w:color w:val="0000FF"/>
                <w:sz w:val="24"/>
              </w:rPr>
              <w:t>5</w:t>
            </w:r>
            <w:r>
              <w:rPr>
                <w:rFonts w:hAnsi="宋体"/>
                <w:color w:val="0000FF"/>
                <w:sz w:val="24"/>
              </w:rPr>
              <w:t>。</w:t>
            </w:r>
          </w:p>
          <w:p>
            <w:pPr>
              <w:spacing w:line="360" w:lineRule="auto"/>
              <w:ind w:firstLine="480" w:firstLineChars="200"/>
              <w:contextualSpacing/>
              <w:outlineLvl w:val="2"/>
              <w:rPr>
                <w:color w:val="0000FF"/>
                <w:sz w:val="24"/>
              </w:rPr>
            </w:pPr>
            <w:r>
              <w:rPr>
                <w:rFonts w:hAnsi="宋体"/>
                <w:color w:val="0000FF"/>
                <w:sz w:val="24"/>
              </w:rPr>
              <w:t>（</w:t>
            </w:r>
            <w:r>
              <w:rPr>
                <w:color w:val="0000FF"/>
                <w:sz w:val="24"/>
              </w:rPr>
              <w:t>2</w:t>
            </w:r>
            <w:r>
              <w:rPr>
                <w:rFonts w:hAnsi="宋体"/>
                <w:color w:val="0000FF"/>
                <w:sz w:val="24"/>
              </w:rPr>
              <w:t>）监测时间：</w:t>
            </w:r>
            <w:r>
              <w:rPr>
                <w:color w:val="0000FF"/>
                <w:sz w:val="24"/>
              </w:rPr>
              <w:t>2016</w:t>
            </w:r>
            <w:r>
              <w:rPr>
                <w:rFonts w:hAnsi="宋体"/>
                <w:color w:val="0000FF"/>
                <w:sz w:val="24"/>
              </w:rPr>
              <w:t>年</w:t>
            </w:r>
            <w:r>
              <w:rPr>
                <w:color w:val="0000FF"/>
                <w:sz w:val="24"/>
              </w:rPr>
              <w:t>11</w:t>
            </w:r>
            <w:r>
              <w:rPr>
                <w:rFonts w:hAnsi="宋体"/>
                <w:color w:val="0000FF"/>
                <w:sz w:val="24"/>
              </w:rPr>
              <w:t>月</w:t>
            </w:r>
            <w:r>
              <w:rPr>
                <w:color w:val="0000FF"/>
                <w:sz w:val="24"/>
              </w:rPr>
              <w:t>18</w:t>
            </w:r>
            <w:r>
              <w:rPr>
                <w:rFonts w:hAnsi="宋体"/>
                <w:color w:val="0000FF"/>
                <w:sz w:val="24"/>
              </w:rPr>
              <w:t>日</w:t>
            </w:r>
            <w:r>
              <w:rPr>
                <w:color w:val="0000FF"/>
                <w:sz w:val="24"/>
              </w:rPr>
              <w:t>~20</w:t>
            </w:r>
            <w:r>
              <w:rPr>
                <w:rFonts w:hAnsi="宋体"/>
                <w:color w:val="0000FF"/>
                <w:sz w:val="24"/>
              </w:rPr>
              <w:t>日；</w:t>
            </w:r>
          </w:p>
          <w:p>
            <w:pPr>
              <w:spacing w:line="360" w:lineRule="auto"/>
              <w:ind w:firstLine="480" w:firstLineChars="200"/>
              <w:contextualSpacing/>
              <w:outlineLvl w:val="2"/>
              <w:rPr>
                <w:color w:val="0000FF"/>
                <w:sz w:val="24"/>
              </w:rPr>
            </w:pPr>
            <w:r>
              <w:rPr>
                <w:rFonts w:hAnsi="宋体"/>
                <w:color w:val="0000FF"/>
                <w:sz w:val="24"/>
              </w:rPr>
              <w:t>（</w:t>
            </w:r>
            <w:r>
              <w:rPr>
                <w:color w:val="0000FF"/>
                <w:sz w:val="24"/>
              </w:rPr>
              <w:t>3</w:t>
            </w:r>
            <w:r>
              <w:rPr>
                <w:rFonts w:hAnsi="宋体"/>
                <w:color w:val="0000FF"/>
                <w:sz w:val="24"/>
              </w:rPr>
              <w:t>）监测结果与评价，见表</w:t>
            </w:r>
            <w:r>
              <w:rPr>
                <w:rFonts w:hint="eastAsia" w:hAnsi="宋体"/>
                <w:color w:val="0000FF"/>
                <w:sz w:val="24"/>
              </w:rPr>
              <w:t>7</w:t>
            </w:r>
            <w:r>
              <w:rPr>
                <w:rFonts w:hAnsi="宋体"/>
                <w:color w:val="0000FF"/>
                <w:sz w:val="24"/>
              </w:rPr>
              <w:t>。</w:t>
            </w:r>
          </w:p>
          <w:p>
            <w:pPr>
              <w:spacing w:line="360" w:lineRule="auto"/>
              <w:ind w:right="-14" w:firstLine="470" w:firstLineChars="196"/>
              <w:contextualSpacing/>
              <w:jc w:val="center"/>
              <w:rPr>
                <w:b/>
                <w:color w:val="0000FF"/>
                <w:sz w:val="24"/>
                <w:szCs w:val="21"/>
              </w:rPr>
            </w:pPr>
            <w:r>
              <w:rPr>
                <w:rFonts w:hAnsi="宋体"/>
                <w:b/>
                <w:bCs/>
                <w:color w:val="0000FF"/>
                <w:sz w:val="24"/>
                <w:szCs w:val="21"/>
              </w:rPr>
              <w:t>表</w:t>
            </w:r>
            <w:r>
              <w:rPr>
                <w:rFonts w:hint="eastAsia"/>
                <w:b/>
                <w:bCs/>
                <w:color w:val="0000FF"/>
                <w:sz w:val="24"/>
                <w:szCs w:val="21"/>
              </w:rPr>
              <w:t>7</w:t>
            </w:r>
            <w:r>
              <w:rPr>
                <w:b/>
                <w:bCs/>
                <w:color w:val="0000FF"/>
                <w:sz w:val="24"/>
                <w:szCs w:val="21"/>
              </w:rPr>
              <w:t xml:space="preserve">    </w:t>
            </w:r>
            <w:r>
              <w:rPr>
                <w:rFonts w:hAnsi="宋体"/>
                <w:b/>
                <w:color w:val="0000FF"/>
                <w:sz w:val="24"/>
                <w:szCs w:val="21"/>
              </w:rPr>
              <w:t>地表水</w:t>
            </w:r>
            <w:r>
              <w:rPr>
                <w:rFonts w:hAnsi="宋体"/>
                <w:b/>
                <w:bCs/>
                <w:color w:val="0000FF"/>
                <w:sz w:val="24"/>
                <w:szCs w:val="21"/>
              </w:rPr>
              <w:t>监测及评价统计结果表</w:t>
            </w:r>
            <w:r>
              <w:rPr>
                <w:b/>
                <w:bCs/>
                <w:color w:val="0000FF"/>
                <w:sz w:val="24"/>
                <w:szCs w:val="21"/>
              </w:rPr>
              <w:t xml:space="preserve">      </w:t>
            </w:r>
            <w:r>
              <w:rPr>
                <w:rFonts w:hAnsi="宋体"/>
                <w:b/>
                <w:bCs/>
                <w:color w:val="0000FF"/>
                <w:sz w:val="24"/>
                <w:szCs w:val="21"/>
              </w:rPr>
              <w:t>单位</w:t>
            </w:r>
            <w:r>
              <w:rPr>
                <w:b/>
                <w:bCs/>
                <w:color w:val="0000FF"/>
                <w:sz w:val="24"/>
                <w:szCs w:val="21"/>
              </w:rPr>
              <w:t>:</w:t>
            </w:r>
            <w:r>
              <w:rPr>
                <w:b/>
                <w:color w:val="0000FF"/>
                <w:sz w:val="24"/>
                <w:szCs w:val="21"/>
              </w:rPr>
              <w:t>mg/L(pH</w:t>
            </w:r>
            <w:r>
              <w:rPr>
                <w:rFonts w:hAnsi="宋体"/>
                <w:b/>
                <w:color w:val="0000FF"/>
                <w:sz w:val="24"/>
                <w:szCs w:val="21"/>
              </w:rPr>
              <w:t>除外</w:t>
            </w:r>
            <w:r>
              <w:rPr>
                <w:b/>
                <w:color w:val="0000FF"/>
                <w:sz w:val="24"/>
                <w:szCs w:val="21"/>
              </w:rPr>
              <w:t>)</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1"/>
              <w:gridCol w:w="1091"/>
              <w:gridCol w:w="1075"/>
              <w:gridCol w:w="1211"/>
              <w:gridCol w:w="1211"/>
              <w:gridCol w:w="1211"/>
              <w:gridCol w:w="10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vMerge w:val="restart"/>
                  <w:tcBorders>
                    <w:top w:val="single" w:color="auto" w:sz="12" w:space="0"/>
                    <w:left w:val="nil"/>
                    <w:bottom w:val="single" w:color="auto" w:sz="6" w:space="0"/>
                    <w:tl2br w:val="single" w:color="auto" w:sz="4" w:space="0"/>
                  </w:tcBorders>
                  <w:vAlign w:val="center"/>
                </w:tcPr>
                <w:p>
                  <w:pPr>
                    <w:contextualSpacing/>
                    <w:jc w:val="center"/>
                    <w:rPr>
                      <w:color w:val="0000FF"/>
                      <w:szCs w:val="21"/>
                    </w:rPr>
                  </w:pPr>
                  <w:r>
                    <w:rPr>
                      <w:color w:val="0000FF"/>
                      <w:szCs w:val="21"/>
                    </w:rPr>
                    <w:t xml:space="preserve">      </w:t>
                  </w:r>
                  <w:r>
                    <w:rPr>
                      <w:rFonts w:hAnsi="宋体"/>
                      <w:color w:val="0000FF"/>
                      <w:szCs w:val="21"/>
                    </w:rPr>
                    <w:t>点</w:t>
                  </w:r>
                  <w:r>
                    <w:rPr>
                      <w:color w:val="0000FF"/>
                      <w:szCs w:val="21"/>
                    </w:rPr>
                    <w:t xml:space="preserve"> </w:t>
                  </w:r>
                  <w:r>
                    <w:rPr>
                      <w:rFonts w:hAnsi="宋体"/>
                      <w:color w:val="0000FF"/>
                      <w:szCs w:val="21"/>
                    </w:rPr>
                    <w:t>位</w:t>
                  </w:r>
                </w:p>
                <w:p>
                  <w:pPr>
                    <w:contextualSpacing/>
                    <w:rPr>
                      <w:color w:val="0000FF"/>
                      <w:szCs w:val="21"/>
                    </w:rPr>
                  </w:pPr>
                  <w:r>
                    <w:rPr>
                      <w:rFonts w:hAnsi="宋体"/>
                      <w:color w:val="0000FF"/>
                      <w:kern w:val="0"/>
                      <w:szCs w:val="21"/>
                    </w:rPr>
                    <w:t>项</w:t>
                  </w:r>
                  <w:r>
                    <w:rPr>
                      <w:color w:val="0000FF"/>
                      <w:kern w:val="0"/>
                      <w:szCs w:val="21"/>
                    </w:rPr>
                    <w:t xml:space="preserve"> </w:t>
                  </w:r>
                  <w:r>
                    <w:rPr>
                      <w:rFonts w:hAnsi="宋体"/>
                      <w:color w:val="0000FF"/>
                      <w:kern w:val="0"/>
                      <w:szCs w:val="21"/>
                    </w:rPr>
                    <w:t>目</w:t>
                  </w:r>
                </w:p>
              </w:tc>
              <w:tc>
                <w:tcPr>
                  <w:tcW w:w="3377" w:type="dxa"/>
                  <w:gridSpan w:val="3"/>
                  <w:tcBorders>
                    <w:top w:val="single" w:color="auto" w:sz="12" w:space="0"/>
                    <w:bottom w:val="single" w:color="auto" w:sz="6" w:space="0"/>
                  </w:tcBorders>
                  <w:vAlign w:val="center"/>
                </w:tcPr>
                <w:p>
                  <w:pPr>
                    <w:contextualSpacing/>
                    <w:jc w:val="center"/>
                    <w:rPr>
                      <w:color w:val="0000FF"/>
                      <w:kern w:val="0"/>
                      <w:szCs w:val="21"/>
                    </w:rPr>
                  </w:pPr>
                  <w:r>
                    <w:rPr>
                      <w:color w:val="0000FF"/>
                      <w:szCs w:val="21"/>
                    </w:rPr>
                    <w:t>2#</w:t>
                  </w:r>
                  <w:r>
                    <w:rPr>
                      <w:rFonts w:hAnsi="宋体"/>
                      <w:color w:val="0000FF"/>
                      <w:szCs w:val="21"/>
                    </w:rPr>
                    <w:t>项目所在地相对泾河断面下游</w:t>
                  </w:r>
                  <w:r>
                    <w:rPr>
                      <w:color w:val="0000FF"/>
                      <w:szCs w:val="21"/>
                    </w:rPr>
                    <w:t>1000m</w:t>
                  </w:r>
                </w:p>
              </w:tc>
              <w:tc>
                <w:tcPr>
                  <w:tcW w:w="1211" w:type="dxa"/>
                  <w:vMerge w:val="restart"/>
                  <w:tcBorders>
                    <w:top w:val="single" w:color="auto" w:sz="12" w:space="0"/>
                    <w:bottom w:val="single" w:color="auto" w:sz="6" w:space="0"/>
                  </w:tcBorders>
                  <w:vAlign w:val="center"/>
                </w:tcPr>
                <w:p>
                  <w:pPr>
                    <w:contextualSpacing/>
                    <w:jc w:val="center"/>
                    <w:rPr>
                      <w:color w:val="0000FF"/>
                      <w:kern w:val="0"/>
                      <w:szCs w:val="21"/>
                    </w:rPr>
                  </w:pPr>
                  <w:r>
                    <w:rPr>
                      <w:rFonts w:hAnsi="宋体"/>
                      <w:color w:val="0000FF"/>
                      <w:kern w:val="0"/>
                      <w:szCs w:val="21"/>
                    </w:rPr>
                    <w:t>三日均值</w:t>
                  </w:r>
                </w:p>
              </w:tc>
              <w:tc>
                <w:tcPr>
                  <w:tcW w:w="1211" w:type="dxa"/>
                  <w:vMerge w:val="restart"/>
                  <w:tcBorders>
                    <w:top w:val="single" w:color="auto" w:sz="12" w:space="0"/>
                    <w:bottom w:val="single" w:color="auto" w:sz="6" w:space="0"/>
                  </w:tcBorders>
                  <w:vAlign w:val="center"/>
                </w:tcPr>
                <w:p>
                  <w:pPr>
                    <w:contextualSpacing/>
                    <w:jc w:val="center"/>
                    <w:rPr>
                      <w:color w:val="0000FF"/>
                      <w:szCs w:val="21"/>
                    </w:rPr>
                  </w:pPr>
                  <w:r>
                    <w:rPr>
                      <w:rFonts w:hAnsi="宋体"/>
                      <w:color w:val="0000FF"/>
                      <w:kern w:val="0"/>
                      <w:szCs w:val="21"/>
                    </w:rPr>
                    <w:t>标准</w:t>
                  </w:r>
                </w:p>
              </w:tc>
              <w:tc>
                <w:tcPr>
                  <w:tcW w:w="1065" w:type="dxa"/>
                  <w:vMerge w:val="restart"/>
                  <w:tcBorders>
                    <w:top w:val="single" w:color="auto" w:sz="12" w:space="0"/>
                    <w:bottom w:val="single" w:color="auto" w:sz="6" w:space="0"/>
                    <w:right w:val="nil"/>
                  </w:tcBorders>
                  <w:vAlign w:val="center"/>
                </w:tcPr>
                <w:p>
                  <w:pPr>
                    <w:contextualSpacing/>
                    <w:jc w:val="center"/>
                    <w:rPr>
                      <w:color w:val="0000FF"/>
                      <w:szCs w:val="21"/>
                    </w:rPr>
                  </w:pPr>
                  <w:r>
                    <w:rPr>
                      <w:rFonts w:hAnsi="宋体"/>
                      <w:color w:val="0000FF"/>
                      <w:kern w:val="0"/>
                      <w:szCs w:val="21"/>
                    </w:rPr>
                    <w:t>超标倍数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vMerge w:val="continue"/>
                  <w:tcBorders>
                    <w:top w:val="single" w:color="auto" w:sz="6" w:space="0"/>
                    <w:left w:val="nil"/>
                    <w:bottom w:val="single" w:color="auto" w:sz="6" w:space="0"/>
                    <w:tl2br w:val="single" w:color="auto" w:sz="4" w:space="0"/>
                  </w:tcBorders>
                  <w:vAlign w:val="center"/>
                </w:tcPr>
                <w:p>
                  <w:pPr>
                    <w:widowControl/>
                    <w:contextualSpacing/>
                    <w:jc w:val="center"/>
                    <w:rPr>
                      <w:color w:val="0000FF"/>
                      <w:szCs w:val="21"/>
                    </w:rPr>
                  </w:pPr>
                </w:p>
              </w:tc>
              <w:tc>
                <w:tcPr>
                  <w:tcW w:w="1091" w:type="dxa"/>
                  <w:tcBorders>
                    <w:top w:val="single" w:color="auto" w:sz="6" w:space="0"/>
                    <w:bottom w:val="single" w:color="auto" w:sz="6" w:space="0"/>
                  </w:tcBorders>
                  <w:vAlign w:val="center"/>
                </w:tcPr>
                <w:p>
                  <w:pPr>
                    <w:widowControl/>
                    <w:ind w:left="-630" w:leftChars="-300" w:right="-646" w:rightChars="-308"/>
                    <w:contextualSpacing/>
                    <w:jc w:val="center"/>
                    <w:rPr>
                      <w:color w:val="0000FF"/>
                      <w:kern w:val="0"/>
                      <w:szCs w:val="21"/>
                    </w:rPr>
                  </w:pPr>
                  <w:r>
                    <w:rPr>
                      <w:color w:val="0000FF"/>
                      <w:kern w:val="0"/>
                      <w:szCs w:val="21"/>
                    </w:rPr>
                    <w:t>11</w:t>
                  </w:r>
                  <w:r>
                    <w:rPr>
                      <w:rFonts w:hAnsi="宋体"/>
                      <w:color w:val="0000FF"/>
                      <w:kern w:val="0"/>
                      <w:szCs w:val="21"/>
                    </w:rPr>
                    <w:t>月</w:t>
                  </w:r>
                  <w:r>
                    <w:rPr>
                      <w:color w:val="0000FF"/>
                      <w:kern w:val="0"/>
                      <w:szCs w:val="21"/>
                    </w:rPr>
                    <w:t>18</w:t>
                  </w:r>
                  <w:r>
                    <w:rPr>
                      <w:rFonts w:hAnsi="宋体"/>
                      <w:color w:val="0000FF"/>
                      <w:kern w:val="0"/>
                      <w:szCs w:val="21"/>
                    </w:rPr>
                    <w:t>日</w:t>
                  </w:r>
                </w:p>
              </w:tc>
              <w:tc>
                <w:tcPr>
                  <w:tcW w:w="1075" w:type="dxa"/>
                  <w:tcBorders>
                    <w:top w:val="single" w:color="auto" w:sz="6" w:space="0"/>
                    <w:bottom w:val="single" w:color="auto" w:sz="6" w:space="0"/>
                  </w:tcBorders>
                  <w:vAlign w:val="center"/>
                </w:tcPr>
                <w:p>
                  <w:pPr>
                    <w:widowControl/>
                    <w:ind w:left="-825" w:leftChars="-393" w:right="-646" w:rightChars="-308" w:firstLine="170" w:firstLineChars="81"/>
                    <w:contextualSpacing/>
                    <w:jc w:val="center"/>
                    <w:rPr>
                      <w:color w:val="0000FF"/>
                      <w:kern w:val="0"/>
                      <w:szCs w:val="21"/>
                    </w:rPr>
                  </w:pPr>
                  <w:r>
                    <w:rPr>
                      <w:color w:val="0000FF"/>
                      <w:kern w:val="0"/>
                      <w:szCs w:val="21"/>
                    </w:rPr>
                    <w:t>11</w:t>
                  </w:r>
                  <w:r>
                    <w:rPr>
                      <w:rFonts w:hAnsi="宋体"/>
                      <w:color w:val="0000FF"/>
                      <w:kern w:val="0"/>
                      <w:szCs w:val="21"/>
                    </w:rPr>
                    <w:t>月</w:t>
                  </w:r>
                  <w:r>
                    <w:rPr>
                      <w:color w:val="0000FF"/>
                      <w:kern w:val="0"/>
                      <w:szCs w:val="21"/>
                    </w:rPr>
                    <w:t>19</w:t>
                  </w:r>
                  <w:r>
                    <w:rPr>
                      <w:rFonts w:hAnsi="宋体"/>
                      <w:color w:val="0000FF"/>
                      <w:kern w:val="0"/>
                      <w:szCs w:val="21"/>
                    </w:rPr>
                    <w:t>日</w:t>
                  </w:r>
                </w:p>
              </w:tc>
              <w:tc>
                <w:tcPr>
                  <w:tcW w:w="1211" w:type="dxa"/>
                  <w:tcBorders>
                    <w:top w:val="single" w:color="auto" w:sz="6" w:space="0"/>
                    <w:bottom w:val="single" w:color="auto" w:sz="6" w:space="0"/>
                  </w:tcBorders>
                  <w:vAlign w:val="center"/>
                </w:tcPr>
                <w:p>
                  <w:pPr>
                    <w:widowControl/>
                    <w:contextualSpacing/>
                    <w:jc w:val="center"/>
                    <w:rPr>
                      <w:color w:val="0000FF"/>
                      <w:kern w:val="0"/>
                      <w:szCs w:val="21"/>
                    </w:rPr>
                  </w:pPr>
                  <w:r>
                    <w:rPr>
                      <w:color w:val="0000FF"/>
                      <w:kern w:val="0"/>
                      <w:szCs w:val="21"/>
                    </w:rPr>
                    <w:t>11</w:t>
                  </w:r>
                  <w:r>
                    <w:rPr>
                      <w:rFonts w:hAnsi="宋体"/>
                      <w:color w:val="0000FF"/>
                      <w:kern w:val="0"/>
                      <w:szCs w:val="21"/>
                    </w:rPr>
                    <w:t>月</w:t>
                  </w:r>
                  <w:r>
                    <w:rPr>
                      <w:color w:val="0000FF"/>
                      <w:kern w:val="0"/>
                      <w:szCs w:val="21"/>
                    </w:rPr>
                    <w:t>20</w:t>
                  </w:r>
                  <w:r>
                    <w:rPr>
                      <w:rFonts w:hAnsi="宋体"/>
                      <w:color w:val="0000FF"/>
                      <w:kern w:val="0"/>
                      <w:szCs w:val="21"/>
                    </w:rPr>
                    <w:t>日</w:t>
                  </w:r>
                </w:p>
              </w:tc>
              <w:tc>
                <w:tcPr>
                  <w:tcW w:w="1211" w:type="dxa"/>
                  <w:vMerge w:val="continue"/>
                  <w:tcBorders>
                    <w:top w:val="single" w:color="auto" w:sz="6" w:space="0"/>
                    <w:bottom w:val="single" w:color="auto" w:sz="6" w:space="0"/>
                  </w:tcBorders>
                  <w:vAlign w:val="center"/>
                </w:tcPr>
                <w:p>
                  <w:pPr>
                    <w:widowControl/>
                    <w:contextualSpacing/>
                    <w:jc w:val="center"/>
                    <w:rPr>
                      <w:color w:val="0000FF"/>
                      <w:kern w:val="0"/>
                      <w:szCs w:val="21"/>
                    </w:rPr>
                  </w:pPr>
                </w:p>
              </w:tc>
              <w:tc>
                <w:tcPr>
                  <w:tcW w:w="1211" w:type="dxa"/>
                  <w:vMerge w:val="continue"/>
                  <w:tcBorders>
                    <w:top w:val="single" w:color="auto" w:sz="6" w:space="0"/>
                    <w:bottom w:val="single" w:color="auto" w:sz="6" w:space="0"/>
                  </w:tcBorders>
                  <w:vAlign w:val="center"/>
                </w:tcPr>
                <w:p>
                  <w:pPr>
                    <w:widowControl/>
                    <w:contextualSpacing/>
                    <w:jc w:val="center"/>
                    <w:rPr>
                      <w:color w:val="0000FF"/>
                      <w:kern w:val="0"/>
                      <w:szCs w:val="21"/>
                    </w:rPr>
                  </w:pPr>
                </w:p>
              </w:tc>
              <w:tc>
                <w:tcPr>
                  <w:tcW w:w="1065" w:type="dxa"/>
                  <w:vMerge w:val="continue"/>
                  <w:tcBorders>
                    <w:top w:val="single" w:color="auto" w:sz="6" w:space="0"/>
                    <w:bottom w:val="single" w:color="auto" w:sz="6" w:space="0"/>
                    <w:right w:val="nil"/>
                  </w:tcBorders>
                  <w:vAlign w:val="center"/>
                </w:tcPr>
                <w:p>
                  <w:pPr>
                    <w:widowControl/>
                    <w:contextualSpacing/>
                    <w:jc w:val="center"/>
                    <w:rPr>
                      <w:color w:val="0000FF"/>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rFonts w:hAnsi="宋体"/>
                      <w:color w:val="0000FF"/>
                      <w:szCs w:val="21"/>
                    </w:rPr>
                    <w:t>水温</w:t>
                  </w:r>
                  <w:r>
                    <w:rPr>
                      <w:rFonts w:ascii="宋体" w:hAnsi="宋体"/>
                      <w:color w:val="0000FF"/>
                      <w:szCs w:val="21"/>
                    </w:rPr>
                    <w:t>℃</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3</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2</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2</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3</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w:t>
                  </w:r>
                </w:p>
              </w:tc>
              <w:tc>
                <w:tcPr>
                  <w:tcW w:w="1065" w:type="dxa"/>
                  <w:tcBorders>
                    <w:top w:val="single" w:color="auto" w:sz="6" w:space="0"/>
                    <w:bottom w:val="single" w:color="auto" w:sz="6" w:space="0"/>
                    <w:right w:val="nil"/>
                  </w:tcBorders>
                  <w:vAlign w:val="center"/>
                </w:tcPr>
                <w:p>
                  <w:pPr>
                    <w:widowControl/>
                    <w:contextualSpacing/>
                    <w:jc w:val="center"/>
                    <w:rPr>
                      <w:color w:val="0000FF"/>
                      <w:kern w:val="0"/>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PH</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7.22</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7.38</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7.19</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7.19-7.38</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6.9</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DO</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7.33</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6.85</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7.16</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7.11</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≥3</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BOD</w:t>
                  </w:r>
                  <w:r>
                    <w:rPr>
                      <w:color w:val="0000FF"/>
                      <w:szCs w:val="21"/>
                      <w:vertAlign w:val="subscript"/>
                    </w:rPr>
                    <w:t>5</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2.88</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3.36</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3.58</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3.27</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≤2.0</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COD</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13.2</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15.4</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15</w:t>
                  </w:r>
                  <w:r>
                    <w:rPr>
                      <w:color w:val="0000FF"/>
                      <w:szCs w:val="21"/>
                    </w:rPr>
                    <w:cr/>
                  </w:r>
                  <w:r>
                    <w:rPr>
                      <w:color w:val="0000FF"/>
                      <w:szCs w:val="21"/>
                    </w:rPr>
                    <w:t>9</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14.8</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≤30</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SS</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102</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124</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118</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115</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contextualSpacing/>
                    <w:jc w:val="center"/>
                    <w:rPr>
                      <w:color w:val="0000FF"/>
                      <w:szCs w:val="21"/>
                    </w:rPr>
                  </w:pPr>
                  <w:r>
                    <w:rPr>
                      <w:color w:val="0000FF"/>
                      <w:szCs w:val="21"/>
                    </w:rPr>
                    <w:t>NH</w:t>
                  </w:r>
                  <w:r>
                    <w:rPr>
                      <w:color w:val="0000FF"/>
                      <w:szCs w:val="21"/>
                      <w:vertAlign w:val="subscript"/>
                    </w:rPr>
                    <w:t>3</w:t>
                  </w:r>
                  <w:r>
                    <w:rPr>
                      <w:color w:val="0000FF"/>
                      <w:szCs w:val="21"/>
                    </w:rPr>
                    <w:t>-N</w:t>
                  </w:r>
                </w:p>
              </w:tc>
              <w:tc>
                <w:tcPr>
                  <w:tcW w:w="1091" w:type="dxa"/>
                  <w:tcBorders>
                    <w:top w:val="single" w:color="auto" w:sz="6" w:space="0"/>
                    <w:bottom w:val="single" w:color="auto" w:sz="6" w:space="0"/>
                  </w:tcBorders>
                  <w:vAlign w:val="center"/>
                </w:tcPr>
                <w:p>
                  <w:pPr>
                    <w:contextualSpacing/>
                    <w:jc w:val="center"/>
                    <w:rPr>
                      <w:color w:val="0000FF"/>
                      <w:szCs w:val="21"/>
                    </w:rPr>
                  </w:pPr>
                  <w:r>
                    <w:rPr>
                      <w:color w:val="0000FF"/>
                      <w:szCs w:val="21"/>
                    </w:rPr>
                    <w:t>0.313</w:t>
                  </w:r>
                </w:p>
              </w:tc>
              <w:tc>
                <w:tcPr>
                  <w:tcW w:w="1075" w:type="dxa"/>
                  <w:tcBorders>
                    <w:top w:val="single" w:color="auto" w:sz="6" w:space="0"/>
                    <w:bottom w:val="single" w:color="auto" w:sz="6" w:space="0"/>
                  </w:tcBorders>
                  <w:vAlign w:val="center"/>
                </w:tcPr>
                <w:p>
                  <w:pPr>
                    <w:contextualSpacing/>
                    <w:jc w:val="center"/>
                    <w:rPr>
                      <w:color w:val="0000FF"/>
                      <w:szCs w:val="21"/>
                    </w:rPr>
                  </w:pPr>
                  <w:r>
                    <w:rPr>
                      <w:color w:val="0000FF"/>
                      <w:szCs w:val="21"/>
                    </w:rPr>
                    <w:t>0.274</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0.296</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0.294</w:t>
                  </w:r>
                </w:p>
              </w:tc>
              <w:tc>
                <w:tcPr>
                  <w:tcW w:w="1211" w:type="dxa"/>
                  <w:tcBorders>
                    <w:top w:val="single" w:color="auto" w:sz="6" w:space="0"/>
                    <w:bottom w:val="single" w:color="auto" w:sz="6" w:space="0"/>
                  </w:tcBorders>
                  <w:vAlign w:val="center"/>
                </w:tcPr>
                <w:p>
                  <w:pPr>
                    <w:contextualSpacing/>
                    <w:jc w:val="center"/>
                    <w:rPr>
                      <w:color w:val="0000FF"/>
                      <w:szCs w:val="21"/>
                    </w:rPr>
                  </w:pPr>
                  <w:r>
                    <w:rPr>
                      <w:color w:val="0000FF"/>
                      <w:szCs w:val="21"/>
                    </w:rPr>
                    <w:t>≤1.5</w:t>
                  </w:r>
                </w:p>
              </w:tc>
              <w:tc>
                <w:tcPr>
                  <w:tcW w:w="1065" w:type="dxa"/>
                  <w:tcBorders>
                    <w:top w:val="single" w:color="auto" w:sz="6" w:space="0"/>
                    <w:bottom w:val="single" w:color="auto" w:sz="6" w:space="0"/>
                    <w:right w:val="nil"/>
                  </w:tcBorders>
                  <w:vAlign w:val="center"/>
                </w:tcPr>
                <w:p>
                  <w:pPr>
                    <w:contextualSpacing/>
                    <w:jc w:val="center"/>
                    <w:rPr>
                      <w:color w:val="0000FF"/>
                      <w:szCs w:val="21"/>
                    </w:rPr>
                  </w:pPr>
                  <w:r>
                    <w:rPr>
                      <w:color w:val="0000FF"/>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6" w:space="0"/>
                  </w:tcBorders>
                  <w:vAlign w:val="center"/>
                </w:tcPr>
                <w:p>
                  <w:pPr>
                    <w:widowControl/>
                    <w:contextualSpacing/>
                    <w:jc w:val="center"/>
                    <w:rPr>
                      <w:color w:val="0000FF"/>
                      <w:kern w:val="0"/>
                      <w:szCs w:val="21"/>
                    </w:rPr>
                  </w:pPr>
                  <w:r>
                    <w:rPr>
                      <w:rFonts w:hAnsi="宋体"/>
                      <w:color w:val="0000FF"/>
                      <w:kern w:val="0"/>
                      <w:szCs w:val="21"/>
                    </w:rPr>
                    <w:t>执行标准</w:t>
                  </w:r>
                </w:p>
              </w:tc>
              <w:tc>
                <w:tcPr>
                  <w:tcW w:w="6864" w:type="dxa"/>
                  <w:gridSpan w:val="6"/>
                  <w:tcBorders>
                    <w:top w:val="single" w:color="auto" w:sz="6" w:space="0"/>
                    <w:bottom w:val="single" w:color="auto" w:sz="6" w:space="0"/>
                    <w:right w:val="nil"/>
                  </w:tcBorders>
                  <w:vAlign w:val="center"/>
                </w:tcPr>
                <w:p>
                  <w:pPr>
                    <w:contextualSpacing/>
                    <w:jc w:val="center"/>
                    <w:rPr>
                      <w:color w:val="0000FF"/>
                      <w:kern w:val="0"/>
                      <w:szCs w:val="21"/>
                    </w:rPr>
                  </w:pPr>
                  <w:r>
                    <w:rPr>
                      <w:rFonts w:hAnsi="宋体"/>
                      <w:color w:val="0000FF"/>
                      <w:kern w:val="0"/>
                      <w:szCs w:val="21"/>
                    </w:rPr>
                    <w:t>《地表水环境质量标准》（</w:t>
                  </w:r>
                  <w:r>
                    <w:rPr>
                      <w:color w:val="0000FF"/>
                      <w:kern w:val="0"/>
                      <w:szCs w:val="21"/>
                    </w:rPr>
                    <w:t>GB3838-2002</w:t>
                  </w:r>
                  <w:r>
                    <w:rPr>
                      <w:rFonts w:hAnsi="宋体"/>
                      <w:color w:val="0000FF"/>
                      <w:kern w:val="0"/>
                      <w:szCs w:val="21"/>
                    </w:rPr>
                    <w:t>）</w:t>
                  </w:r>
                  <w:r>
                    <w:rPr>
                      <w:color w:val="0000FF"/>
                      <w:kern w:val="0"/>
                      <w:szCs w:val="21"/>
                    </w:rPr>
                    <w:t>III</w:t>
                  </w:r>
                  <w:r>
                    <w:rPr>
                      <w:rFonts w:hAnsi="宋体"/>
                      <w:color w:val="0000FF"/>
                      <w:kern w:val="0"/>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1" w:type="dxa"/>
                  <w:tcBorders>
                    <w:top w:val="single" w:color="auto" w:sz="6" w:space="0"/>
                    <w:left w:val="nil"/>
                    <w:bottom w:val="single" w:color="auto" w:sz="12" w:space="0"/>
                  </w:tcBorders>
                  <w:vAlign w:val="center"/>
                </w:tcPr>
                <w:p>
                  <w:pPr>
                    <w:widowControl/>
                    <w:contextualSpacing/>
                    <w:jc w:val="center"/>
                    <w:rPr>
                      <w:color w:val="0000FF"/>
                      <w:kern w:val="0"/>
                      <w:szCs w:val="21"/>
                    </w:rPr>
                  </w:pPr>
                  <w:r>
                    <w:rPr>
                      <w:rFonts w:hAnsi="宋体"/>
                      <w:color w:val="0000FF"/>
                      <w:kern w:val="0"/>
                      <w:szCs w:val="21"/>
                    </w:rPr>
                    <w:t>备注</w:t>
                  </w:r>
                </w:p>
              </w:tc>
              <w:tc>
                <w:tcPr>
                  <w:tcW w:w="6864" w:type="dxa"/>
                  <w:gridSpan w:val="6"/>
                  <w:tcBorders>
                    <w:top w:val="single" w:color="auto" w:sz="6" w:space="0"/>
                    <w:bottom w:val="single" w:color="auto" w:sz="12" w:space="0"/>
                    <w:right w:val="nil"/>
                  </w:tcBorders>
                  <w:vAlign w:val="center"/>
                </w:tcPr>
                <w:p>
                  <w:pPr>
                    <w:contextualSpacing/>
                    <w:jc w:val="center"/>
                    <w:rPr>
                      <w:color w:val="0000FF"/>
                      <w:kern w:val="0"/>
                      <w:szCs w:val="21"/>
                    </w:rPr>
                  </w:pPr>
                  <w:r>
                    <w:rPr>
                      <w:rFonts w:hAnsi="宋体"/>
                      <w:color w:val="0000FF"/>
                      <w:kern w:val="0"/>
                      <w:szCs w:val="21"/>
                    </w:rPr>
                    <w:t>监测结果低于检出限，在检出限后加</w:t>
                  </w:r>
                  <w:r>
                    <w:rPr>
                      <w:color w:val="0000FF"/>
                      <w:kern w:val="0"/>
                      <w:szCs w:val="21"/>
                    </w:rPr>
                    <w:t>L</w:t>
                  </w:r>
                  <w:r>
                    <w:rPr>
                      <w:rFonts w:hAnsi="宋体"/>
                      <w:color w:val="0000FF"/>
                      <w:kern w:val="0"/>
                      <w:szCs w:val="21"/>
                    </w:rPr>
                    <w:t>表示。</w:t>
                  </w:r>
                </w:p>
              </w:tc>
            </w:tr>
          </w:tbl>
          <w:p>
            <w:pPr>
              <w:keepNext/>
              <w:spacing w:line="360" w:lineRule="auto"/>
              <w:ind w:firstLine="480" w:firstLineChars="200"/>
              <w:contextualSpacing/>
              <w:rPr>
                <w:rFonts w:hint="eastAsia"/>
                <w:color w:val="0000FF"/>
                <w:sz w:val="24"/>
                <w:szCs w:val="22"/>
              </w:rPr>
            </w:pPr>
            <w:r>
              <w:rPr>
                <w:rFonts w:hAnsi="宋体"/>
                <w:color w:val="0000FF"/>
                <w:sz w:val="24"/>
              </w:rPr>
              <w:t>由监测结果表明，评价所引用的</w:t>
            </w:r>
            <w:r>
              <w:rPr>
                <w:color w:val="0000FF"/>
                <w:sz w:val="24"/>
              </w:rPr>
              <w:t>2#</w:t>
            </w:r>
            <w:r>
              <w:rPr>
                <w:rFonts w:hAnsi="宋体"/>
                <w:color w:val="0000FF"/>
                <w:sz w:val="24"/>
              </w:rPr>
              <w:t>泾河断面各项监测指标均符合（</w:t>
            </w:r>
            <w:r>
              <w:rPr>
                <w:color w:val="0000FF"/>
                <w:sz w:val="24"/>
              </w:rPr>
              <w:t>GB3838-2002</w:t>
            </w:r>
            <w:r>
              <w:rPr>
                <w:rFonts w:hAnsi="宋体"/>
                <w:color w:val="0000FF"/>
                <w:sz w:val="24"/>
              </w:rPr>
              <w:t>）《地表水环境质量标准》（</w:t>
            </w:r>
            <w:r>
              <w:rPr>
                <w:color w:val="0000FF"/>
                <w:sz w:val="24"/>
              </w:rPr>
              <w:t>GB3838-2002</w:t>
            </w:r>
            <w:r>
              <w:rPr>
                <w:rFonts w:hAnsi="宋体"/>
                <w:color w:val="0000FF"/>
                <w:sz w:val="24"/>
              </w:rPr>
              <w:t>）</w:t>
            </w:r>
            <w:r>
              <w:rPr>
                <w:color w:val="0000FF"/>
                <w:sz w:val="24"/>
              </w:rPr>
              <w:t>III</w:t>
            </w:r>
            <w:r>
              <w:rPr>
                <w:rFonts w:hAnsi="宋体"/>
                <w:color w:val="0000FF"/>
                <w:sz w:val="24"/>
              </w:rPr>
              <w:t>类标准。</w:t>
            </w:r>
          </w:p>
          <w:p>
            <w:pPr>
              <w:spacing w:beforeLines="50" w:afterLines="50" w:line="360" w:lineRule="auto"/>
              <w:outlineLvl w:val="2"/>
              <w:rPr>
                <w:rFonts w:hint="eastAsia"/>
                <w:b/>
                <w:color w:val="0000FF"/>
                <w:sz w:val="24"/>
                <w:szCs w:val="28"/>
              </w:rPr>
            </w:pPr>
            <w:r>
              <w:rPr>
                <w:rFonts w:hint="eastAsia"/>
                <w:b/>
                <w:color w:val="0000FF"/>
                <w:sz w:val="24"/>
                <w:szCs w:val="28"/>
              </w:rPr>
              <w:t>3、地下水环境质量现状</w:t>
            </w:r>
          </w:p>
          <w:p>
            <w:pPr>
              <w:autoSpaceDE w:val="0"/>
              <w:autoSpaceDN w:val="0"/>
              <w:adjustRightInd w:val="0"/>
              <w:spacing w:line="360" w:lineRule="auto"/>
              <w:ind w:firstLine="480" w:firstLineChars="200"/>
              <w:textAlignment w:val="bottom"/>
              <w:rPr>
                <w:rFonts w:hint="eastAsia"/>
                <w:color w:val="0000FF"/>
                <w:sz w:val="24"/>
                <w:szCs w:val="22"/>
              </w:rPr>
            </w:pPr>
            <w:r>
              <w:rPr>
                <w:rFonts w:hint="eastAsia"/>
                <w:color w:val="0000FF"/>
                <w:sz w:val="24"/>
                <w:szCs w:val="22"/>
              </w:rPr>
              <w:t>本项目地下水质量现状引用《宁县长庆桥工业集中区加油站建设项目环境影响报告表》地下水监测资料，可有效代表项目区域地下水环境质量现状。</w:t>
            </w:r>
          </w:p>
          <w:p>
            <w:pPr>
              <w:spacing w:line="360" w:lineRule="auto"/>
              <w:ind w:firstLine="480" w:firstLineChars="200"/>
              <w:rPr>
                <w:color w:val="0000FF"/>
                <w:sz w:val="24"/>
              </w:rPr>
            </w:pPr>
            <w:r>
              <w:rPr>
                <w:color w:val="0000FF"/>
                <w:sz w:val="24"/>
              </w:rPr>
              <w:t>（1）地下水监测点布设</w:t>
            </w:r>
          </w:p>
          <w:p>
            <w:pPr>
              <w:ind w:firstLine="2640" w:firstLineChars="1100"/>
              <w:rPr>
                <w:b/>
                <w:bCs/>
                <w:color w:val="0000FF"/>
                <w:sz w:val="24"/>
              </w:rPr>
            </w:pPr>
            <w:r>
              <w:rPr>
                <w:b/>
                <w:bCs/>
                <w:color w:val="0000FF"/>
                <w:sz w:val="24"/>
              </w:rPr>
              <w:t>表</w:t>
            </w:r>
            <w:r>
              <w:rPr>
                <w:rFonts w:hint="eastAsia"/>
                <w:b/>
                <w:bCs/>
                <w:color w:val="0000FF"/>
                <w:sz w:val="24"/>
              </w:rPr>
              <w:t xml:space="preserve">8 </w:t>
            </w:r>
            <w:r>
              <w:rPr>
                <w:b/>
                <w:bCs/>
                <w:color w:val="0000FF"/>
                <w:sz w:val="24"/>
              </w:rPr>
              <w:t xml:space="preserve"> 地下水环境质量现状监测点名称</w:t>
            </w:r>
          </w:p>
          <w:tbl>
            <w:tblPr>
              <w:tblStyle w:val="24"/>
              <w:tblW w:w="0" w:type="auto"/>
              <w:jc w:val="center"/>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774"/>
              <w:gridCol w:w="1885"/>
              <w:gridCol w:w="3495"/>
            </w:tblGrid>
            <w:tr>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051" w:type="dxa"/>
                  <w:vAlign w:val="center"/>
                </w:tcPr>
                <w:p>
                  <w:pPr>
                    <w:jc w:val="center"/>
                    <w:rPr>
                      <w:b/>
                      <w:color w:val="0000FF"/>
                      <w:szCs w:val="21"/>
                    </w:rPr>
                  </w:pPr>
                  <w:r>
                    <w:rPr>
                      <w:b/>
                      <w:color w:val="0000FF"/>
                      <w:szCs w:val="21"/>
                    </w:rPr>
                    <w:t>序 号</w:t>
                  </w:r>
                </w:p>
              </w:tc>
              <w:tc>
                <w:tcPr>
                  <w:tcW w:w="1774" w:type="dxa"/>
                  <w:vAlign w:val="center"/>
                </w:tcPr>
                <w:p>
                  <w:pPr>
                    <w:jc w:val="center"/>
                    <w:rPr>
                      <w:b/>
                      <w:color w:val="0000FF"/>
                      <w:szCs w:val="21"/>
                    </w:rPr>
                  </w:pPr>
                  <w:r>
                    <w:rPr>
                      <w:b/>
                      <w:color w:val="0000FF"/>
                      <w:szCs w:val="21"/>
                    </w:rPr>
                    <w:t>监测点</w:t>
                  </w:r>
                </w:p>
              </w:tc>
              <w:tc>
                <w:tcPr>
                  <w:tcW w:w="1885" w:type="dxa"/>
                  <w:vAlign w:val="center"/>
                </w:tcPr>
                <w:p>
                  <w:pPr>
                    <w:jc w:val="center"/>
                    <w:rPr>
                      <w:b/>
                      <w:color w:val="0000FF"/>
                      <w:szCs w:val="21"/>
                    </w:rPr>
                  </w:pPr>
                  <w:r>
                    <w:rPr>
                      <w:rFonts w:hint="eastAsia"/>
                      <w:b/>
                      <w:color w:val="0000FF"/>
                      <w:szCs w:val="21"/>
                    </w:rPr>
                    <w:t>与本项目位置关系</w:t>
                  </w:r>
                </w:p>
              </w:tc>
              <w:tc>
                <w:tcPr>
                  <w:tcW w:w="3495" w:type="dxa"/>
                  <w:vAlign w:val="center"/>
                </w:tcPr>
                <w:p>
                  <w:pPr>
                    <w:jc w:val="center"/>
                    <w:rPr>
                      <w:b/>
                      <w:color w:val="0000FF"/>
                      <w:szCs w:val="21"/>
                    </w:rPr>
                  </w:pPr>
                  <w:r>
                    <w:rPr>
                      <w:b/>
                      <w:color w:val="0000FF"/>
                      <w:szCs w:val="21"/>
                    </w:rPr>
                    <w:t>监测项目</w:t>
                  </w:r>
                </w:p>
              </w:tc>
            </w:tr>
            <w:tr>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51" w:type="dxa"/>
                  <w:vAlign w:val="center"/>
                </w:tcPr>
                <w:p>
                  <w:pPr>
                    <w:jc w:val="center"/>
                    <w:rPr>
                      <w:color w:val="0000FF"/>
                      <w:szCs w:val="21"/>
                    </w:rPr>
                  </w:pPr>
                  <w:r>
                    <w:rPr>
                      <w:rFonts w:hint="eastAsia"/>
                      <w:color w:val="0000FF"/>
                      <w:szCs w:val="21"/>
                    </w:rPr>
                    <w:t>1#</w:t>
                  </w:r>
                </w:p>
              </w:tc>
              <w:tc>
                <w:tcPr>
                  <w:tcW w:w="1774" w:type="dxa"/>
                  <w:vAlign w:val="center"/>
                </w:tcPr>
                <w:p>
                  <w:pPr>
                    <w:jc w:val="center"/>
                    <w:rPr>
                      <w:color w:val="0000FF"/>
                      <w:szCs w:val="21"/>
                    </w:rPr>
                  </w:pPr>
                  <w:r>
                    <w:rPr>
                      <w:rFonts w:hint="eastAsia"/>
                      <w:color w:val="0000FF"/>
                      <w:szCs w:val="21"/>
                    </w:rPr>
                    <w:t>贺家川贾富荣家水源井</w:t>
                  </w:r>
                </w:p>
              </w:tc>
              <w:tc>
                <w:tcPr>
                  <w:tcW w:w="1885" w:type="dxa"/>
                  <w:vAlign w:val="center"/>
                </w:tcPr>
                <w:p>
                  <w:pPr>
                    <w:jc w:val="center"/>
                    <w:rPr>
                      <w:color w:val="0000FF"/>
                      <w:szCs w:val="21"/>
                    </w:rPr>
                  </w:pPr>
                  <w:r>
                    <w:rPr>
                      <w:rFonts w:hint="eastAsia"/>
                      <w:color w:val="0000FF"/>
                      <w:szCs w:val="21"/>
                    </w:rPr>
                    <w:t>西侧2953m</w:t>
                  </w:r>
                </w:p>
              </w:tc>
              <w:tc>
                <w:tcPr>
                  <w:tcW w:w="3495" w:type="dxa"/>
                  <w:vMerge w:val="restart"/>
                  <w:vAlign w:val="center"/>
                </w:tcPr>
                <w:p>
                  <w:pPr>
                    <w:jc w:val="center"/>
                    <w:rPr>
                      <w:color w:val="0000FF"/>
                      <w:szCs w:val="21"/>
                    </w:rPr>
                  </w:pPr>
                  <w:r>
                    <w:rPr>
                      <w:rFonts w:hint="eastAsia"/>
                      <w:color w:val="0000FF"/>
                      <w:szCs w:val="21"/>
                    </w:rPr>
                    <w:t>PH值、总硬度、溶解性总固体、高锰酸钾指数、氨氮、硫酸盐（SO42-）、亚硝酸盐、硝酸盐、氯化物(Cl-)、挥发酚、氰化物、氟化物、汞、砷、镉、铅、铁、锰、铜、锌、K</w:t>
                  </w:r>
                  <w:r>
                    <w:rPr>
                      <w:rFonts w:hint="eastAsia"/>
                      <w:color w:val="0000FF"/>
                      <w:szCs w:val="21"/>
                      <w:vertAlign w:val="superscript"/>
                    </w:rPr>
                    <w:t>+</w:t>
                  </w:r>
                  <w:r>
                    <w:rPr>
                      <w:rFonts w:hint="eastAsia"/>
                      <w:color w:val="0000FF"/>
                      <w:szCs w:val="21"/>
                    </w:rPr>
                    <w:t>、Na</w:t>
                  </w:r>
                  <w:r>
                    <w:rPr>
                      <w:rFonts w:hint="eastAsia"/>
                      <w:color w:val="0000FF"/>
                      <w:szCs w:val="21"/>
                      <w:vertAlign w:val="superscript"/>
                    </w:rPr>
                    <w:t>+</w:t>
                  </w:r>
                  <w:r>
                    <w:rPr>
                      <w:rFonts w:hint="eastAsia"/>
                      <w:color w:val="0000FF"/>
                      <w:szCs w:val="21"/>
                    </w:rPr>
                    <w:t>、Ca</w:t>
                  </w:r>
                  <w:r>
                    <w:rPr>
                      <w:rFonts w:hint="eastAsia"/>
                      <w:color w:val="0000FF"/>
                      <w:szCs w:val="21"/>
                      <w:vertAlign w:val="superscript"/>
                    </w:rPr>
                    <w:t>2+</w:t>
                  </w:r>
                  <w:r>
                    <w:rPr>
                      <w:rFonts w:hint="eastAsia"/>
                      <w:color w:val="0000FF"/>
                      <w:szCs w:val="21"/>
                    </w:rPr>
                    <w:t>、Mg</w:t>
                  </w:r>
                  <w:r>
                    <w:rPr>
                      <w:rFonts w:hint="eastAsia"/>
                      <w:color w:val="0000FF"/>
                      <w:szCs w:val="21"/>
                      <w:vertAlign w:val="superscript"/>
                    </w:rPr>
                    <w:t>2+</w:t>
                  </w:r>
                  <w:r>
                    <w:rPr>
                      <w:rFonts w:hint="eastAsia"/>
                      <w:color w:val="0000FF"/>
                      <w:szCs w:val="21"/>
                    </w:rPr>
                    <w:t>、HCO</w:t>
                  </w:r>
                  <w:r>
                    <w:rPr>
                      <w:rFonts w:hint="eastAsia"/>
                      <w:color w:val="0000FF"/>
                      <w:szCs w:val="21"/>
                      <w:vertAlign w:val="subscript"/>
                    </w:rPr>
                    <w:t>3</w:t>
                  </w:r>
                  <w:r>
                    <w:rPr>
                      <w:rFonts w:hint="eastAsia"/>
                      <w:color w:val="0000FF"/>
                      <w:szCs w:val="21"/>
                      <w:vertAlign w:val="superscript"/>
                    </w:rPr>
                    <w:t>-</w:t>
                  </w:r>
                  <w:r>
                    <w:rPr>
                      <w:rFonts w:hint="eastAsia"/>
                      <w:color w:val="0000FF"/>
                      <w:szCs w:val="21"/>
                    </w:rPr>
                    <w:t>、CO</w:t>
                  </w:r>
                  <w:r>
                    <w:rPr>
                      <w:rFonts w:hint="eastAsia"/>
                      <w:color w:val="0000FF"/>
                      <w:szCs w:val="21"/>
                      <w:vertAlign w:val="subscript"/>
                    </w:rPr>
                    <w:t>3</w:t>
                  </w:r>
                  <w:r>
                    <w:rPr>
                      <w:rFonts w:hint="eastAsia"/>
                      <w:color w:val="0000FF"/>
                      <w:szCs w:val="21"/>
                      <w:vertAlign w:val="superscript"/>
                    </w:rPr>
                    <w:t>2-</w:t>
                  </w:r>
                </w:p>
              </w:tc>
            </w:tr>
            <w:tr>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51" w:type="dxa"/>
                  <w:vAlign w:val="center"/>
                </w:tcPr>
                <w:p>
                  <w:pPr>
                    <w:jc w:val="center"/>
                    <w:rPr>
                      <w:color w:val="0000FF"/>
                      <w:szCs w:val="21"/>
                    </w:rPr>
                  </w:pPr>
                  <w:r>
                    <w:rPr>
                      <w:rFonts w:hint="eastAsia"/>
                      <w:color w:val="0000FF"/>
                      <w:szCs w:val="21"/>
                    </w:rPr>
                    <w:t>2#</w:t>
                  </w:r>
                </w:p>
              </w:tc>
              <w:tc>
                <w:tcPr>
                  <w:tcW w:w="1774" w:type="dxa"/>
                  <w:vAlign w:val="center"/>
                </w:tcPr>
                <w:p>
                  <w:pPr>
                    <w:jc w:val="center"/>
                    <w:rPr>
                      <w:color w:val="0000FF"/>
                      <w:szCs w:val="21"/>
                    </w:rPr>
                  </w:pPr>
                  <w:r>
                    <w:rPr>
                      <w:rFonts w:hint="eastAsia"/>
                      <w:color w:val="0000FF"/>
                      <w:szCs w:val="21"/>
                    </w:rPr>
                    <w:t>贺家川村民李兴坪家水源井</w:t>
                  </w:r>
                </w:p>
              </w:tc>
              <w:tc>
                <w:tcPr>
                  <w:tcW w:w="1885" w:type="dxa"/>
                  <w:vAlign w:val="center"/>
                </w:tcPr>
                <w:p>
                  <w:pPr>
                    <w:jc w:val="center"/>
                    <w:rPr>
                      <w:color w:val="0000FF"/>
                      <w:szCs w:val="21"/>
                    </w:rPr>
                  </w:pPr>
                  <w:r>
                    <w:rPr>
                      <w:rFonts w:hint="eastAsia"/>
                      <w:color w:val="0000FF"/>
                      <w:szCs w:val="21"/>
                    </w:rPr>
                    <w:t>西南侧3628m</w:t>
                  </w:r>
                </w:p>
              </w:tc>
              <w:tc>
                <w:tcPr>
                  <w:tcW w:w="3495" w:type="dxa"/>
                  <w:vMerge w:val="continue"/>
                  <w:vAlign w:val="center"/>
                </w:tcPr>
                <w:p>
                  <w:pPr>
                    <w:jc w:val="center"/>
                    <w:rPr>
                      <w:color w:val="0000FF"/>
                      <w:szCs w:val="21"/>
                    </w:rPr>
                  </w:pPr>
                </w:p>
              </w:tc>
            </w:tr>
          </w:tbl>
          <w:p>
            <w:pPr>
              <w:spacing w:line="360" w:lineRule="auto"/>
              <w:ind w:firstLine="480" w:firstLineChars="200"/>
              <w:rPr>
                <w:color w:val="0000FF"/>
                <w:sz w:val="24"/>
              </w:rPr>
            </w:pPr>
            <w:r>
              <w:rPr>
                <w:color w:val="0000FF"/>
                <w:sz w:val="24"/>
              </w:rPr>
              <w:t>（2）监测因子</w:t>
            </w:r>
          </w:p>
          <w:p>
            <w:pPr>
              <w:spacing w:line="360" w:lineRule="auto"/>
              <w:ind w:firstLine="480" w:firstLineChars="200"/>
              <w:rPr>
                <w:rFonts w:hint="eastAsia"/>
                <w:color w:val="0000FF"/>
                <w:sz w:val="24"/>
                <w:szCs w:val="21"/>
                <w:vertAlign w:val="superscript"/>
              </w:rPr>
            </w:pPr>
            <w:r>
              <w:rPr>
                <w:rFonts w:hint="eastAsia"/>
                <w:color w:val="0000FF"/>
                <w:sz w:val="24"/>
                <w:szCs w:val="21"/>
              </w:rPr>
              <w:t>PH值、总硬度、溶解性总固体、高锰酸钾指数、氨氮、硫酸盐（SO42-）、亚硝酸盐、硝酸盐、氯化物(Cl-)、挥发酚、氰化物、氟化物、汞、砷、镉、铅、铁、锰、铜、锌、K</w:t>
            </w:r>
            <w:r>
              <w:rPr>
                <w:rFonts w:hint="eastAsia"/>
                <w:color w:val="0000FF"/>
                <w:sz w:val="24"/>
                <w:szCs w:val="21"/>
                <w:vertAlign w:val="superscript"/>
              </w:rPr>
              <w:t>+</w:t>
            </w:r>
            <w:r>
              <w:rPr>
                <w:rFonts w:hint="eastAsia"/>
                <w:color w:val="0000FF"/>
                <w:sz w:val="24"/>
                <w:szCs w:val="21"/>
              </w:rPr>
              <w:t>、Na</w:t>
            </w:r>
            <w:r>
              <w:rPr>
                <w:rFonts w:hint="eastAsia"/>
                <w:color w:val="0000FF"/>
                <w:sz w:val="24"/>
                <w:szCs w:val="21"/>
                <w:vertAlign w:val="superscript"/>
              </w:rPr>
              <w:t>+</w:t>
            </w:r>
            <w:r>
              <w:rPr>
                <w:rFonts w:hint="eastAsia"/>
                <w:color w:val="0000FF"/>
                <w:sz w:val="24"/>
                <w:szCs w:val="21"/>
              </w:rPr>
              <w:t>、Ca</w:t>
            </w:r>
            <w:r>
              <w:rPr>
                <w:rFonts w:hint="eastAsia"/>
                <w:color w:val="0000FF"/>
                <w:sz w:val="24"/>
                <w:szCs w:val="21"/>
                <w:vertAlign w:val="superscript"/>
              </w:rPr>
              <w:t>2+</w:t>
            </w:r>
            <w:r>
              <w:rPr>
                <w:rFonts w:hint="eastAsia"/>
                <w:color w:val="0000FF"/>
                <w:sz w:val="24"/>
                <w:szCs w:val="21"/>
              </w:rPr>
              <w:t>、Mg</w:t>
            </w:r>
            <w:r>
              <w:rPr>
                <w:rFonts w:hint="eastAsia"/>
                <w:color w:val="0000FF"/>
                <w:sz w:val="24"/>
                <w:szCs w:val="21"/>
                <w:vertAlign w:val="superscript"/>
              </w:rPr>
              <w:t>2+</w:t>
            </w:r>
            <w:r>
              <w:rPr>
                <w:rFonts w:hint="eastAsia"/>
                <w:color w:val="0000FF"/>
                <w:sz w:val="24"/>
                <w:szCs w:val="21"/>
              </w:rPr>
              <w:t>、HCO</w:t>
            </w:r>
            <w:r>
              <w:rPr>
                <w:rFonts w:hint="eastAsia"/>
                <w:color w:val="0000FF"/>
                <w:sz w:val="24"/>
                <w:szCs w:val="21"/>
                <w:vertAlign w:val="subscript"/>
              </w:rPr>
              <w:t>3</w:t>
            </w:r>
            <w:r>
              <w:rPr>
                <w:rFonts w:hint="eastAsia"/>
                <w:color w:val="0000FF"/>
                <w:sz w:val="24"/>
                <w:szCs w:val="21"/>
                <w:vertAlign w:val="superscript"/>
              </w:rPr>
              <w:t>-</w:t>
            </w:r>
            <w:r>
              <w:rPr>
                <w:rFonts w:hint="eastAsia"/>
                <w:color w:val="0000FF"/>
                <w:sz w:val="24"/>
                <w:szCs w:val="21"/>
              </w:rPr>
              <w:t>、CO</w:t>
            </w:r>
            <w:r>
              <w:rPr>
                <w:rFonts w:hint="eastAsia"/>
                <w:color w:val="0000FF"/>
                <w:sz w:val="24"/>
                <w:szCs w:val="21"/>
                <w:vertAlign w:val="subscript"/>
              </w:rPr>
              <w:t>3</w:t>
            </w:r>
            <w:r>
              <w:rPr>
                <w:rFonts w:hint="eastAsia"/>
                <w:color w:val="0000FF"/>
                <w:sz w:val="24"/>
                <w:szCs w:val="21"/>
                <w:vertAlign w:val="superscript"/>
              </w:rPr>
              <w:t>2-</w:t>
            </w:r>
            <w:r>
              <w:rPr>
                <w:rFonts w:hint="eastAsia"/>
                <w:color w:val="0000FF"/>
                <w:sz w:val="24"/>
                <w:szCs w:val="21"/>
              </w:rPr>
              <w:t>。</w:t>
            </w:r>
          </w:p>
          <w:p>
            <w:pPr>
              <w:spacing w:line="360" w:lineRule="auto"/>
              <w:ind w:firstLine="480" w:firstLineChars="200"/>
              <w:rPr>
                <w:color w:val="0000FF"/>
                <w:sz w:val="24"/>
              </w:rPr>
            </w:pPr>
            <w:r>
              <w:rPr>
                <w:color w:val="0000FF"/>
                <w:sz w:val="24"/>
              </w:rPr>
              <w:t>（3）监测频率</w:t>
            </w:r>
          </w:p>
          <w:p>
            <w:pPr>
              <w:spacing w:line="360" w:lineRule="auto"/>
              <w:ind w:firstLine="480" w:firstLineChars="200"/>
              <w:rPr>
                <w:color w:val="0000FF"/>
                <w:sz w:val="24"/>
              </w:rPr>
            </w:pPr>
            <w:r>
              <w:rPr>
                <w:rFonts w:hint="eastAsia"/>
                <w:color w:val="0000FF"/>
                <w:sz w:val="24"/>
              </w:rPr>
              <w:t>018年9月5日~6日监测两天，每天一次。</w:t>
            </w:r>
          </w:p>
          <w:p>
            <w:pPr>
              <w:spacing w:line="360" w:lineRule="auto"/>
              <w:ind w:firstLine="480" w:firstLineChars="200"/>
              <w:rPr>
                <w:color w:val="0000FF"/>
                <w:sz w:val="24"/>
              </w:rPr>
            </w:pPr>
            <w:r>
              <w:rPr>
                <w:color w:val="0000FF"/>
                <w:sz w:val="24"/>
              </w:rPr>
              <w:t>（4）监测、分析方法</w:t>
            </w:r>
          </w:p>
          <w:p>
            <w:pPr>
              <w:spacing w:line="360" w:lineRule="auto"/>
              <w:ind w:firstLine="480" w:firstLineChars="200"/>
              <w:rPr>
                <w:color w:val="0000FF"/>
                <w:sz w:val="24"/>
              </w:rPr>
            </w:pPr>
            <w:r>
              <w:rPr>
                <w:color w:val="0000FF"/>
                <w:sz w:val="24"/>
              </w:rPr>
              <w:t>监测、分析方法按《地下水环境监测技术规范》和《生活饮用水标准检验方法》进行。</w:t>
            </w:r>
          </w:p>
          <w:p>
            <w:pPr>
              <w:spacing w:line="360" w:lineRule="auto"/>
              <w:ind w:firstLine="480" w:firstLineChars="200"/>
              <w:rPr>
                <w:color w:val="0000FF"/>
                <w:sz w:val="24"/>
              </w:rPr>
            </w:pPr>
            <w:r>
              <w:rPr>
                <w:color w:val="0000FF"/>
                <w:sz w:val="24"/>
              </w:rPr>
              <w:t>（5）监测结果</w:t>
            </w:r>
          </w:p>
          <w:p>
            <w:pPr>
              <w:spacing w:line="360" w:lineRule="auto"/>
              <w:ind w:firstLine="480" w:firstLineChars="200"/>
              <w:rPr>
                <w:rFonts w:hint="eastAsia"/>
                <w:color w:val="0000FF"/>
                <w:sz w:val="24"/>
              </w:rPr>
            </w:pPr>
            <w:r>
              <w:rPr>
                <w:color w:val="0000FF"/>
                <w:sz w:val="24"/>
              </w:rPr>
              <w:t>检测结果见表</w:t>
            </w:r>
            <w:r>
              <w:rPr>
                <w:rFonts w:hint="eastAsia"/>
                <w:color w:val="0000FF"/>
                <w:sz w:val="24"/>
              </w:rPr>
              <w:t>9。</w:t>
            </w:r>
          </w:p>
          <w:p>
            <w:pPr>
              <w:autoSpaceDE w:val="0"/>
              <w:autoSpaceDN w:val="0"/>
              <w:adjustRightInd w:val="0"/>
              <w:spacing w:line="360" w:lineRule="auto"/>
              <w:ind w:firstLine="480" w:firstLineChars="200"/>
              <w:jc w:val="center"/>
              <w:textAlignment w:val="bottom"/>
              <w:rPr>
                <w:rFonts w:hint="eastAsia"/>
                <w:color w:val="0000FF"/>
                <w:sz w:val="32"/>
                <w:szCs w:val="22"/>
              </w:rPr>
            </w:pPr>
            <w:r>
              <w:rPr>
                <w:b/>
                <w:bCs/>
                <w:color w:val="0000FF"/>
                <w:sz w:val="24"/>
              </w:rPr>
              <w:t>表</w:t>
            </w:r>
            <w:r>
              <w:rPr>
                <w:rFonts w:hint="eastAsia"/>
                <w:b/>
                <w:bCs/>
                <w:color w:val="0000FF"/>
                <w:sz w:val="24"/>
              </w:rPr>
              <w:t>9</w:t>
            </w:r>
            <w:r>
              <w:rPr>
                <w:b/>
                <w:bCs/>
                <w:color w:val="0000FF"/>
                <w:sz w:val="24"/>
              </w:rPr>
              <w:t xml:space="preserve">  地下水监测结果与分析一览表单位：mg/L</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598"/>
              <w:gridCol w:w="1198"/>
              <w:gridCol w:w="1332"/>
              <w:gridCol w:w="1308"/>
              <w:gridCol w:w="1370"/>
              <w:gridCol w:w="7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点位</w:t>
                  </w:r>
                </w:p>
              </w:tc>
              <w:tc>
                <w:tcPr>
                  <w:tcW w:w="7538" w:type="dxa"/>
                  <w:gridSpan w:val="6"/>
                  <w:vAlign w:val="center"/>
                </w:tcPr>
                <w:p>
                  <w:pPr>
                    <w:spacing w:line="240" w:lineRule="atLeast"/>
                    <w:jc w:val="center"/>
                    <w:rPr>
                      <w:color w:val="0000FF"/>
                      <w:szCs w:val="21"/>
                    </w:rPr>
                  </w:pPr>
                  <w:r>
                    <w:rPr>
                      <w:rFonts w:hint="eastAsia"/>
                      <w:color w:val="0000FF"/>
                      <w:szCs w:val="21"/>
                    </w:rPr>
                    <w:t>1#监测点位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序号</w:t>
                  </w:r>
                </w:p>
              </w:tc>
              <w:tc>
                <w:tcPr>
                  <w:tcW w:w="1598" w:type="dxa"/>
                  <w:vAlign w:val="center"/>
                </w:tcPr>
                <w:p>
                  <w:pPr>
                    <w:spacing w:line="240" w:lineRule="atLeast"/>
                    <w:jc w:val="center"/>
                    <w:rPr>
                      <w:color w:val="0000FF"/>
                      <w:szCs w:val="21"/>
                    </w:rPr>
                  </w:pPr>
                  <w:r>
                    <w:rPr>
                      <w:color w:val="0000FF"/>
                      <w:szCs w:val="21"/>
                    </w:rPr>
                    <w:t>项目</w:t>
                  </w:r>
                </w:p>
              </w:tc>
              <w:tc>
                <w:tcPr>
                  <w:tcW w:w="1198" w:type="dxa"/>
                  <w:vAlign w:val="center"/>
                </w:tcPr>
                <w:p>
                  <w:pPr>
                    <w:spacing w:line="240" w:lineRule="atLeast"/>
                    <w:jc w:val="center"/>
                    <w:rPr>
                      <w:color w:val="0000FF"/>
                      <w:szCs w:val="21"/>
                    </w:rPr>
                  </w:pPr>
                  <w:r>
                    <w:rPr>
                      <w:rFonts w:hint="eastAsia"/>
                      <w:color w:val="0000FF"/>
                      <w:szCs w:val="21"/>
                    </w:rPr>
                    <w:t>9</w:t>
                  </w:r>
                  <w:r>
                    <w:rPr>
                      <w:color w:val="0000FF"/>
                      <w:szCs w:val="21"/>
                    </w:rPr>
                    <w:t>月</w:t>
                  </w:r>
                  <w:r>
                    <w:rPr>
                      <w:rFonts w:hint="eastAsia"/>
                      <w:color w:val="0000FF"/>
                      <w:szCs w:val="21"/>
                    </w:rPr>
                    <w:t>5</w:t>
                  </w:r>
                  <w:r>
                    <w:rPr>
                      <w:color w:val="0000FF"/>
                      <w:szCs w:val="21"/>
                    </w:rPr>
                    <w:t>日（mg/L）</w:t>
                  </w:r>
                </w:p>
              </w:tc>
              <w:tc>
                <w:tcPr>
                  <w:tcW w:w="1332" w:type="dxa"/>
                  <w:vAlign w:val="center"/>
                </w:tcPr>
                <w:p>
                  <w:pPr>
                    <w:spacing w:line="240" w:lineRule="atLeast"/>
                    <w:jc w:val="center"/>
                    <w:rPr>
                      <w:color w:val="0000FF"/>
                      <w:szCs w:val="21"/>
                    </w:rPr>
                  </w:pPr>
                  <w:r>
                    <w:rPr>
                      <w:rFonts w:hint="eastAsia"/>
                      <w:color w:val="0000FF"/>
                      <w:szCs w:val="21"/>
                    </w:rPr>
                    <w:t>9</w:t>
                  </w:r>
                  <w:r>
                    <w:rPr>
                      <w:color w:val="0000FF"/>
                      <w:szCs w:val="21"/>
                    </w:rPr>
                    <w:t>月</w:t>
                  </w:r>
                  <w:r>
                    <w:rPr>
                      <w:rFonts w:hint="eastAsia"/>
                      <w:color w:val="0000FF"/>
                      <w:szCs w:val="21"/>
                    </w:rPr>
                    <w:t>6</w:t>
                  </w:r>
                  <w:r>
                    <w:rPr>
                      <w:color w:val="0000FF"/>
                      <w:szCs w:val="21"/>
                    </w:rPr>
                    <w:t>日（mg/L）</w:t>
                  </w:r>
                </w:p>
              </w:tc>
              <w:tc>
                <w:tcPr>
                  <w:tcW w:w="1308" w:type="dxa"/>
                  <w:vAlign w:val="center"/>
                </w:tcPr>
                <w:p>
                  <w:pPr>
                    <w:spacing w:line="240" w:lineRule="atLeast"/>
                    <w:jc w:val="center"/>
                    <w:rPr>
                      <w:color w:val="0000FF"/>
                      <w:szCs w:val="21"/>
                    </w:rPr>
                  </w:pPr>
                  <w:r>
                    <w:rPr>
                      <w:color w:val="0000FF"/>
                      <w:szCs w:val="21"/>
                    </w:rPr>
                    <w:t>标准（mg/L）</w:t>
                  </w:r>
                </w:p>
              </w:tc>
              <w:tc>
                <w:tcPr>
                  <w:tcW w:w="1370" w:type="dxa"/>
                  <w:vAlign w:val="center"/>
                </w:tcPr>
                <w:p>
                  <w:pPr>
                    <w:spacing w:line="240" w:lineRule="atLeast"/>
                    <w:jc w:val="center"/>
                    <w:rPr>
                      <w:color w:val="0000FF"/>
                      <w:szCs w:val="21"/>
                    </w:rPr>
                  </w:pPr>
                  <w:r>
                    <w:rPr>
                      <w:rFonts w:hint="eastAsia"/>
                      <w:color w:val="0000FF"/>
                      <w:szCs w:val="21"/>
                    </w:rPr>
                    <w:t>单因子指数</w:t>
                  </w:r>
                </w:p>
              </w:tc>
              <w:tc>
                <w:tcPr>
                  <w:tcW w:w="732" w:type="dxa"/>
                  <w:vAlign w:val="center"/>
                </w:tcPr>
                <w:p>
                  <w:pPr>
                    <w:spacing w:line="240" w:lineRule="atLeast"/>
                    <w:jc w:val="center"/>
                    <w:rPr>
                      <w:color w:val="0000FF"/>
                      <w:szCs w:val="21"/>
                    </w:rPr>
                  </w:pPr>
                  <w:r>
                    <w:rPr>
                      <w:color w:val="0000FF"/>
                      <w:szCs w:val="21"/>
                    </w:rPr>
                    <w:t>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w:t>
                  </w:r>
                </w:p>
              </w:tc>
              <w:tc>
                <w:tcPr>
                  <w:tcW w:w="1598" w:type="dxa"/>
                  <w:vAlign w:val="center"/>
                </w:tcPr>
                <w:p>
                  <w:pPr>
                    <w:jc w:val="center"/>
                    <w:rPr>
                      <w:color w:val="0000FF"/>
                      <w:sz w:val="22"/>
                      <w:szCs w:val="21"/>
                    </w:rPr>
                  </w:pPr>
                  <w:r>
                    <w:rPr>
                      <w:rFonts w:hint="eastAsia" w:ascii="宋体" w:hAnsi="宋体" w:cs="仿宋"/>
                      <w:color w:val="0000FF"/>
                      <w:szCs w:val="21"/>
                    </w:rPr>
                    <w:t>pH</w:t>
                  </w:r>
                </w:p>
              </w:tc>
              <w:tc>
                <w:tcPr>
                  <w:tcW w:w="1198" w:type="dxa"/>
                  <w:vAlign w:val="center"/>
                </w:tcPr>
                <w:p>
                  <w:pPr>
                    <w:jc w:val="center"/>
                    <w:rPr>
                      <w:color w:val="0000FF"/>
                      <w:sz w:val="22"/>
                      <w:szCs w:val="21"/>
                    </w:rPr>
                  </w:pPr>
                  <w:r>
                    <w:rPr>
                      <w:rFonts w:hint="eastAsia"/>
                      <w:color w:val="0000FF"/>
                      <w:sz w:val="22"/>
                      <w:szCs w:val="21"/>
                    </w:rPr>
                    <w:t>7.28</w:t>
                  </w:r>
                </w:p>
              </w:tc>
              <w:tc>
                <w:tcPr>
                  <w:tcW w:w="1332" w:type="dxa"/>
                  <w:vAlign w:val="center"/>
                </w:tcPr>
                <w:p>
                  <w:pPr>
                    <w:jc w:val="center"/>
                    <w:rPr>
                      <w:color w:val="0000FF"/>
                      <w:sz w:val="22"/>
                      <w:szCs w:val="21"/>
                    </w:rPr>
                  </w:pPr>
                  <w:r>
                    <w:rPr>
                      <w:rFonts w:hint="eastAsia"/>
                      <w:color w:val="0000FF"/>
                      <w:sz w:val="22"/>
                      <w:szCs w:val="21"/>
                    </w:rPr>
                    <w:t>7.25</w:t>
                  </w:r>
                </w:p>
              </w:tc>
              <w:tc>
                <w:tcPr>
                  <w:tcW w:w="1308" w:type="dxa"/>
                  <w:vAlign w:val="center"/>
                </w:tcPr>
                <w:p>
                  <w:pPr>
                    <w:jc w:val="center"/>
                    <w:rPr>
                      <w:color w:val="0000FF"/>
                      <w:sz w:val="22"/>
                      <w:szCs w:val="21"/>
                    </w:rPr>
                  </w:pPr>
                  <w:r>
                    <w:rPr>
                      <w:rFonts w:hint="eastAsia"/>
                      <w:color w:val="0000FF"/>
                      <w:sz w:val="22"/>
                      <w:szCs w:val="21"/>
                    </w:rPr>
                    <w:t>6.5～8.5</w:t>
                  </w:r>
                </w:p>
              </w:tc>
              <w:tc>
                <w:tcPr>
                  <w:tcW w:w="1370" w:type="dxa"/>
                  <w:vAlign w:val="center"/>
                </w:tcPr>
                <w:p>
                  <w:pPr>
                    <w:spacing w:line="240" w:lineRule="atLeast"/>
                    <w:jc w:val="center"/>
                    <w:rPr>
                      <w:color w:val="0000FF"/>
                      <w:szCs w:val="21"/>
                    </w:rPr>
                  </w:pPr>
                  <w:r>
                    <w:rPr>
                      <w:rFonts w:hint="eastAsia"/>
                      <w:color w:val="0000FF"/>
                      <w:szCs w:val="21"/>
                    </w:rPr>
                    <w:t>0.2~0.23</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w:t>
                  </w:r>
                </w:p>
              </w:tc>
              <w:tc>
                <w:tcPr>
                  <w:tcW w:w="1598" w:type="dxa"/>
                  <w:vAlign w:val="center"/>
                </w:tcPr>
                <w:p>
                  <w:pPr>
                    <w:jc w:val="center"/>
                    <w:rPr>
                      <w:color w:val="0000FF"/>
                      <w:sz w:val="22"/>
                      <w:szCs w:val="21"/>
                    </w:rPr>
                  </w:pPr>
                  <w:r>
                    <w:rPr>
                      <w:rFonts w:hint="eastAsia" w:ascii="宋体" w:hAnsi="宋体" w:cs="仿宋"/>
                      <w:color w:val="0000FF"/>
                      <w:szCs w:val="21"/>
                    </w:rPr>
                    <w:t>总硬度</w:t>
                  </w:r>
                </w:p>
              </w:tc>
              <w:tc>
                <w:tcPr>
                  <w:tcW w:w="1198" w:type="dxa"/>
                  <w:vAlign w:val="center"/>
                </w:tcPr>
                <w:p>
                  <w:pPr>
                    <w:jc w:val="center"/>
                    <w:rPr>
                      <w:color w:val="0000FF"/>
                      <w:sz w:val="22"/>
                      <w:szCs w:val="21"/>
                    </w:rPr>
                  </w:pPr>
                  <w:r>
                    <w:rPr>
                      <w:rFonts w:hint="eastAsia"/>
                      <w:color w:val="0000FF"/>
                      <w:sz w:val="22"/>
                      <w:szCs w:val="21"/>
                    </w:rPr>
                    <w:t>416</w:t>
                  </w:r>
                </w:p>
              </w:tc>
              <w:tc>
                <w:tcPr>
                  <w:tcW w:w="1332" w:type="dxa"/>
                  <w:vAlign w:val="center"/>
                </w:tcPr>
                <w:p>
                  <w:pPr>
                    <w:jc w:val="center"/>
                    <w:rPr>
                      <w:color w:val="0000FF"/>
                      <w:sz w:val="22"/>
                      <w:szCs w:val="21"/>
                    </w:rPr>
                  </w:pPr>
                  <w:r>
                    <w:rPr>
                      <w:rFonts w:hint="eastAsia"/>
                      <w:color w:val="0000FF"/>
                      <w:sz w:val="22"/>
                      <w:szCs w:val="21"/>
                    </w:rPr>
                    <w:t>455</w:t>
                  </w:r>
                </w:p>
              </w:tc>
              <w:tc>
                <w:tcPr>
                  <w:tcW w:w="1308" w:type="dxa"/>
                  <w:vAlign w:val="center"/>
                </w:tcPr>
                <w:p>
                  <w:pPr>
                    <w:jc w:val="center"/>
                    <w:rPr>
                      <w:color w:val="0000FF"/>
                      <w:sz w:val="22"/>
                      <w:szCs w:val="21"/>
                    </w:rPr>
                  </w:pPr>
                  <w:r>
                    <w:rPr>
                      <w:rFonts w:hint="eastAsia"/>
                      <w:color w:val="0000FF"/>
                      <w:sz w:val="22"/>
                      <w:szCs w:val="21"/>
                    </w:rPr>
                    <w:t>≤450</w:t>
                  </w:r>
                </w:p>
              </w:tc>
              <w:tc>
                <w:tcPr>
                  <w:tcW w:w="1370" w:type="dxa"/>
                  <w:vAlign w:val="center"/>
                </w:tcPr>
                <w:p>
                  <w:pPr>
                    <w:jc w:val="center"/>
                    <w:rPr>
                      <w:color w:val="0000FF"/>
                      <w:szCs w:val="21"/>
                    </w:rPr>
                  </w:pPr>
                  <w:r>
                    <w:rPr>
                      <w:color w:val="0000FF"/>
                      <w:szCs w:val="21"/>
                    </w:rPr>
                    <w:t>0.2~0.23</w:t>
                  </w:r>
                </w:p>
              </w:tc>
              <w:tc>
                <w:tcPr>
                  <w:tcW w:w="732" w:type="dxa"/>
                  <w:vAlign w:val="center"/>
                </w:tcPr>
                <w:p>
                  <w:pPr>
                    <w:spacing w:line="240" w:lineRule="atLeast"/>
                    <w:jc w:val="center"/>
                    <w:rPr>
                      <w:color w:val="0000FF"/>
                      <w:szCs w:val="21"/>
                    </w:rPr>
                  </w:pPr>
                  <w:r>
                    <w:rPr>
                      <w:rFonts w:hint="eastAsia"/>
                      <w:color w:val="0000FF"/>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3</w:t>
                  </w:r>
                </w:p>
              </w:tc>
              <w:tc>
                <w:tcPr>
                  <w:tcW w:w="1598" w:type="dxa"/>
                  <w:vAlign w:val="center"/>
                </w:tcPr>
                <w:p>
                  <w:pPr>
                    <w:jc w:val="center"/>
                    <w:rPr>
                      <w:color w:val="0000FF"/>
                      <w:sz w:val="22"/>
                      <w:szCs w:val="21"/>
                    </w:rPr>
                  </w:pPr>
                  <w:r>
                    <w:rPr>
                      <w:rFonts w:hint="eastAsia" w:ascii="宋体" w:hAnsi="宋体" w:cs="仿宋"/>
                      <w:color w:val="0000FF"/>
                      <w:szCs w:val="21"/>
                    </w:rPr>
                    <w:t>氨氮</w:t>
                  </w:r>
                </w:p>
              </w:tc>
              <w:tc>
                <w:tcPr>
                  <w:tcW w:w="1198" w:type="dxa"/>
                  <w:vAlign w:val="center"/>
                </w:tcPr>
                <w:p>
                  <w:pPr>
                    <w:jc w:val="center"/>
                    <w:rPr>
                      <w:color w:val="0000FF"/>
                      <w:sz w:val="22"/>
                      <w:szCs w:val="21"/>
                    </w:rPr>
                  </w:pPr>
                  <w:r>
                    <w:rPr>
                      <w:rFonts w:hint="eastAsia"/>
                      <w:color w:val="0000FF"/>
                      <w:sz w:val="22"/>
                      <w:szCs w:val="21"/>
                    </w:rPr>
                    <w:t>0.160</w:t>
                  </w:r>
                </w:p>
              </w:tc>
              <w:tc>
                <w:tcPr>
                  <w:tcW w:w="1332" w:type="dxa"/>
                  <w:vAlign w:val="center"/>
                </w:tcPr>
                <w:p>
                  <w:pPr>
                    <w:jc w:val="center"/>
                    <w:rPr>
                      <w:color w:val="0000FF"/>
                      <w:sz w:val="22"/>
                      <w:szCs w:val="21"/>
                    </w:rPr>
                  </w:pPr>
                  <w:r>
                    <w:rPr>
                      <w:rFonts w:hint="eastAsia"/>
                      <w:color w:val="0000FF"/>
                      <w:sz w:val="22"/>
                      <w:szCs w:val="21"/>
                    </w:rPr>
                    <w:t>0.278</w:t>
                  </w:r>
                </w:p>
              </w:tc>
              <w:tc>
                <w:tcPr>
                  <w:tcW w:w="1308" w:type="dxa"/>
                  <w:vAlign w:val="center"/>
                </w:tcPr>
                <w:p>
                  <w:pPr>
                    <w:jc w:val="center"/>
                    <w:rPr>
                      <w:color w:val="0000FF"/>
                      <w:sz w:val="22"/>
                      <w:szCs w:val="21"/>
                    </w:rPr>
                  </w:pPr>
                  <w:r>
                    <w:rPr>
                      <w:rFonts w:hint="eastAsia"/>
                      <w:color w:val="0000FF"/>
                      <w:sz w:val="22"/>
                      <w:szCs w:val="21"/>
                    </w:rPr>
                    <w:t>≤0.5</w:t>
                  </w:r>
                </w:p>
              </w:tc>
              <w:tc>
                <w:tcPr>
                  <w:tcW w:w="1370" w:type="dxa"/>
                  <w:vAlign w:val="center"/>
                </w:tcPr>
                <w:p>
                  <w:pPr>
                    <w:jc w:val="center"/>
                    <w:rPr>
                      <w:color w:val="0000FF"/>
                      <w:szCs w:val="21"/>
                    </w:rPr>
                  </w:pPr>
                  <w:r>
                    <w:rPr>
                      <w:color w:val="0000FF"/>
                      <w:szCs w:val="21"/>
                    </w:rPr>
                    <w:t>0.92~1.01</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4</w:t>
                  </w:r>
                </w:p>
              </w:tc>
              <w:tc>
                <w:tcPr>
                  <w:tcW w:w="1598" w:type="dxa"/>
                  <w:vAlign w:val="center"/>
                </w:tcPr>
                <w:p>
                  <w:pPr>
                    <w:jc w:val="center"/>
                    <w:rPr>
                      <w:color w:val="0000FF"/>
                      <w:sz w:val="22"/>
                      <w:szCs w:val="21"/>
                    </w:rPr>
                  </w:pPr>
                  <w:r>
                    <w:rPr>
                      <w:rFonts w:hint="eastAsia" w:ascii="宋体" w:hAnsi="宋体" w:cs="仿宋"/>
                      <w:color w:val="0000FF"/>
                      <w:szCs w:val="21"/>
                    </w:rPr>
                    <w:t>溶解性总固体</w:t>
                  </w:r>
                </w:p>
              </w:tc>
              <w:tc>
                <w:tcPr>
                  <w:tcW w:w="1198" w:type="dxa"/>
                  <w:vAlign w:val="center"/>
                </w:tcPr>
                <w:p>
                  <w:pPr>
                    <w:jc w:val="center"/>
                    <w:rPr>
                      <w:color w:val="0000FF"/>
                      <w:sz w:val="22"/>
                      <w:szCs w:val="21"/>
                    </w:rPr>
                  </w:pPr>
                  <w:r>
                    <w:rPr>
                      <w:rFonts w:hint="eastAsia"/>
                      <w:color w:val="0000FF"/>
                      <w:sz w:val="22"/>
                      <w:szCs w:val="21"/>
                    </w:rPr>
                    <w:t>822</w:t>
                  </w:r>
                </w:p>
              </w:tc>
              <w:tc>
                <w:tcPr>
                  <w:tcW w:w="1332" w:type="dxa"/>
                  <w:vAlign w:val="center"/>
                </w:tcPr>
                <w:p>
                  <w:pPr>
                    <w:jc w:val="center"/>
                    <w:rPr>
                      <w:color w:val="0000FF"/>
                      <w:sz w:val="22"/>
                      <w:szCs w:val="21"/>
                    </w:rPr>
                  </w:pPr>
                  <w:r>
                    <w:rPr>
                      <w:rFonts w:hint="eastAsia"/>
                      <w:color w:val="0000FF"/>
                      <w:sz w:val="22"/>
                      <w:szCs w:val="21"/>
                    </w:rPr>
                    <w:t>852</w:t>
                  </w:r>
                </w:p>
              </w:tc>
              <w:tc>
                <w:tcPr>
                  <w:tcW w:w="1308" w:type="dxa"/>
                  <w:vAlign w:val="center"/>
                </w:tcPr>
                <w:p>
                  <w:pPr>
                    <w:jc w:val="center"/>
                    <w:rPr>
                      <w:color w:val="0000FF"/>
                      <w:sz w:val="22"/>
                      <w:szCs w:val="21"/>
                    </w:rPr>
                  </w:pPr>
                  <w:r>
                    <w:rPr>
                      <w:rFonts w:hint="eastAsia"/>
                      <w:color w:val="0000FF"/>
                      <w:sz w:val="22"/>
                      <w:szCs w:val="21"/>
                    </w:rPr>
                    <w:t>≤1000</w:t>
                  </w:r>
                </w:p>
              </w:tc>
              <w:tc>
                <w:tcPr>
                  <w:tcW w:w="1370" w:type="dxa"/>
                  <w:vAlign w:val="center"/>
                </w:tcPr>
                <w:p>
                  <w:pPr>
                    <w:jc w:val="center"/>
                    <w:rPr>
                      <w:color w:val="0000FF"/>
                      <w:szCs w:val="21"/>
                    </w:rPr>
                  </w:pPr>
                  <w:r>
                    <w:rPr>
                      <w:color w:val="0000FF"/>
                      <w:szCs w:val="21"/>
                    </w:rPr>
                    <w:t>0.32~0.56</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cr/>
                  </w:r>
                  <w:r>
                    <w:rPr>
                      <w:rFonts w:hint="eastAsia"/>
                      <w:color w:val="0000FF"/>
                      <w:szCs w:val="21"/>
                    </w:rPr>
                    <w:t>5</w:t>
                  </w:r>
                </w:p>
              </w:tc>
              <w:tc>
                <w:tcPr>
                  <w:tcW w:w="1598" w:type="dxa"/>
                  <w:vAlign w:val="center"/>
                </w:tcPr>
                <w:p>
                  <w:pPr>
                    <w:jc w:val="center"/>
                    <w:rPr>
                      <w:color w:val="0000FF"/>
                      <w:sz w:val="22"/>
                      <w:szCs w:val="21"/>
                    </w:rPr>
                  </w:pPr>
                  <w:r>
                    <w:rPr>
                      <w:rFonts w:hint="eastAsia" w:ascii="宋体" w:hAnsi="宋体" w:cs="仿宋"/>
                      <w:color w:val="0000FF"/>
                      <w:szCs w:val="21"/>
                    </w:rPr>
                    <w:t>挥发酚</w:t>
                  </w:r>
                </w:p>
              </w:tc>
              <w:tc>
                <w:tcPr>
                  <w:tcW w:w="1198" w:type="dxa"/>
                  <w:vAlign w:val="center"/>
                </w:tcPr>
                <w:p>
                  <w:pPr>
                    <w:jc w:val="center"/>
                    <w:rPr>
                      <w:color w:val="0000FF"/>
                      <w:sz w:val="22"/>
                      <w:szCs w:val="21"/>
                    </w:rPr>
                  </w:pPr>
                  <w:r>
                    <w:rPr>
                      <w:rFonts w:hint="eastAsia"/>
                      <w:color w:val="0000FF"/>
                      <w:sz w:val="22"/>
                      <w:szCs w:val="21"/>
                    </w:rPr>
                    <w:t>0.0003L</w:t>
                  </w:r>
                </w:p>
              </w:tc>
              <w:tc>
                <w:tcPr>
                  <w:tcW w:w="1332" w:type="dxa"/>
                  <w:vAlign w:val="center"/>
                </w:tcPr>
                <w:p>
                  <w:pPr>
                    <w:jc w:val="center"/>
                    <w:rPr>
                      <w:color w:val="0000FF"/>
                      <w:sz w:val="22"/>
                      <w:szCs w:val="21"/>
                    </w:rPr>
                  </w:pPr>
                  <w:r>
                    <w:rPr>
                      <w:rFonts w:hint="eastAsia"/>
                      <w:color w:val="0000FF"/>
                      <w:sz w:val="22"/>
                      <w:szCs w:val="21"/>
                    </w:rPr>
                    <w:t>0.0003L</w:t>
                  </w:r>
                </w:p>
              </w:tc>
              <w:tc>
                <w:tcPr>
                  <w:tcW w:w="1308" w:type="dxa"/>
                  <w:vAlign w:val="center"/>
                </w:tcPr>
                <w:p>
                  <w:pPr>
                    <w:jc w:val="center"/>
                    <w:rPr>
                      <w:color w:val="0000FF"/>
                      <w:sz w:val="22"/>
                      <w:szCs w:val="21"/>
                    </w:rPr>
                  </w:pPr>
                  <w:r>
                    <w:rPr>
                      <w:rFonts w:hint="eastAsia"/>
                      <w:color w:val="0000FF"/>
                      <w:sz w:val="22"/>
                      <w:szCs w:val="21"/>
                    </w:rPr>
                    <w:t>≤0.002</w:t>
                  </w:r>
                </w:p>
              </w:tc>
              <w:tc>
                <w:tcPr>
                  <w:tcW w:w="1370" w:type="dxa"/>
                  <w:vAlign w:val="center"/>
                </w:tcPr>
                <w:p>
                  <w:pPr>
                    <w:jc w:val="center"/>
                    <w:rPr>
                      <w:color w:val="0000FF"/>
                      <w:szCs w:val="21"/>
                    </w:rPr>
                  </w:pPr>
                  <w:r>
                    <w:rPr>
                      <w:color w:val="0000FF"/>
                      <w:szCs w:val="21"/>
                    </w:rPr>
                    <w:t>0.82~0.85</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6</w:t>
                  </w:r>
                </w:p>
              </w:tc>
              <w:tc>
                <w:tcPr>
                  <w:tcW w:w="1598" w:type="dxa"/>
                  <w:vAlign w:val="center"/>
                </w:tcPr>
                <w:p>
                  <w:pPr>
                    <w:jc w:val="center"/>
                    <w:rPr>
                      <w:color w:val="0000FF"/>
                      <w:sz w:val="22"/>
                      <w:szCs w:val="21"/>
                    </w:rPr>
                  </w:pPr>
                  <w:r>
                    <w:rPr>
                      <w:rFonts w:hint="eastAsia" w:ascii="宋体" w:hAnsi="宋体" w:cs="仿宋"/>
                      <w:color w:val="0000FF"/>
                      <w:szCs w:val="21"/>
                    </w:rPr>
                    <w:t>氰化物</w:t>
                  </w:r>
                </w:p>
              </w:tc>
              <w:tc>
                <w:tcPr>
                  <w:tcW w:w="1198" w:type="dxa"/>
                  <w:vAlign w:val="center"/>
                </w:tcPr>
                <w:p>
                  <w:pPr>
                    <w:jc w:val="center"/>
                    <w:rPr>
                      <w:color w:val="0000FF"/>
                      <w:sz w:val="22"/>
                      <w:szCs w:val="21"/>
                    </w:rPr>
                  </w:pPr>
                  <w:r>
                    <w:rPr>
                      <w:rFonts w:hint="eastAsia"/>
                      <w:color w:val="0000FF"/>
                      <w:sz w:val="22"/>
                      <w:szCs w:val="21"/>
                    </w:rPr>
                    <w:t>0.004L</w:t>
                  </w:r>
                </w:p>
              </w:tc>
              <w:tc>
                <w:tcPr>
                  <w:tcW w:w="1332" w:type="dxa"/>
                  <w:vAlign w:val="center"/>
                </w:tcPr>
                <w:p>
                  <w:pPr>
                    <w:jc w:val="center"/>
                    <w:rPr>
                      <w:color w:val="0000FF"/>
                      <w:sz w:val="22"/>
                      <w:szCs w:val="21"/>
                    </w:rPr>
                  </w:pPr>
                  <w:r>
                    <w:rPr>
                      <w:rFonts w:hint="eastAsia"/>
                      <w:color w:val="0000FF"/>
                      <w:sz w:val="22"/>
                      <w:szCs w:val="21"/>
                    </w:rPr>
                    <w:t>0.004L</w:t>
                  </w:r>
                </w:p>
              </w:tc>
              <w:tc>
                <w:tcPr>
                  <w:tcW w:w="1308" w:type="dxa"/>
                  <w:vAlign w:val="center"/>
                </w:tcPr>
                <w:p>
                  <w:pPr>
                    <w:jc w:val="center"/>
                    <w:rPr>
                      <w:color w:val="0000FF"/>
                      <w:sz w:val="22"/>
                      <w:szCs w:val="21"/>
                    </w:rPr>
                  </w:pPr>
                  <w:r>
                    <w:rPr>
                      <w:rFonts w:hint="eastAsia"/>
                      <w:color w:val="0000FF"/>
                      <w:sz w:val="22"/>
                      <w:szCs w:val="21"/>
                    </w:rPr>
                    <w:t>≤0.05</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7</w:t>
                  </w:r>
                </w:p>
              </w:tc>
              <w:tc>
                <w:tcPr>
                  <w:tcW w:w="1598" w:type="dxa"/>
                  <w:vAlign w:val="center"/>
                </w:tcPr>
                <w:p>
                  <w:pPr>
                    <w:jc w:val="center"/>
                    <w:rPr>
                      <w:color w:val="0000FF"/>
                      <w:sz w:val="22"/>
                      <w:szCs w:val="21"/>
                    </w:rPr>
                  </w:pPr>
                  <w:r>
                    <w:rPr>
                      <w:rFonts w:hint="eastAsia" w:ascii="宋体" w:hAnsi="宋体" w:cs="仿宋"/>
                      <w:color w:val="0000FF"/>
                      <w:szCs w:val="21"/>
                    </w:rPr>
                    <w:t>氟化物</w:t>
                  </w:r>
                </w:p>
              </w:tc>
              <w:tc>
                <w:tcPr>
                  <w:tcW w:w="1198" w:type="dxa"/>
                  <w:vAlign w:val="center"/>
                </w:tcPr>
                <w:p>
                  <w:pPr>
                    <w:jc w:val="center"/>
                    <w:rPr>
                      <w:color w:val="0000FF"/>
                      <w:sz w:val="22"/>
                      <w:szCs w:val="21"/>
                    </w:rPr>
                  </w:pPr>
                  <w:r>
                    <w:rPr>
                      <w:rFonts w:hint="eastAsia"/>
                      <w:color w:val="0000FF"/>
                      <w:sz w:val="22"/>
                      <w:szCs w:val="21"/>
                    </w:rPr>
                    <w:t>0.237</w:t>
                  </w:r>
                </w:p>
              </w:tc>
              <w:tc>
                <w:tcPr>
                  <w:tcW w:w="1332" w:type="dxa"/>
                  <w:vAlign w:val="center"/>
                </w:tcPr>
                <w:p>
                  <w:pPr>
                    <w:jc w:val="center"/>
                    <w:rPr>
                      <w:color w:val="0000FF"/>
                      <w:sz w:val="22"/>
                      <w:szCs w:val="21"/>
                    </w:rPr>
                  </w:pPr>
                  <w:r>
                    <w:rPr>
                      <w:rFonts w:hint="eastAsia"/>
                      <w:color w:val="0000FF"/>
                      <w:sz w:val="22"/>
                      <w:szCs w:val="21"/>
                    </w:rPr>
                    <w:t>0.261</w:t>
                  </w:r>
                </w:p>
              </w:tc>
              <w:tc>
                <w:tcPr>
                  <w:tcW w:w="1308" w:type="dxa"/>
                  <w:vAlign w:val="center"/>
                </w:tcPr>
                <w:p>
                  <w:pPr>
                    <w:jc w:val="center"/>
                    <w:rPr>
                      <w:color w:val="0000FF"/>
                      <w:sz w:val="22"/>
                      <w:szCs w:val="21"/>
                    </w:rPr>
                  </w:pPr>
                  <w:r>
                    <w:rPr>
                      <w:rFonts w:hint="eastAsia"/>
                      <w:color w:val="0000FF"/>
                      <w:sz w:val="22"/>
                      <w:szCs w:val="21"/>
                    </w:rPr>
                    <w:t>≤1.0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8</w:t>
                  </w:r>
                </w:p>
              </w:tc>
              <w:tc>
                <w:tcPr>
                  <w:tcW w:w="1598" w:type="dxa"/>
                  <w:vAlign w:val="center"/>
                </w:tcPr>
                <w:p>
                  <w:pPr>
                    <w:jc w:val="center"/>
                    <w:rPr>
                      <w:color w:val="0000FF"/>
                      <w:sz w:val="22"/>
                      <w:szCs w:val="21"/>
                    </w:rPr>
                  </w:pPr>
                  <w:r>
                    <w:rPr>
                      <w:rFonts w:hint="eastAsia" w:ascii="宋体" w:hAnsi="宋体" w:cs="仿宋"/>
                      <w:color w:val="0000FF"/>
                      <w:szCs w:val="21"/>
                    </w:rPr>
                    <w:t>铜</w:t>
                  </w:r>
                </w:p>
              </w:tc>
              <w:tc>
                <w:tcPr>
                  <w:tcW w:w="1198" w:type="dxa"/>
                  <w:vAlign w:val="center"/>
                </w:tcPr>
                <w:p>
                  <w:pPr>
                    <w:jc w:val="center"/>
                    <w:rPr>
                      <w:color w:val="0000FF"/>
                      <w:sz w:val="22"/>
                      <w:szCs w:val="21"/>
                    </w:rPr>
                  </w:pPr>
                  <w:r>
                    <w:rPr>
                      <w:rFonts w:hint="eastAsia"/>
                      <w:color w:val="0000FF"/>
                      <w:sz w:val="22"/>
                      <w:szCs w:val="21"/>
                    </w:rPr>
                    <w:t>0.001L</w:t>
                  </w:r>
                </w:p>
              </w:tc>
              <w:tc>
                <w:tcPr>
                  <w:tcW w:w="1332" w:type="dxa"/>
                  <w:vAlign w:val="center"/>
                </w:tcPr>
                <w:p>
                  <w:pPr>
                    <w:jc w:val="center"/>
                    <w:rPr>
                      <w:color w:val="0000FF"/>
                      <w:sz w:val="22"/>
                      <w:szCs w:val="21"/>
                    </w:rPr>
                  </w:pPr>
                  <w:r>
                    <w:rPr>
                      <w:rFonts w:hint="eastAsia"/>
                      <w:color w:val="0000FF"/>
                      <w:sz w:val="22"/>
                      <w:szCs w:val="21"/>
                    </w:rPr>
                    <w:t>0.001L</w:t>
                  </w:r>
                </w:p>
              </w:tc>
              <w:tc>
                <w:tcPr>
                  <w:tcW w:w="1308" w:type="dxa"/>
                  <w:vAlign w:val="center"/>
                </w:tcPr>
                <w:p>
                  <w:pPr>
                    <w:jc w:val="center"/>
                    <w:rPr>
                      <w:color w:val="0000FF"/>
                      <w:sz w:val="22"/>
                      <w:szCs w:val="21"/>
                    </w:rPr>
                  </w:pPr>
                  <w:r>
                    <w:rPr>
                      <w:rFonts w:hint="eastAsia"/>
                      <w:color w:val="0000FF"/>
                      <w:sz w:val="22"/>
                      <w:szCs w:val="21"/>
                    </w:rPr>
                    <w:t>≤1.00</w:t>
                  </w:r>
                </w:p>
              </w:tc>
              <w:tc>
                <w:tcPr>
                  <w:tcW w:w="1370" w:type="dxa"/>
                  <w:vAlign w:val="center"/>
                </w:tcPr>
                <w:p>
                  <w:pPr>
                    <w:jc w:val="center"/>
                    <w:rPr>
                      <w:color w:val="0000FF"/>
                      <w:szCs w:val="21"/>
                    </w:rPr>
                  </w:pPr>
                  <w:r>
                    <w:rPr>
                      <w:color w:val="0000FF"/>
                      <w:szCs w:val="21"/>
                    </w:rPr>
                    <w:t>0.24~0.26</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9</w:t>
                  </w:r>
                </w:p>
              </w:tc>
              <w:tc>
                <w:tcPr>
                  <w:tcW w:w="1598" w:type="dxa"/>
                  <w:vAlign w:val="center"/>
                </w:tcPr>
                <w:p>
                  <w:pPr>
                    <w:jc w:val="center"/>
                    <w:rPr>
                      <w:color w:val="0000FF"/>
                      <w:sz w:val="22"/>
                      <w:szCs w:val="21"/>
                    </w:rPr>
                  </w:pPr>
                  <w:r>
                    <w:rPr>
                      <w:rFonts w:hint="eastAsia" w:ascii="宋体" w:hAnsi="宋体" w:cs="仿宋"/>
                      <w:color w:val="0000FF"/>
                      <w:szCs w:val="21"/>
                    </w:rPr>
                    <w:t>镉</w:t>
                  </w:r>
                </w:p>
              </w:tc>
              <w:tc>
                <w:tcPr>
                  <w:tcW w:w="1198" w:type="dxa"/>
                  <w:vAlign w:val="center"/>
                </w:tcPr>
                <w:p>
                  <w:pPr>
                    <w:jc w:val="center"/>
                    <w:rPr>
                      <w:color w:val="0000FF"/>
                      <w:sz w:val="22"/>
                      <w:szCs w:val="21"/>
                    </w:rPr>
                  </w:pPr>
                  <w:r>
                    <w:rPr>
                      <w:rFonts w:hint="eastAsia"/>
                      <w:color w:val="0000FF"/>
                      <w:sz w:val="22"/>
                      <w:szCs w:val="21"/>
                    </w:rPr>
                    <w:t>0.001L</w:t>
                  </w:r>
                </w:p>
              </w:tc>
              <w:tc>
                <w:tcPr>
                  <w:tcW w:w="1332" w:type="dxa"/>
                  <w:vAlign w:val="center"/>
                </w:tcPr>
                <w:p>
                  <w:pPr>
                    <w:jc w:val="center"/>
                    <w:rPr>
                      <w:color w:val="0000FF"/>
                      <w:sz w:val="22"/>
                      <w:szCs w:val="21"/>
                    </w:rPr>
                  </w:pPr>
                  <w:r>
                    <w:rPr>
                      <w:rFonts w:hint="eastAsia"/>
                      <w:color w:val="0000FF"/>
                      <w:sz w:val="22"/>
                      <w:szCs w:val="21"/>
                    </w:rPr>
                    <w:t>0.001L</w:t>
                  </w:r>
                </w:p>
              </w:tc>
              <w:tc>
                <w:tcPr>
                  <w:tcW w:w="1308" w:type="dxa"/>
                  <w:vAlign w:val="center"/>
                </w:tcPr>
                <w:p>
                  <w:pPr>
                    <w:jc w:val="center"/>
                    <w:rPr>
                      <w:color w:val="0000FF"/>
                      <w:sz w:val="22"/>
                      <w:szCs w:val="21"/>
                    </w:rPr>
                  </w:pPr>
                  <w:r>
                    <w:rPr>
                      <w:rFonts w:hint="eastAsia"/>
                      <w:color w:val="0000FF"/>
                      <w:sz w:val="22"/>
                      <w:szCs w:val="21"/>
                    </w:rPr>
                    <w:t>≤0.005</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10</w:t>
                  </w:r>
                </w:p>
              </w:tc>
              <w:tc>
                <w:tcPr>
                  <w:tcW w:w="1598" w:type="dxa"/>
                  <w:vAlign w:val="center"/>
                </w:tcPr>
                <w:p>
                  <w:pPr>
                    <w:jc w:val="center"/>
                    <w:rPr>
                      <w:color w:val="0000FF"/>
                      <w:sz w:val="22"/>
                      <w:szCs w:val="21"/>
                    </w:rPr>
                  </w:pPr>
                  <w:r>
                    <w:rPr>
                      <w:rFonts w:hint="eastAsia" w:ascii="宋体" w:hAnsi="宋体" w:cs="仿宋"/>
                      <w:color w:val="0000FF"/>
                      <w:szCs w:val="21"/>
                    </w:rPr>
                    <w:t>铅</w:t>
                  </w:r>
                </w:p>
              </w:tc>
              <w:tc>
                <w:tcPr>
                  <w:tcW w:w="1198" w:type="dxa"/>
                  <w:vAlign w:val="center"/>
                </w:tcPr>
                <w:p>
                  <w:pPr>
                    <w:jc w:val="center"/>
                    <w:rPr>
                      <w:color w:val="0000FF"/>
                      <w:sz w:val="22"/>
                      <w:szCs w:val="21"/>
                    </w:rPr>
                  </w:pPr>
                  <w:r>
                    <w:rPr>
                      <w:rFonts w:hint="eastAsia"/>
                      <w:color w:val="0000FF"/>
                      <w:sz w:val="22"/>
                      <w:szCs w:val="21"/>
                    </w:rPr>
                    <w:t>0.01L</w:t>
                  </w:r>
                </w:p>
              </w:tc>
              <w:tc>
                <w:tcPr>
                  <w:tcW w:w="1332" w:type="dxa"/>
                  <w:vAlign w:val="center"/>
                </w:tcPr>
                <w:p>
                  <w:pPr>
                    <w:jc w:val="center"/>
                    <w:rPr>
                      <w:color w:val="0000FF"/>
                      <w:sz w:val="22"/>
                      <w:szCs w:val="21"/>
                    </w:rPr>
                  </w:pPr>
                  <w:r>
                    <w:rPr>
                      <w:rFonts w:hint="eastAsia"/>
                      <w:color w:val="0000FF"/>
                      <w:sz w:val="22"/>
                      <w:szCs w:val="21"/>
                    </w:rPr>
                    <w:t>0.01L</w:t>
                  </w:r>
                </w:p>
              </w:tc>
              <w:tc>
                <w:tcPr>
                  <w:tcW w:w="1308" w:type="dxa"/>
                  <w:vAlign w:val="center"/>
                </w:tcPr>
                <w:p>
                  <w:pPr>
                    <w:jc w:val="center"/>
                    <w:rPr>
                      <w:color w:val="0000FF"/>
                      <w:sz w:val="22"/>
                      <w:szCs w:val="21"/>
                    </w:rPr>
                  </w:pPr>
                  <w:r>
                    <w:rPr>
                      <w:rFonts w:hint="eastAsia"/>
                      <w:color w:val="0000FF"/>
                      <w:sz w:val="22"/>
                      <w:szCs w:val="21"/>
                    </w:rPr>
                    <w:t>≤0.01</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11</w:t>
                  </w:r>
                </w:p>
              </w:tc>
              <w:tc>
                <w:tcPr>
                  <w:tcW w:w="1598" w:type="dxa"/>
                  <w:vAlign w:val="center"/>
                </w:tcPr>
                <w:p>
                  <w:pPr>
                    <w:jc w:val="center"/>
                    <w:rPr>
                      <w:color w:val="0000FF"/>
                      <w:sz w:val="22"/>
                      <w:szCs w:val="21"/>
                    </w:rPr>
                  </w:pPr>
                  <w:r>
                    <w:rPr>
                      <w:rFonts w:hint="eastAsia" w:ascii="宋体" w:hAnsi="宋体" w:cs="仿宋"/>
                      <w:color w:val="0000FF"/>
                      <w:szCs w:val="21"/>
                    </w:rPr>
                    <w:t>锌</w:t>
                  </w:r>
                </w:p>
              </w:tc>
              <w:tc>
                <w:tcPr>
                  <w:tcW w:w="1198" w:type="dxa"/>
                  <w:vAlign w:val="center"/>
                </w:tcPr>
                <w:p>
                  <w:pPr>
                    <w:jc w:val="center"/>
                    <w:rPr>
                      <w:color w:val="0000FF"/>
                      <w:sz w:val="22"/>
                      <w:szCs w:val="21"/>
                    </w:rPr>
                  </w:pPr>
                  <w:r>
                    <w:rPr>
                      <w:rFonts w:hint="eastAsia"/>
                      <w:color w:val="0000FF"/>
                      <w:sz w:val="22"/>
                      <w:szCs w:val="21"/>
                    </w:rPr>
                    <w:t>0.05L</w:t>
                  </w:r>
                </w:p>
              </w:tc>
              <w:tc>
                <w:tcPr>
                  <w:tcW w:w="1332" w:type="dxa"/>
                  <w:vAlign w:val="center"/>
                </w:tcPr>
                <w:p>
                  <w:pPr>
                    <w:jc w:val="center"/>
                    <w:rPr>
                      <w:color w:val="0000FF"/>
                      <w:sz w:val="22"/>
                      <w:szCs w:val="21"/>
                    </w:rPr>
                  </w:pPr>
                  <w:r>
                    <w:rPr>
                      <w:rFonts w:hint="eastAsia"/>
                      <w:color w:val="0000FF"/>
                      <w:sz w:val="22"/>
                      <w:szCs w:val="21"/>
                    </w:rPr>
                    <w:t>0.05L</w:t>
                  </w:r>
                </w:p>
              </w:tc>
              <w:tc>
                <w:tcPr>
                  <w:tcW w:w="1308" w:type="dxa"/>
                  <w:vAlign w:val="center"/>
                </w:tcPr>
                <w:p>
                  <w:pPr>
                    <w:jc w:val="center"/>
                    <w:rPr>
                      <w:color w:val="0000FF"/>
                      <w:sz w:val="22"/>
                      <w:szCs w:val="21"/>
                    </w:rPr>
                  </w:pPr>
                  <w:r>
                    <w:rPr>
                      <w:rFonts w:hint="eastAsia"/>
                      <w:color w:val="0000FF"/>
                      <w:sz w:val="22"/>
                      <w:szCs w:val="21"/>
                    </w:rPr>
                    <w:t>≤1.00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12</w:t>
                  </w:r>
                </w:p>
              </w:tc>
              <w:tc>
                <w:tcPr>
                  <w:tcW w:w="1598" w:type="dxa"/>
                  <w:vAlign w:val="center"/>
                </w:tcPr>
                <w:p>
                  <w:pPr>
                    <w:jc w:val="center"/>
                    <w:rPr>
                      <w:color w:val="0000FF"/>
                      <w:sz w:val="22"/>
                      <w:szCs w:val="21"/>
                    </w:rPr>
                  </w:pPr>
                  <w:r>
                    <w:rPr>
                      <w:rFonts w:hint="eastAsia" w:ascii="宋体" w:hAnsi="宋体" w:cs="仿宋"/>
                      <w:color w:val="0000FF"/>
                      <w:szCs w:val="21"/>
                    </w:rPr>
                    <w:t>六价铬</w:t>
                  </w:r>
                </w:p>
              </w:tc>
              <w:tc>
                <w:tcPr>
                  <w:tcW w:w="1198" w:type="dxa"/>
                  <w:vAlign w:val="center"/>
                </w:tcPr>
                <w:p>
                  <w:pPr>
                    <w:jc w:val="center"/>
                    <w:rPr>
                      <w:color w:val="0000FF"/>
                      <w:sz w:val="22"/>
                      <w:szCs w:val="21"/>
                    </w:rPr>
                  </w:pPr>
                  <w:r>
                    <w:rPr>
                      <w:rFonts w:hint="eastAsia"/>
                      <w:color w:val="0000FF"/>
                      <w:sz w:val="22"/>
                      <w:szCs w:val="21"/>
                    </w:rPr>
                    <w:t>0.031</w:t>
                  </w:r>
                </w:p>
              </w:tc>
              <w:tc>
                <w:tcPr>
                  <w:tcW w:w="1332" w:type="dxa"/>
                  <w:vAlign w:val="center"/>
                </w:tcPr>
                <w:p>
                  <w:pPr>
                    <w:jc w:val="center"/>
                    <w:rPr>
                      <w:color w:val="0000FF"/>
                      <w:sz w:val="22"/>
                      <w:szCs w:val="21"/>
                    </w:rPr>
                  </w:pPr>
                  <w:r>
                    <w:rPr>
                      <w:rFonts w:hint="eastAsia"/>
                      <w:color w:val="0000FF"/>
                      <w:sz w:val="22"/>
                      <w:szCs w:val="21"/>
                    </w:rPr>
                    <w:t>0.026</w:t>
                  </w:r>
                </w:p>
              </w:tc>
              <w:tc>
                <w:tcPr>
                  <w:tcW w:w="1308" w:type="dxa"/>
                  <w:vAlign w:val="center"/>
                </w:tcPr>
                <w:p>
                  <w:pPr>
                    <w:jc w:val="center"/>
                    <w:rPr>
                      <w:color w:val="0000FF"/>
                      <w:sz w:val="22"/>
                      <w:szCs w:val="21"/>
                    </w:rPr>
                  </w:pPr>
                  <w:r>
                    <w:rPr>
                      <w:rFonts w:hint="eastAsia"/>
                      <w:color w:val="0000FF"/>
                      <w:sz w:val="22"/>
                      <w:szCs w:val="21"/>
                    </w:rPr>
                    <w:t>≤0.05</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13</w:t>
                  </w:r>
                </w:p>
              </w:tc>
              <w:tc>
                <w:tcPr>
                  <w:tcW w:w="1598" w:type="dxa"/>
                  <w:vAlign w:val="center"/>
                </w:tcPr>
                <w:p>
                  <w:pPr>
                    <w:jc w:val="center"/>
                    <w:rPr>
                      <w:color w:val="0000FF"/>
                      <w:sz w:val="22"/>
                      <w:szCs w:val="21"/>
                    </w:rPr>
                  </w:pPr>
                  <w:r>
                    <w:rPr>
                      <w:rFonts w:hint="eastAsia" w:ascii="宋体" w:hAnsi="宋体" w:cs="仿宋"/>
                      <w:color w:val="0000FF"/>
                      <w:szCs w:val="21"/>
                    </w:rPr>
                    <w:t>砷</w:t>
                  </w:r>
                </w:p>
              </w:tc>
              <w:tc>
                <w:tcPr>
                  <w:tcW w:w="1198" w:type="dxa"/>
                  <w:vAlign w:val="center"/>
                </w:tcPr>
                <w:p>
                  <w:pPr>
                    <w:jc w:val="center"/>
                    <w:rPr>
                      <w:color w:val="0000FF"/>
                      <w:sz w:val="22"/>
                      <w:szCs w:val="21"/>
                    </w:rPr>
                  </w:pPr>
                  <w:r>
                    <w:rPr>
                      <w:rFonts w:hint="eastAsia"/>
                      <w:color w:val="0000FF"/>
                      <w:sz w:val="22"/>
                      <w:szCs w:val="21"/>
                    </w:rPr>
                    <w:t>0.0021</w:t>
                  </w:r>
                </w:p>
              </w:tc>
              <w:tc>
                <w:tcPr>
                  <w:tcW w:w="1332" w:type="dxa"/>
                  <w:vAlign w:val="center"/>
                </w:tcPr>
                <w:p>
                  <w:pPr>
                    <w:jc w:val="center"/>
                    <w:rPr>
                      <w:color w:val="0000FF"/>
                      <w:sz w:val="22"/>
                      <w:szCs w:val="21"/>
                    </w:rPr>
                  </w:pPr>
                  <w:r>
                    <w:rPr>
                      <w:rFonts w:hint="eastAsia"/>
                      <w:color w:val="0000FF"/>
                      <w:sz w:val="22"/>
                      <w:szCs w:val="21"/>
                    </w:rPr>
                    <w:t>0.0024</w:t>
                  </w:r>
                </w:p>
              </w:tc>
              <w:tc>
                <w:tcPr>
                  <w:tcW w:w="1308" w:type="dxa"/>
                  <w:vAlign w:val="center"/>
                </w:tcPr>
                <w:p>
                  <w:pPr>
                    <w:jc w:val="center"/>
                    <w:rPr>
                      <w:color w:val="0000FF"/>
                      <w:sz w:val="22"/>
                      <w:szCs w:val="21"/>
                    </w:rPr>
                  </w:pPr>
                  <w:r>
                    <w:rPr>
                      <w:rFonts w:hint="eastAsia"/>
                      <w:color w:val="0000FF"/>
                      <w:sz w:val="22"/>
                      <w:szCs w:val="21"/>
                    </w:rPr>
                    <w:t>≤0.01</w:t>
                  </w:r>
                </w:p>
              </w:tc>
              <w:tc>
                <w:tcPr>
                  <w:tcW w:w="1370" w:type="dxa"/>
                  <w:vAlign w:val="center"/>
                </w:tcPr>
                <w:p>
                  <w:pPr>
                    <w:jc w:val="center"/>
                    <w:rPr>
                      <w:color w:val="0000FF"/>
                      <w:szCs w:val="21"/>
                    </w:rPr>
                  </w:pPr>
                  <w:r>
                    <w:rPr>
                      <w:color w:val="0000FF"/>
                      <w:szCs w:val="21"/>
                    </w:rPr>
                    <w:t>0.62~0.52</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14</w:t>
                  </w:r>
                </w:p>
              </w:tc>
              <w:tc>
                <w:tcPr>
                  <w:tcW w:w="1598" w:type="dxa"/>
                  <w:vAlign w:val="center"/>
                </w:tcPr>
                <w:p>
                  <w:pPr>
                    <w:jc w:val="center"/>
                    <w:rPr>
                      <w:color w:val="0000FF"/>
                      <w:sz w:val="22"/>
                      <w:szCs w:val="21"/>
                    </w:rPr>
                  </w:pPr>
                  <w:r>
                    <w:rPr>
                      <w:rFonts w:hint="eastAsia" w:ascii="宋体" w:hAnsi="宋体" w:cs="仿宋"/>
                      <w:color w:val="0000FF"/>
                      <w:szCs w:val="21"/>
                    </w:rPr>
                    <w:t>汞</w:t>
                  </w:r>
                </w:p>
              </w:tc>
              <w:tc>
                <w:tcPr>
                  <w:tcW w:w="1198" w:type="dxa"/>
                  <w:vAlign w:val="center"/>
                </w:tcPr>
                <w:p>
                  <w:pPr>
                    <w:jc w:val="center"/>
                    <w:rPr>
                      <w:color w:val="0000FF"/>
                      <w:sz w:val="22"/>
                      <w:szCs w:val="21"/>
                    </w:rPr>
                  </w:pPr>
                  <w:r>
                    <w:rPr>
                      <w:rFonts w:hint="eastAsia"/>
                      <w:color w:val="0000FF"/>
                      <w:sz w:val="22"/>
                      <w:szCs w:val="21"/>
                    </w:rPr>
                    <w:t>0.00004L</w:t>
                  </w:r>
                </w:p>
              </w:tc>
              <w:tc>
                <w:tcPr>
                  <w:tcW w:w="1332" w:type="dxa"/>
                  <w:vAlign w:val="center"/>
                </w:tcPr>
                <w:p>
                  <w:pPr>
                    <w:jc w:val="center"/>
                    <w:rPr>
                      <w:color w:val="0000FF"/>
                      <w:sz w:val="22"/>
                      <w:szCs w:val="21"/>
                    </w:rPr>
                  </w:pPr>
                  <w:r>
                    <w:rPr>
                      <w:rFonts w:hint="eastAsia"/>
                      <w:color w:val="0000FF"/>
                      <w:sz w:val="22"/>
                      <w:szCs w:val="21"/>
                    </w:rPr>
                    <w:t>0.00004L</w:t>
                  </w:r>
                </w:p>
              </w:tc>
              <w:tc>
                <w:tcPr>
                  <w:tcW w:w="1308" w:type="dxa"/>
                  <w:vAlign w:val="center"/>
                </w:tcPr>
                <w:p>
                  <w:pPr>
                    <w:jc w:val="center"/>
                    <w:rPr>
                      <w:color w:val="0000FF"/>
                      <w:sz w:val="22"/>
                      <w:szCs w:val="21"/>
                    </w:rPr>
                  </w:pPr>
                  <w:r>
                    <w:rPr>
                      <w:rFonts w:hint="eastAsia"/>
                      <w:color w:val="0000FF"/>
                      <w:sz w:val="22"/>
                      <w:szCs w:val="21"/>
                    </w:rPr>
                    <w:t>≤0.001</w:t>
                  </w:r>
                </w:p>
              </w:tc>
              <w:tc>
                <w:tcPr>
                  <w:tcW w:w="1370" w:type="dxa"/>
                  <w:vAlign w:val="center"/>
                </w:tcPr>
                <w:p>
                  <w:pPr>
                    <w:jc w:val="center"/>
                    <w:rPr>
                      <w:color w:val="0000FF"/>
                      <w:szCs w:val="21"/>
                    </w:rPr>
                  </w:pPr>
                  <w:r>
                    <w:rPr>
                      <w:color w:val="0000FF"/>
                      <w:szCs w:val="21"/>
                    </w:rPr>
                    <w:t>0.21~0.24</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15</w:t>
                  </w:r>
                </w:p>
              </w:tc>
              <w:tc>
                <w:tcPr>
                  <w:tcW w:w="1598" w:type="dxa"/>
                  <w:vAlign w:val="center"/>
                </w:tcPr>
                <w:p>
                  <w:pPr>
                    <w:jc w:val="center"/>
                    <w:rPr>
                      <w:color w:val="0000FF"/>
                      <w:sz w:val="22"/>
                      <w:szCs w:val="21"/>
                    </w:rPr>
                  </w:pPr>
                  <w:r>
                    <w:rPr>
                      <w:rFonts w:hint="eastAsia" w:ascii="宋体" w:hAnsi="宋体" w:cs="仿宋"/>
                      <w:color w:val="0000FF"/>
                      <w:szCs w:val="21"/>
                    </w:rPr>
                    <w:t>铁</w:t>
                  </w:r>
                </w:p>
              </w:tc>
              <w:tc>
                <w:tcPr>
                  <w:tcW w:w="1198" w:type="dxa"/>
                  <w:vAlign w:val="center"/>
                </w:tcPr>
                <w:p>
                  <w:pPr>
                    <w:jc w:val="center"/>
                    <w:rPr>
                      <w:color w:val="0000FF"/>
                      <w:sz w:val="22"/>
                      <w:szCs w:val="21"/>
                    </w:rPr>
                  </w:pPr>
                  <w:r>
                    <w:rPr>
                      <w:rFonts w:hint="eastAsia"/>
                      <w:color w:val="0000FF"/>
                      <w:sz w:val="22"/>
                      <w:szCs w:val="21"/>
                    </w:rPr>
                    <w:t>0.03L</w:t>
                  </w:r>
                </w:p>
              </w:tc>
              <w:tc>
                <w:tcPr>
                  <w:tcW w:w="1332" w:type="dxa"/>
                  <w:vAlign w:val="center"/>
                </w:tcPr>
                <w:p>
                  <w:pPr>
                    <w:jc w:val="center"/>
                    <w:rPr>
                      <w:color w:val="0000FF"/>
                      <w:sz w:val="22"/>
                      <w:szCs w:val="21"/>
                    </w:rPr>
                  </w:pPr>
                  <w:r>
                    <w:rPr>
                      <w:rFonts w:hint="eastAsia"/>
                      <w:color w:val="0000FF"/>
                      <w:sz w:val="22"/>
                      <w:szCs w:val="21"/>
                    </w:rPr>
                    <w:t>0.03L</w:t>
                  </w:r>
                </w:p>
              </w:tc>
              <w:tc>
                <w:tcPr>
                  <w:tcW w:w="1308" w:type="dxa"/>
                  <w:vAlign w:val="center"/>
                </w:tcPr>
                <w:p>
                  <w:pPr>
                    <w:jc w:val="center"/>
                    <w:rPr>
                      <w:color w:val="0000FF"/>
                      <w:sz w:val="22"/>
                      <w:szCs w:val="21"/>
                    </w:rPr>
                  </w:pPr>
                  <w:r>
                    <w:rPr>
                      <w:rFonts w:hint="eastAsia"/>
                      <w:color w:val="0000FF"/>
                      <w:sz w:val="22"/>
                      <w:szCs w:val="21"/>
                    </w:rPr>
                    <w:t>≤0.3</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16</w:t>
                  </w:r>
                </w:p>
              </w:tc>
              <w:tc>
                <w:tcPr>
                  <w:tcW w:w="1598" w:type="dxa"/>
                  <w:vAlign w:val="center"/>
                </w:tcPr>
                <w:p>
                  <w:pPr>
                    <w:jc w:val="center"/>
                    <w:rPr>
                      <w:color w:val="0000FF"/>
                      <w:sz w:val="22"/>
                      <w:szCs w:val="21"/>
                    </w:rPr>
                  </w:pPr>
                  <w:r>
                    <w:rPr>
                      <w:rFonts w:hint="eastAsia" w:ascii="宋体" w:hAnsi="宋体" w:cs="仿宋"/>
                      <w:color w:val="0000FF"/>
                      <w:szCs w:val="21"/>
                    </w:rPr>
                    <w:t>锰</w:t>
                  </w:r>
                </w:p>
              </w:tc>
              <w:tc>
                <w:tcPr>
                  <w:tcW w:w="1198" w:type="dxa"/>
                  <w:vAlign w:val="center"/>
                </w:tcPr>
                <w:p>
                  <w:pPr>
                    <w:jc w:val="center"/>
                    <w:rPr>
                      <w:color w:val="0000FF"/>
                      <w:sz w:val="22"/>
                      <w:szCs w:val="21"/>
                    </w:rPr>
                  </w:pPr>
                  <w:r>
                    <w:rPr>
                      <w:rFonts w:hint="eastAsia"/>
                      <w:color w:val="0000FF"/>
                      <w:sz w:val="22"/>
                      <w:szCs w:val="21"/>
                    </w:rPr>
                    <w:t>0.01L</w:t>
                  </w:r>
                </w:p>
              </w:tc>
              <w:tc>
                <w:tcPr>
                  <w:tcW w:w="1332" w:type="dxa"/>
                  <w:vAlign w:val="center"/>
                </w:tcPr>
                <w:p>
                  <w:pPr>
                    <w:jc w:val="center"/>
                    <w:rPr>
                      <w:color w:val="0000FF"/>
                      <w:sz w:val="22"/>
                      <w:szCs w:val="21"/>
                    </w:rPr>
                  </w:pPr>
                  <w:r>
                    <w:rPr>
                      <w:rFonts w:hint="eastAsia"/>
                      <w:color w:val="0000FF"/>
                      <w:sz w:val="22"/>
                      <w:szCs w:val="21"/>
                    </w:rPr>
                    <w:t>0.01L</w:t>
                  </w:r>
                </w:p>
              </w:tc>
              <w:tc>
                <w:tcPr>
                  <w:tcW w:w="1308" w:type="dxa"/>
                  <w:vAlign w:val="center"/>
                </w:tcPr>
                <w:p>
                  <w:pPr>
                    <w:jc w:val="center"/>
                    <w:rPr>
                      <w:color w:val="0000FF"/>
                      <w:sz w:val="22"/>
                      <w:szCs w:val="21"/>
                    </w:rPr>
                  </w:pPr>
                  <w:r>
                    <w:rPr>
                      <w:rFonts w:hint="eastAsia"/>
                      <w:color w:val="0000FF"/>
                      <w:sz w:val="22"/>
                      <w:szCs w:val="21"/>
                    </w:rPr>
                    <w:t>≤0.10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17</w:t>
                  </w:r>
                </w:p>
              </w:tc>
              <w:tc>
                <w:tcPr>
                  <w:tcW w:w="1598" w:type="dxa"/>
                  <w:vAlign w:val="center"/>
                </w:tcPr>
                <w:p>
                  <w:pPr>
                    <w:jc w:val="center"/>
                    <w:rPr>
                      <w:color w:val="0000FF"/>
                      <w:sz w:val="22"/>
                      <w:szCs w:val="21"/>
                    </w:rPr>
                  </w:pPr>
                  <w:r>
                    <w:rPr>
                      <w:rFonts w:hint="eastAsia" w:ascii="宋体" w:hAnsi="宋体" w:cs="仿宋"/>
                      <w:color w:val="0000FF"/>
                      <w:szCs w:val="21"/>
                    </w:rPr>
                    <w:t>硝酸盐</w:t>
                  </w:r>
                </w:p>
              </w:tc>
              <w:tc>
                <w:tcPr>
                  <w:tcW w:w="1198" w:type="dxa"/>
                  <w:vAlign w:val="center"/>
                </w:tcPr>
                <w:p>
                  <w:pPr>
                    <w:jc w:val="center"/>
                    <w:rPr>
                      <w:color w:val="0000FF"/>
                      <w:sz w:val="22"/>
                      <w:szCs w:val="21"/>
                    </w:rPr>
                  </w:pPr>
                  <w:r>
                    <w:rPr>
                      <w:rFonts w:hint="eastAsia"/>
                      <w:color w:val="0000FF"/>
                      <w:sz w:val="22"/>
                      <w:szCs w:val="21"/>
                    </w:rPr>
                    <w:t>2.63</w:t>
                  </w:r>
                </w:p>
              </w:tc>
              <w:tc>
                <w:tcPr>
                  <w:tcW w:w="1332" w:type="dxa"/>
                  <w:vAlign w:val="center"/>
                </w:tcPr>
                <w:p>
                  <w:pPr>
                    <w:jc w:val="center"/>
                    <w:rPr>
                      <w:color w:val="0000FF"/>
                      <w:sz w:val="22"/>
                      <w:szCs w:val="21"/>
                    </w:rPr>
                  </w:pPr>
                  <w:r>
                    <w:rPr>
                      <w:rFonts w:hint="eastAsia"/>
                      <w:color w:val="0000FF"/>
                      <w:sz w:val="22"/>
                      <w:szCs w:val="21"/>
                    </w:rPr>
                    <w:t>2.57</w:t>
                  </w:r>
                </w:p>
              </w:tc>
              <w:tc>
                <w:tcPr>
                  <w:tcW w:w="1308" w:type="dxa"/>
                  <w:vAlign w:val="center"/>
                </w:tcPr>
                <w:p>
                  <w:pPr>
                    <w:jc w:val="center"/>
                    <w:rPr>
                      <w:color w:val="0000FF"/>
                      <w:sz w:val="22"/>
                      <w:szCs w:val="21"/>
                    </w:rPr>
                  </w:pPr>
                  <w:r>
                    <w:rPr>
                      <w:rFonts w:hint="eastAsia"/>
                      <w:color w:val="0000FF"/>
                      <w:sz w:val="22"/>
                      <w:szCs w:val="21"/>
                    </w:rPr>
                    <w:t>≤20.0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18</w:t>
                  </w:r>
                </w:p>
              </w:tc>
              <w:tc>
                <w:tcPr>
                  <w:tcW w:w="1598" w:type="dxa"/>
                  <w:vAlign w:val="center"/>
                </w:tcPr>
                <w:p>
                  <w:pPr>
                    <w:jc w:val="center"/>
                    <w:rPr>
                      <w:color w:val="0000FF"/>
                      <w:sz w:val="22"/>
                      <w:szCs w:val="21"/>
                    </w:rPr>
                  </w:pPr>
                  <w:r>
                    <w:rPr>
                      <w:rFonts w:hint="eastAsia" w:ascii="宋体" w:hAnsi="宋体" w:cs="仿宋"/>
                      <w:color w:val="0000FF"/>
                      <w:szCs w:val="21"/>
                    </w:rPr>
                    <w:t>亚硝酸盐</w:t>
                  </w:r>
                </w:p>
              </w:tc>
              <w:tc>
                <w:tcPr>
                  <w:tcW w:w="1198" w:type="dxa"/>
                  <w:vAlign w:val="center"/>
                </w:tcPr>
                <w:p>
                  <w:pPr>
                    <w:jc w:val="center"/>
                    <w:rPr>
                      <w:color w:val="0000FF"/>
                      <w:sz w:val="22"/>
                      <w:szCs w:val="21"/>
                    </w:rPr>
                  </w:pPr>
                  <w:r>
                    <w:rPr>
                      <w:rFonts w:hint="eastAsia"/>
                      <w:color w:val="0000FF"/>
                      <w:sz w:val="22"/>
                      <w:szCs w:val="21"/>
                    </w:rPr>
                    <w:t>0.004</w:t>
                  </w:r>
                </w:p>
              </w:tc>
              <w:tc>
                <w:tcPr>
                  <w:tcW w:w="1332" w:type="dxa"/>
                  <w:vAlign w:val="center"/>
                </w:tcPr>
                <w:p>
                  <w:pPr>
                    <w:jc w:val="center"/>
                    <w:rPr>
                      <w:color w:val="0000FF"/>
                      <w:sz w:val="22"/>
                      <w:szCs w:val="21"/>
                    </w:rPr>
                  </w:pPr>
                  <w:r>
                    <w:rPr>
                      <w:rFonts w:hint="eastAsia"/>
                      <w:color w:val="0000FF"/>
                      <w:sz w:val="22"/>
                      <w:szCs w:val="21"/>
                    </w:rPr>
                    <w:t>0.006</w:t>
                  </w:r>
                </w:p>
              </w:tc>
              <w:tc>
                <w:tcPr>
                  <w:tcW w:w="1308" w:type="dxa"/>
                  <w:vAlign w:val="center"/>
                </w:tcPr>
                <w:p>
                  <w:pPr>
                    <w:jc w:val="center"/>
                    <w:rPr>
                      <w:color w:val="0000FF"/>
                      <w:sz w:val="22"/>
                      <w:szCs w:val="21"/>
                    </w:rPr>
                  </w:pPr>
                  <w:r>
                    <w:rPr>
                      <w:rFonts w:hint="eastAsia"/>
                      <w:color w:val="0000FF"/>
                      <w:sz w:val="22"/>
                      <w:szCs w:val="21"/>
                    </w:rPr>
                    <w:t>≤1.00</w:t>
                  </w:r>
                </w:p>
              </w:tc>
              <w:tc>
                <w:tcPr>
                  <w:tcW w:w="1370" w:type="dxa"/>
                  <w:vAlign w:val="center"/>
                </w:tcPr>
                <w:p>
                  <w:pPr>
                    <w:jc w:val="center"/>
                    <w:rPr>
                      <w:color w:val="0000FF"/>
                      <w:szCs w:val="21"/>
                    </w:rPr>
                  </w:pPr>
                  <w:r>
                    <w:rPr>
                      <w:color w:val="0000FF"/>
                      <w:szCs w:val="21"/>
                    </w:rPr>
                    <w:t>0.13~0.13</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19</w:t>
                  </w:r>
                </w:p>
              </w:tc>
              <w:tc>
                <w:tcPr>
                  <w:tcW w:w="1598" w:type="dxa"/>
                  <w:vAlign w:val="center"/>
                </w:tcPr>
                <w:p>
                  <w:pPr>
                    <w:jc w:val="center"/>
                    <w:rPr>
                      <w:color w:val="0000FF"/>
                      <w:sz w:val="22"/>
                      <w:szCs w:val="21"/>
                    </w:rPr>
                  </w:pPr>
                  <w:r>
                    <w:rPr>
                      <w:rFonts w:hint="eastAsia" w:ascii="宋体" w:hAnsi="宋体" w:cs="仿宋"/>
                      <w:color w:val="0000FF"/>
                      <w:szCs w:val="21"/>
                    </w:rPr>
                    <w:t>K</w:t>
                  </w:r>
                  <w:r>
                    <w:rPr>
                      <w:rFonts w:hint="eastAsia" w:ascii="宋体" w:hAnsi="宋体" w:cs="仿宋"/>
                      <w:color w:val="0000FF"/>
                      <w:szCs w:val="21"/>
                      <w:vertAlign w:val="superscript"/>
                    </w:rPr>
                    <w:t>+</w:t>
                  </w:r>
                </w:p>
              </w:tc>
              <w:tc>
                <w:tcPr>
                  <w:tcW w:w="1198" w:type="dxa"/>
                  <w:vAlign w:val="center"/>
                </w:tcPr>
                <w:p>
                  <w:pPr>
                    <w:jc w:val="center"/>
                    <w:rPr>
                      <w:color w:val="0000FF"/>
                      <w:sz w:val="22"/>
                      <w:szCs w:val="21"/>
                    </w:rPr>
                  </w:pPr>
                  <w:r>
                    <w:rPr>
                      <w:rFonts w:hint="eastAsia"/>
                      <w:color w:val="0000FF"/>
                      <w:sz w:val="22"/>
                      <w:szCs w:val="21"/>
                    </w:rPr>
                    <w:t>24.2</w:t>
                  </w:r>
                </w:p>
              </w:tc>
              <w:tc>
                <w:tcPr>
                  <w:tcW w:w="1332" w:type="dxa"/>
                  <w:vAlign w:val="center"/>
                </w:tcPr>
                <w:p>
                  <w:pPr>
                    <w:jc w:val="center"/>
                    <w:rPr>
                      <w:color w:val="0000FF"/>
                      <w:sz w:val="22"/>
                      <w:szCs w:val="21"/>
                    </w:rPr>
                  </w:pPr>
                  <w:r>
                    <w:rPr>
                      <w:rFonts w:hint="eastAsia"/>
                      <w:color w:val="0000FF"/>
                      <w:sz w:val="22"/>
                      <w:szCs w:val="21"/>
                    </w:rPr>
                    <w:t>25.7</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spacing w:line="240" w:lineRule="atLeast"/>
                    <w:jc w:val="center"/>
                    <w:rPr>
                      <w:color w:val="0000FF"/>
                      <w:szCs w:val="21"/>
                    </w:rPr>
                  </w:pPr>
                  <w:r>
                    <w:rPr>
                      <w:rFonts w:hint="eastAsia"/>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20</w:t>
                  </w:r>
                </w:p>
              </w:tc>
              <w:tc>
                <w:tcPr>
                  <w:tcW w:w="1598" w:type="dxa"/>
                  <w:vAlign w:val="center"/>
                </w:tcPr>
                <w:p>
                  <w:pPr>
                    <w:jc w:val="center"/>
                    <w:rPr>
                      <w:color w:val="0000FF"/>
                      <w:sz w:val="22"/>
                      <w:szCs w:val="21"/>
                    </w:rPr>
                  </w:pPr>
                  <w:r>
                    <w:rPr>
                      <w:rFonts w:hint="eastAsia" w:ascii="宋体" w:hAnsi="宋体" w:cs="仿宋"/>
                      <w:color w:val="0000FF"/>
                      <w:szCs w:val="21"/>
                    </w:rPr>
                    <w:t>Na</w:t>
                  </w:r>
                  <w:r>
                    <w:rPr>
                      <w:rFonts w:hint="eastAsia" w:ascii="宋体" w:hAnsi="宋体" w:cs="仿宋"/>
                      <w:color w:val="0000FF"/>
                      <w:szCs w:val="21"/>
                      <w:vertAlign w:val="superscript"/>
                    </w:rPr>
                    <w:t>+</w:t>
                  </w:r>
                </w:p>
              </w:tc>
              <w:tc>
                <w:tcPr>
                  <w:tcW w:w="1198" w:type="dxa"/>
                  <w:vAlign w:val="center"/>
                </w:tcPr>
                <w:p>
                  <w:pPr>
                    <w:jc w:val="center"/>
                    <w:rPr>
                      <w:color w:val="0000FF"/>
                      <w:sz w:val="22"/>
                      <w:szCs w:val="21"/>
                    </w:rPr>
                  </w:pPr>
                  <w:r>
                    <w:rPr>
                      <w:rFonts w:hint="eastAsia"/>
                      <w:color w:val="0000FF"/>
                      <w:sz w:val="22"/>
                      <w:szCs w:val="21"/>
                    </w:rPr>
                    <w:t>122</w:t>
                  </w:r>
                </w:p>
              </w:tc>
              <w:tc>
                <w:tcPr>
                  <w:tcW w:w="1332" w:type="dxa"/>
                  <w:vAlign w:val="center"/>
                </w:tcPr>
                <w:p>
                  <w:pPr>
                    <w:jc w:val="center"/>
                    <w:rPr>
                      <w:color w:val="0000FF"/>
                      <w:sz w:val="22"/>
                      <w:szCs w:val="21"/>
                    </w:rPr>
                  </w:pPr>
                  <w:r>
                    <w:rPr>
                      <w:rFonts w:hint="eastAsia"/>
                      <w:color w:val="0000FF"/>
                      <w:sz w:val="22"/>
                      <w:szCs w:val="21"/>
                    </w:rPr>
                    <w:t>134</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spacing w:line="240" w:lineRule="atLeast"/>
                    <w:jc w:val="center"/>
                    <w:rPr>
                      <w:color w:val="0000FF"/>
                      <w:szCs w:val="21"/>
                    </w:rPr>
                  </w:pPr>
                  <w:r>
                    <w:rPr>
                      <w:rFonts w:hint="eastAsia"/>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21</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Ca</w:t>
                  </w:r>
                  <w:r>
                    <w:rPr>
                      <w:rFonts w:hint="eastAsia" w:ascii="宋体" w:hAnsi="宋体" w:cs="仿宋"/>
                      <w:color w:val="0000FF"/>
                      <w:szCs w:val="21"/>
                      <w:vertAlign w:val="superscript"/>
                    </w:rPr>
                    <w:t>2+</w:t>
                  </w:r>
                </w:p>
              </w:tc>
              <w:tc>
                <w:tcPr>
                  <w:tcW w:w="1198" w:type="dxa"/>
                  <w:vAlign w:val="center"/>
                </w:tcPr>
                <w:p>
                  <w:pPr>
                    <w:jc w:val="center"/>
                    <w:rPr>
                      <w:color w:val="0000FF"/>
                      <w:sz w:val="22"/>
                      <w:szCs w:val="21"/>
                    </w:rPr>
                  </w:pPr>
                  <w:r>
                    <w:rPr>
                      <w:rFonts w:hint="eastAsia"/>
                      <w:color w:val="0000FF"/>
                      <w:sz w:val="22"/>
                      <w:szCs w:val="21"/>
                    </w:rPr>
                    <w:t>86.1</w:t>
                  </w:r>
                </w:p>
              </w:tc>
              <w:tc>
                <w:tcPr>
                  <w:tcW w:w="1332" w:type="dxa"/>
                  <w:vAlign w:val="center"/>
                </w:tcPr>
                <w:p>
                  <w:pPr>
                    <w:jc w:val="center"/>
                    <w:rPr>
                      <w:color w:val="0000FF"/>
                      <w:sz w:val="22"/>
                      <w:szCs w:val="21"/>
                    </w:rPr>
                  </w:pPr>
                  <w:r>
                    <w:rPr>
                      <w:rFonts w:hint="eastAsia"/>
                      <w:color w:val="0000FF"/>
                      <w:sz w:val="22"/>
                      <w:szCs w:val="21"/>
                    </w:rPr>
                    <w:t>84.9</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spacing w:line="240" w:lineRule="atLeast"/>
                    <w:jc w:val="center"/>
                    <w:rPr>
                      <w:color w:val="0000FF"/>
                      <w:szCs w:val="21"/>
                    </w:rPr>
                  </w:pPr>
                  <w:r>
                    <w:rPr>
                      <w:rFonts w:hint="eastAsia"/>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22</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Mg</w:t>
                  </w:r>
                  <w:r>
                    <w:rPr>
                      <w:rFonts w:hint="eastAsia" w:ascii="宋体" w:hAnsi="宋体" w:cs="仿宋"/>
                      <w:color w:val="0000FF"/>
                      <w:szCs w:val="21"/>
                      <w:vertAlign w:val="superscript"/>
                    </w:rPr>
                    <w:t>2+</w:t>
                  </w:r>
                </w:p>
              </w:tc>
              <w:tc>
                <w:tcPr>
                  <w:tcW w:w="1198" w:type="dxa"/>
                  <w:vAlign w:val="center"/>
                </w:tcPr>
                <w:p>
                  <w:pPr>
                    <w:jc w:val="center"/>
                    <w:rPr>
                      <w:color w:val="0000FF"/>
                      <w:sz w:val="22"/>
                      <w:szCs w:val="21"/>
                    </w:rPr>
                  </w:pPr>
                  <w:r>
                    <w:rPr>
                      <w:rFonts w:hint="eastAsia"/>
                      <w:color w:val="0000FF"/>
                      <w:sz w:val="22"/>
                      <w:szCs w:val="21"/>
                    </w:rPr>
                    <w:t>51.6</w:t>
                  </w:r>
                </w:p>
              </w:tc>
              <w:tc>
                <w:tcPr>
                  <w:tcW w:w="1332" w:type="dxa"/>
                  <w:vAlign w:val="center"/>
                </w:tcPr>
                <w:p>
                  <w:pPr>
                    <w:jc w:val="center"/>
                    <w:rPr>
                      <w:color w:val="0000FF"/>
                      <w:sz w:val="22"/>
                      <w:szCs w:val="21"/>
                    </w:rPr>
                  </w:pPr>
                  <w:r>
                    <w:rPr>
                      <w:rFonts w:hint="eastAsia"/>
                      <w:color w:val="0000FF"/>
                      <w:sz w:val="22"/>
                      <w:szCs w:val="21"/>
                    </w:rPr>
                    <w:t>53.6</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jc w:val="center"/>
                    <w:rPr>
                      <w:color w:val="0000FF"/>
                      <w:sz w:val="22"/>
                      <w:szCs w:val="21"/>
                    </w:rPr>
                  </w:pPr>
                  <w:r>
                    <w:rPr>
                      <w:rFonts w:hint="eastAsia"/>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23</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Cl</w:t>
                  </w:r>
                  <w:r>
                    <w:rPr>
                      <w:rFonts w:hint="eastAsia" w:ascii="宋体" w:hAnsi="宋体" w:cs="仿宋"/>
                      <w:color w:val="0000FF"/>
                      <w:szCs w:val="21"/>
                      <w:vertAlign w:val="superscript"/>
                    </w:rPr>
                    <w:t>-</w:t>
                  </w:r>
                </w:p>
              </w:tc>
              <w:tc>
                <w:tcPr>
                  <w:tcW w:w="1198" w:type="dxa"/>
                  <w:vAlign w:val="center"/>
                </w:tcPr>
                <w:p>
                  <w:pPr>
                    <w:jc w:val="center"/>
                    <w:rPr>
                      <w:color w:val="0000FF"/>
                      <w:sz w:val="22"/>
                      <w:szCs w:val="21"/>
                    </w:rPr>
                  </w:pPr>
                  <w:r>
                    <w:rPr>
                      <w:rFonts w:hint="eastAsia"/>
                      <w:color w:val="0000FF"/>
                      <w:sz w:val="22"/>
                      <w:szCs w:val="21"/>
                    </w:rPr>
                    <w:t>160</w:t>
                  </w:r>
                </w:p>
              </w:tc>
              <w:tc>
                <w:tcPr>
                  <w:tcW w:w="1332" w:type="dxa"/>
                  <w:vAlign w:val="center"/>
                </w:tcPr>
                <w:p>
                  <w:pPr>
                    <w:jc w:val="center"/>
                    <w:rPr>
                      <w:color w:val="0000FF"/>
                      <w:sz w:val="22"/>
                      <w:szCs w:val="21"/>
                    </w:rPr>
                  </w:pPr>
                  <w:r>
                    <w:rPr>
                      <w:rFonts w:hint="eastAsia"/>
                      <w:color w:val="0000FF"/>
                      <w:sz w:val="22"/>
                      <w:szCs w:val="21"/>
                    </w:rPr>
                    <w:t>172</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jc w:val="center"/>
                    <w:rPr>
                      <w:color w:val="0000FF"/>
                      <w:sz w:val="22"/>
                      <w:szCs w:val="21"/>
                    </w:rPr>
                  </w:pPr>
                  <w:r>
                    <w:rPr>
                      <w:rFonts w:hint="eastAsia"/>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24</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SO</w:t>
                  </w:r>
                  <w:r>
                    <w:rPr>
                      <w:rFonts w:hint="eastAsia" w:ascii="宋体" w:hAnsi="宋体" w:cs="仿宋"/>
                      <w:color w:val="0000FF"/>
                      <w:szCs w:val="21"/>
                      <w:vertAlign w:val="subscript"/>
                    </w:rPr>
                    <w:t>4</w:t>
                  </w:r>
                  <w:r>
                    <w:rPr>
                      <w:rFonts w:hint="eastAsia" w:ascii="宋体" w:hAnsi="宋体" w:cs="仿宋"/>
                      <w:color w:val="0000FF"/>
                      <w:szCs w:val="21"/>
                      <w:vertAlign w:val="superscript"/>
                    </w:rPr>
                    <w:t>2-</w:t>
                  </w:r>
                </w:p>
              </w:tc>
              <w:tc>
                <w:tcPr>
                  <w:tcW w:w="1198" w:type="dxa"/>
                  <w:vAlign w:val="center"/>
                </w:tcPr>
                <w:p>
                  <w:pPr>
                    <w:jc w:val="center"/>
                    <w:rPr>
                      <w:color w:val="0000FF"/>
                      <w:sz w:val="22"/>
                      <w:szCs w:val="21"/>
                    </w:rPr>
                  </w:pPr>
                  <w:r>
                    <w:rPr>
                      <w:rFonts w:hint="eastAsia"/>
                      <w:color w:val="0000FF"/>
                      <w:sz w:val="22"/>
                      <w:szCs w:val="21"/>
                    </w:rPr>
                    <w:t>205</w:t>
                  </w:r>
                </w:p>
              </w:tc>
              <w:tc>
                <w:tcPr>
                  <w:tcW w:w="1332" w:type="dxa"/>
                  <w:vAlign w:val="center"/>
                </w:tcPr>
                <w:p>
                  <w:pPr>
                    <w:jc w:val="center"/>
                    <w:rPr>
                      <w:color w:val="0000FF"/>
                      <w:sz w:val="22"/>
                      <w:szCs w:val="21"/>
                    </w:rPr>
                  </w:pPr>
                  <w:r>
                    <w:rPr>
                      <w:rFonts w:hint="eastAsia"/>
                      <w:color w:val="0000FF"/>
                      <w:sz w:val="22"/>
                      <w:szCs w:val="21"/>
                    </w:rPr>
                    <w:t>198</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jc w:val="center"/>
                    <w:rPr>
                      <w:color w:val="0000FF"/>
                      <w:sz w:val="22"/>
                      <w:szCs w:val="21"/>
                    </w:rPr>
                  </w:pPr>
                  <w:r>
                    <w:rPr>
                      <w:rFonts w:hint="eastAsia"/>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25</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CO</w:t>
                  </w:r>
                  <w:r>
                    <w:rPr>
                      <w:rFonts w:hint="eastAsia" w:ascii="宋体" w:hAnsi="宋体" w:cs="仿宋"/>
                      <w:color w:val="0000FF"/>
                      <w:szCs w:val="21"/>
                      <w:vertAlign w:val="subscript"/>
                    </w:rPr>
                    <w:t>3</w:t>
                  </w:r>
                  <w:r>
                    <w:rPr>
                      <w:rFonts w:hint="eastAsia" w:ascii="宋体" w:hAnsi="宋体" w:cs="仿宋"/>
                      <w:color w:val="0000FF"/>
                      <w:szCs w:val="21"/>
                      <w:vertAlign w:val="superscript"/>
                    </w:rPr>
                    <w:t>2-</w:t>
                  </w:r>
                </w:p>
              </w:tc>
              <w:tc>
                <w:tcPr>
                  <w:tcW w:w="1198" w:type="dxa"/>
                  <w:vAlign w:val="center"/>
                </w:tcPr>
                <w:p>
                  <w:pPr>
                    <w:jc w:val="center"/>
                    <w:rPr>
                      <w:color w:val="0000FF"/>
                      <w:sz w:val="22"/>
                      <w:szCs w:val="21"/>
                    </w:rPr>
                  </w:pPr>
                  <w:r>
                    <w:rPr>
                      <w:rFonts w:hint="eastAsia"/>
                      <w:color w:val="0000FF"/>
                      <w:sz w:val="22"/>
                      <w:szCs w:val="21"/>
                    </w:rPr>
                    <w:t>0</w:t>
                  </w:r>
                </w:p>
              </w:tc>
              <w:tc>
                <w:tcPr>
                  <w:tcW w:w="1332" w:type="dxa"/>
                  <w:vAlign w:val="center"/>
                </w:tcPr>
                <w:p>
                  <w:pPr>
                    <w:jc w:val="center"/>
                    <w:rPr>
                      <w:color w:val="0000FF"/>
                      <w:sz w:val="22"/>
                      <w:szCs w:val="21"/>
                    </w:rPr>
                  </w:pPr>
                  <w:r>
                    <w:rPr>
                      <w:rFonts w:hint="eastAsia"/>
                      <w:color w:val="0000FF"/>
                      <w:sz w:val="22"/>
                      <w:szCs w:val="21"/>
                    </w:rPr>
                    <w:t>0</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jc w:val="center"/>
                    <w:rPr>
                      <w:color w:val="0000FF"/>
                      <w:sz w:val="22"/>
                      <w:szCs w:val="21"/>
                    </w:rPr>
                  </w:pPr>
                  <w:r>
                    <w:rPr>
                      <w:rFonts w:hint="eastAsia"/>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26</w:t>
                  </w:r>
                </w:p>
              </w:tc>
              <w:tc>
                <w:tcPr>
                  <w:tcW w:w="1598" w:type="dxa"/>
                  <w:vAlign w:val="center"/>
                </w:tcPr>
                <w:p>
                  <w:pPr>
                    <w:jc w:val="center"/>
                    <w:rPr>
                      <w:rFonts w:ascii="宋体" w:hAnsi="宋体" w:cs="仿宋"/>
                      <w:color w:val="0000FF"/>
                      <w:sz w:val="22"/>
                      <w:szCs w:val="22"/>
                    </w:rPr>
                  </w:pPr>
                  <w:r>
                    <w:rPr>
                      <w:rFonts w:hint="eastAsia" w:ascii="宋体" w:hAnsi="宋体" w:cs="仿宋"/>
                      <w:color w:val="0000FF"/>
                      <w:szCs w:val="21"/>
                    </w:rPr>
                    <w:t>HCO</w:t>
                  </w:r>
                  <w:r>
                    <w:rPr>
                      <w:rFonts w:hint="eastAsia" w:ascii="宋体" w:hAnsi="宋体" w:cs="仿宋"/>
                      <w:color w:val="0000FF"/>
                      <w:szCs w:val="21"/>
                      <w:vertAlign w:val="subscript"/>
                    </w:rPr>
                    <w:t>3</w:t>
                  </w:r>
                  <w:r>
                    <w:rPr>
                      <w:rFonts w:hint="eastAsia" w:ascii="宋体" w:hAnsi="宋体" w:cs="仿宋"/>
                      <w:color w:val="0000FF"/>
                      <w:szCs w:val="21"/>
                      <w:vertAlign w:val="superscript"/>
                    </w:rPr>
                    <w:t>-</w:t>
                  </w:r>
                </w:p>
              </w:tc>
              <w:tc>
                <w:tcPr>
                  <w:tcW w:w="1198" w:type="dxa"/>
                  <w:vAlign w:val="center"/>
                </w:tcPr>
                <w:p>
                  <w:pPr>
                    <w:jc w:val="center"/>
                    <w:rPr>
                      <w:color w:val="0000FF"/>
                      <w:sz w:val="22"/>
                      <w:szCs w:val="21"/>
                    </w:rPr>
                  </w:pPr>
                  <w:r>
                    <w:rPr>
                      <w:rFonts w:hint="eastAsia"/>
                      <w:color w:val="0000FF"/>
                      <w:sz w:val="22"/>
                      <w:szCs w:val="21"/>
                    </w:rPr>
                    <w:t>376</w:t>
                  </w:r>
                </w:p>
              </w:tc>
              <w:tc>
                <w:tcPr>
                  <w:tcW w:w="1332" w:type="dxa"/>
                  <w:vAlign w:val="center"/>
                </w:tcPr>
                <w:p>
                  <w:pPr>
                    <w:jc w:val="center"/>
                    <w:rPr>
                      <w:color w:val="0000FF"/>
                      <w:sz w:val="22"/>
                      <w:szCs w:val="21"/>
                    </w:rPr>
                  </w:pPr>
                  <w:r>
                    <w:rPr>
                      <w:rFonts w:hint="eastAsia"/>
                      <w:color w:val="0000FF"/>
                      <w:sz w:val="22"/>
                      <w:szCs w:val="21"/>
                    </w:rPr>
                    <w:t>356</w:t>
                  </w:r>
                </w:p>
              </w:tc>
              <w:tc>
                <w:tcPr>
                  <w:tcW w:w="1308" w:type="dxa"/>
                  <w:vAlign w:val="center"/>
                </w:tcPr>
                <w:p>
                  <w:pPr>
                    <w:jc w:val="center"/>
                    <w:rPr>
                      <w:color w:val="0000FF"/>
                      <w:sz w:val="22"/>
                      <w:szCs w:val="21"/>
                    </w:rPr>
                  </w:pPr>
                  <w:r>
                    <w:rPr>
                      <w:rFonts w:hint="eastAsia"/>
                      <w:color w:val="0000FF"/>
                      <w:sz w:val="22"/>
                      <w:szCs w:val="21"/>
                    </w:rPr>
                    <w:t>/</w:t>
                  </w:r>
                </w:p>
              </w:tc>
              <w:tc>
                <w:tcPr>
                  <w:tcW w:w="1370" w:type="dxa"/>
                  <w:vAlign w:val="center"/>
                </w:tcPr>
                <w:p>
                  <w:pPr>
                    <w:jc w:val="center"/>
                    <w:rPr>
                      <w:color w:val="0000FF"/>
                      <w:sz w:val="22"/>
                      <w:szCs w:val="21"/>
                    </w:rPr>
                  </w:pPr>
                  <w:r>
                    <w:rPr>
                      <w:rFonts w:hint="eastAsia"/>
                      <w:color w:val="0000FF"/>
                      <w:sz w:val="22"/>
                      <w:szCs w:val="21"/>
                    </w:rPr>
                    <w:t>/</w:t>
                  </w:r>
                </w:p>
              </w:tc>
              <w:tc>
                <w:tcPr>
                  <w:tcW w:w="732" w:type="dxa"/>
                  <w:vAlign w:val="center"/>
                </w:tcPr>
                <w:p>
                  <w:pPr>
                    <w:jc w:val="center"/>
                    <w:rPr>
                      <w:color w:val="0000FF"/>
                      <w:sz w:val="22"/>
                      <w:szCs w:val="21"/>
                    </w:rPr>
                  </w:pPr>
                  <w:r>
                    <w:rPr>
                      <w:rFonts w:hint="eastAsia"/>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点位</w:t>
                  </w:r>
                </w:p>
              </w:tc>
              <w:tc>
                <w:tcPr>
                  <w:tcW w:w="7538" w:type="dxa"/>
                  <w:gridSpan w:val="6"/>
                  <w:vAlign w:val="center"/>
                </w:tcPr>
                <w:p>
                  <w:pPr>
                    <w:spacing w:line="240" w:lineRule="atLeast"/>
                    <w:jc w:val="center"/>
                    <w:rPr>
                      <w:color w:val="0000FF"/>
                      <w:szCs w:val="21"/>
                    </w:rPr>
                  </w:pPr>
                  <w:r>
                    <w:rPr>
                      <w:rFonts w:hint="eastAsia"/>
                      <w:color w:val="0000FF"/>
                      <w:szCs w:val="21"/>
                    </w:rPr>
                    <w:t>2#监测点位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序号</w:t>
                  </w:r>
                </w:p>
              </w:tc>
              <w:tc>
                <w:tcPr>
                  <w:tcW w:w="1598" w:type="dxa"/>
                  <w:vAlign w:val="center"/>
                </w:tcPr>
                <w:p>
                  <w:pPr>
                    <w:spacing w:line="240" w:lineRule="atLeast"/>
                    <w:jc w:val="center"/>
                    <w:rPr>
                      <w:color w:val="0000FF"/>
                      <w:szCs w:val="21"/>
                    </w:rPr>
                  </w:pPr>
                  <w:r>
                    <w:rPr>
                      <w:color w:val="0000FF"/>
                      <w:szCs w:val="21"/>
                    </w:rPr>
                    <w:t>项目</w:t>
                  </w:r>
                </w:p>
              </w:tc>
              <w:tc>
                <w:tcPr>
                  <w:tcW w:w="1198" w:type="dxa"/>
                  <w:vAlign w:val="center"/>
                </w:tcPr>
                <w:p>
                  <w:pPr>
                    <w:spacing w:line="240" w:lineRule="atLeast"/>
                    <w:jc w:val="center"/>
                    <w:rPr>
                      <w:color w:val="0000FF"/>
                      <w:szCs w:val="21"/>
                    </w:rPr>
                  </w:pPr>
                  <w:r>
                    <w:rPr>
                      <w:color w:val="0000FF"/>
                      <w:szCs w:val="21"/>
                    </w:rPr>
                    <w:t>9月5日（mg/L）</w:t>
                  </w:r>
                </w:p>
              </w:tc>
              <w:tc>
                <w:tcPr>
                  <w:tcW w:w="1332" w:type="dxa"/>
                  <w:vAlign w:val="center"/>
                </w:tcPr>
                <w:p>
                  <w:pPr>
                    <w:spacing w:line="240" w:lineRule="atLeast"/>
                    <w:jc w:val="center"/>
                    <w:rPr>
                      <w:color w:val="0000FF"/>
                      <w:szCs w:val="21"/>
                    </w:rPr>
                  </w:pPr>
                  <w:r>
                    <w:rPr>
                      <w:color w:val="0000FF"/>
                      <w:szCs w:val="21"/>
                    </w:rPr>
                    <w:t>9月6日（mg/L）</w:t>
                  </w:r>
                </w:p>
              </w:tc>
              <w:tc>
                <w:tcPr>
                  <w:tcW w:w="1308" w:type="dxa"/>
                  <w:vAlign w:val="center"/>
                </w:tcPr>
                <w:p>
                  <w:pPr>
                    <w:spacing w:line="240" w:lineRule="atLeast"/>
                    <w:jc w:val="center"/>
                    <w:rPr>
                      <w:color w:val="0000FF"/>
                      <w:szCs w:val="21"/>
                    </w:rPr>
                  </w:pPr>
                  <w:r>
                    <w:rPr>
                      <w:color w:val="0000FF"/>
                      <w:szCs w:val="21"/>
                    </w:rPr>
                    <w:t>标准（mg/L）</w:t>
                  </w:r>
                </w:p>
              </w:tc>
              <w:tc>
                <w:tcPr>
                  <w:tcW w:w="1370" w:type="dxa"/>
                  <w:vAlign w:val="center"/>
                </w:tcPr>
                <w:p>
                  <w:pPr>
                    <w:spacing w:line="240" w:lineRule="atLeast"/>
                    <w:jc w:val="center"/>
                    <w:rPr>
                      <w:color w:val="0000FF"/>
                      <w:szCs w:val="21"/>
                    </w:rPr>
                  </w:pPr>
                  <w:r>
                    <w:rPr>
                      <w:color w:val="0000FF"/>
                      <w:szCs w:val="21"/>
                    </w:rPr>
                    <w:t>单因子指数</w:t>
                  </w:r>
                </w:p>
              </w:tc>
              <w:tc>
                <w:tcPr>
                  <w:tcW w:w="732" w:type="dxa"/>
                  <w:vAlign w:val="center"/>
                </w:tcPr>
                <w:p>
                  <w:pPr>
                    <w:spacing w:line="240" w:lineRule="atLeast"/>
                    <w:jc w:val="center"/>
                    <w:rPr>
                      <w:color w:val="0000FF"/>
                      <w:szCs w:val="21"/>
                    </w:rPr>
                  </w:pPr>
                  <w:r>
                    <w:rPr>
                      <w:color w:val="0000FF"/>
                      <w:szCs w:val="21"/>
                    </w:rPr>
                    <w:t>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w:t>
                  </w:r>
                </w:p>
              </w:tc>
              <w:tc>
                <w:tcPr>
                  <w:tcW w:w="1598" w:type="dxa"/>
                  <w:vAlign w:val="center"/>
                </w:tcPr>
                <w:p>
                  <w:pPr>
                    <w:jc w:val="center"/>
                    <w:rPr>
                      <w:color w:val="0000FF"/>
                      <w:sz w:val="22"/>
                      <w:szCs w:val="21"/>
                    </w:rPr>
                  </w:pPr>
                  <w:r>
                    <w:rPr>
                      <w:color w:val="0000FF"/>
                      <w:szCs w:val="21"/>
                    </w:rPr>
                    <w:t>pH</w:t>
                  </w:r>
                </w:p>
              </w:tc>
              <w:tc>
                <w:tcPr>
                  <w:tcW w:w="1198" w:type="dxa"/>
                  <w:vAlign w:val="center"/>
                </w:tcPr>
                <w:p>
                  <w:pPr>
                    <w:jc w:val="center"/>
                    <w:rPr>
                      <w:color w:val="0000FF"/>
                      <w:sz w:val="22"/>
                      <w:szCs w:val="22"/>
                    </w:rPr>
                  </w:pPr>
                  <w:r>
                    <w:rPr>
                      <w:color w:val="0000FF"/>
                      <w:sz w:val="22"/>
                      <w:szCs w:val="22"/>
                    </w:rPr>
                    <w:t>7.23</w:t>
                  </w:r>
                </w:p>
              </w:tc>
              <w:tc>
                <w:tcPr>
                  <w:tcW w:w="1332" w:type="dxa"/>
                  <w:vAlign w:val="center"/>
                </w:tcPr>
                <w:p>
                  <w:pPr>
                    <w:jc w:val="center"/>
                    <w:rPr>
                      <w:color w:val="0000FF"/>
                      <w:sz w:val="22"/>
                      <w:szCs w:val="22"/>
                    </w:rPr>
                  </w:pPr>
                  <w:r>
                    <w:rPr>
                      <w:color w:val="0000FF"/>
                      <w:sz w:val="22"/>
                      <w:szCs w:val="22"/>
                    </w:rPr>
                    <w:t>7.24</w:t>
                  </w:r>
                </w:p>
              </w:tc>
              <w:tc>
                <w:tcPr>
                  <w:tcW w:w="1308" w:type="dxa"/>
                  <w:vAlign w:val="center"/>
                </w:tcPr>
                <w:p>
                  <w:pPr>
                    <w:jc w:val="center"/>
                    <w:rPr>
                      <w:color w:val="0000FF"/>
                      <w:sz w:val="22"/>
                      <w:szCs w:val="21"/>
                    </w:rPr>
                  </w:pPr>
                  <w:r>
                    <w:rPr>
                      <w:color w:val="0000FF"/>
                      <w:sz w:val="22"/>
                      <w:szCs w:val="21"/>
                    </w:rPr>
                    <w:t>6.5～8.5</w:t>
                  </w:r>
                </w:p>
              </w:tc>
              <w:tc>
                <w:tcPr>
                  <w:tcW w:w="1370" w:type="dxa"/>
                  <w:vAlign w:val="center"/>
                </w:tcPr>
                <w:p>
                  <w:pPr>
                    <w:jc w:val="center"/>
                    <w:rPr>
                      <w:color w:val="0000FF"/>
                      <w:szCs w:val="21"/>
                    </w:rPr>
                  </w:pPr>
                  <w:r>
                    <w:rPr>
                      <w:color w:val="0000FF"/>
                      <w:szCs w:val="21"/>
                    </w:rPr>
                    <w:t>0.18~0.19</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w:t>
                  </w:r>
                </w:p>
              </w:tc>
              <w:tc>
                <w:tcPr>
                  <w:tcW w:w="1598" w:type="dxa"/>
                  <w:vAlign w:val="center"/>
                </w:tcPr>
                <w:p>
                  <w:pPr>
                    <w:jc w:val="center"/>
                    <w:rPr>
                      <w:color w:val="0000FF"/>
                      <w:sz w:val="22"/>
                      <w:szCs w:val="21"/>
                    </w:rPr>
                  </w:pPr>
                  <w:r>
                    <w:rPr>
                      <w:color w:val="0000FF"/>
                      <w:szCs w:val="21"/>
                    </w:rPr>
                    <w:t>总硬度</w:t>
                  </w:r>
                </w:p>
              </w:tc>
              <w:tc>
                <w:tcPr>
                  <w:tcW w:w="1198" w:type="dxa"/>
                  <w:vAlign w:val="center"/>
                </w:tcPr>
                <w:p>
                  <w:pPr>
                    <w:jc w:val="center"/>
                    <w:rPr>
                      <w:color w:val="0000FF"/>
                      <w:sz w:val="22"/>
                      <w:szCs w:val="22"/>
                    </w:rPr>
                  </w:pPr>
                  <w:r>
                    <w:rPr>
                      <w:color w:val="0000FF"/>
                      <w:sz w:val="22"/>
                      <w:szCs w:val="22"/>
                    </w:rPr>
                    <w:t>389</w:t>
                  </w:r>
                </w:p>
              </w:tc>
              <w:tc>
                <w:tcPr>
                  <w:tcW w:w="1332" w:type="dxa"/>
                  <w:vAlign w:val="center"/>
                </w:tcPr>
                <w:p>
                  <w:pPr>
                    <w:jc w:val="center"/>
                    <w:rPr>
                      <w:color w:val="0000FF"/>
                      <w:sz w:val="22"/>
                      <w:szCs w:val="22"/>
                    </w:rPr>
                  </w:pPr>
                  <w:r>
                    <w:rPr>
                      <w:color w:val="0000FF"/>
                      <w:sz w:val="22"/>
                      <w:szCs w:val="22"/>
                    </w:rPr>
                    <w:t>370</w:t>
                  </w:r>
                </w:p>
              </w:tc>
              <w:tc>
                <w:tcPr>
                  <w:tcW w:w="1308" w:type="dxa"/>
                  <w:vAlign w:val="center"/>
                </w:tcPr>
                <w:p>
                  <w:pPr>
                    <w:jc w:val="center"/>
                    <w:rPr>
                      <w:color w:val="0000FF"/>
                      <w:sz w:val="22"/>
                      <w:szCs w:val="21"/>
                    </w:rPr>
                  </w:pPr>
                  <w:r>
                    <w:rPr>
                      <w:color w:val="0000FF"/>
                      <w:sz w:val="22"/>
                      <w:szCs w:val="21"/>
                    </w:rPr>
                    <w:t>≤450</w:t>
                  </w:r>
                </w:p>
              </w:tc>
              <w:tc>
                <w:tcPr>
                  <w:tcW w:w="1370" w:type="dxa"/>
                  <w:vAlign w:val="center"/>
                </w:tcPr>
                <w:p>
                  <w:pPr>
                    <w:jc w:val="center"/>
                    <w:rPr>
                      <w:color w:val="0000FF"/>
                      <w:szCs w:val="21"/>
                    </w:rPr>
                  </w:pPr>
                  <w:r>
                    <w:rPr>
                      <w:color w:val="0000FF"/>
                      <w:szCs w:val="21"/>
                    </w:rPr>
                    <w:t>0.86~0.82</w:t>
                  </w:r>
                </w:p>
              </w:tc>
              <w:tc>
                <w:tcPr>
                  <w:tcW w:w="732" w:type="dxa"/>
                  <w:vAlign w:val="center"/>
                </w:tcPr>
                <w:p>
                  <w:pPr>
                    <w:spacing w:line="240" w:lineRule="atLeast"/>
                    <w:jc w:val="center"/>
                    <w:rPr>
                      <w:color w:val="0000FF"/>
                      <w:szCs w:val="21"/>
                    </w:rPr>
                  </w:pPr>
                  <w:r>
                    <w:rPr>
                      <w:color w:val="0000FF"/>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3</w:t>
                  </w:r>
                </w:p>
              </w:tc>
              <w:tc>
                <w:tcPr>
                  <w:tcW w:w="1598" w:type="dxa"/>
                  <w:vAlign w:val="center"/>
                </w:tcPr>
                <w:p>
                  <w:pPr>
                    <w:jc w:val="center"/>
                    <w:rPr>
                      <w:color w:val="0000FF"/>
                      <w:sz w:val="22"/>
                      <w:szCs w:val="21"/>
                    </w:rPr>
                  </w:pPr>
                  <w:r>
                    <w:rPr>
                      <w:color w:val="0000FF"/>
                      <w:szCs w:val="21"/>
                    </w:rPr>
                    <w:t>氨氮</w:t>
                  </w:r>
                </w:p>
              </w:tc>
              <w:tc>
                <w:tcPr>
                  <w:tcW w:w="1198" w:type="dxa"/>
                  <w:vAlign w:val="center"/>
                </w:tcPr>
                <w:p>
                  <w:pPr>
                    <w:jc w:val="center"/>
                    <w:rPr>
                      <w:color w:val="0000FF"/>
                      <w:sz w:val="22"/>
                      <w:szCs w:val="22"/>
                    </w:rPr>
                  </w:pPr>
                  <w:r>
                    <w:rPr>
                      <w:color w:val="0000FF"/>
                      <w:sz w:val="22"/>
                      <w:szCs w:val="22"/>
                    </w:rPr>
                    <w:t>0.186</w:t>
                  </w:r>
                </w:p>
              </w:tc>
              <w:tc>
                <w:tcPr>
                  <w:tcW w:w="1332" w:type="dxa"/>
                  <w:vAlign w:val="center"/>
                </w:tcPr>
                <w:p>
                  <w:pPr>
                    <w:jc w:val="center"/>
                    <w:rPr>
                      <w:color w:val="0000FF"/>
                      <w:sz w:val="22"/>
                      <w:szCs w:val="22"/>
                    </w:rPr>
                  </w:pPr>
                  <w:r>
                    <w:rPr>
                      <w:color w:val="0000FF"/>
                      <w:sz w:val="22"/>
                      <w:szCs w:val="22"/>
                    </w:rPr>
                    <w:t>0.199</w:t>
                  </w:r>
                </w:p>
              </w:tc>
              <w:tc>
                <w:tcPr>
                  <w:tcW w:w="1308" w:type="dxa"/>
                  <w:vAlign w:val="center"/>
                </w:tcPr>
                <w:p>
                  <w:pPr>
                    <w:jc w:val="center"/>
                    <w:rPr>
                      <w:color w:val="0000FF"/>
                      <w:sz w:val="22"/>
                      <w:szCs w:val="21"/>
                    </w:rPr>
                  </w:pPr>
                  <w:r>
                    <w:rPr>
                      <w:color w:val="0000FF"/>
                      <w:sz w:val="22"/>
                      <w:szCs w:val="21"/>
                    </w:rPr>
                    <w:t>≤0.5</w:t>
                  </w:r>
                </w:p>
              </w:tc>
              <w:tc>
                <w:tcPr>
                  <w:tcW w:w="1370" w:type="dxa"/>
                  <w:vAlign w:val="center"/>
                </w:tcPr>
                <w:p>
                  <w:pPr>
                    <w:jc w:val="center"/>
                    <w:rPr>
                      <w:color w:val="0000FF"/>
                      <w:szCs w:val="21"/>
                    </w:rPr>
                  </w:pPr>
                  <w:r>
                    <w:rPr>
                      <w:color w:val="0000FF"/>
                      <w:szCs w:val="21"/>
                    </w:rPr>
                    <w:t>0.37~0.4</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4</w:t>
                  </w:r>
                </w:p>
              </w:tc>
              <w:tc>
                <w:tcPr>
                  <w:tcW w:w="1598" w:type="dxa"/>
                  <w:vAlign w:val="center"/>
                </w:tcPr>
                <w:p>
                  <w:pPr>
                    <w:jc w:val="center"/>
                    <w:rPr>
                      <w:color w:val="0000FF"/>
                      <w:sz w:val="22"/>
                      <w:szCs w:val="21"/>
                    </w:rPr>
                  </w:pPr>
                  <w:r>
                    <w:rPr>
                      <w:color w:val="0000FF"/>
                      <w:szCs w:val="21"/>
                    </w:rPr>
                    <w:t>溶解性总固体</w:t>
                  </w:r>
                </w:p>
              </w:tc>
              <w:tc>
                <w:tcPr>
                  <w:tcW w:w="1198" w:type="dxa"/>
                  <w:vAlign w:val="center"/>
                </w:tcPr>
                <w:p>
                  <w:pPr>
                    <w:jc w:val="center"/>
                    <w:rPr>
                      <w:color w:val="0000FF"/>
                      <w:sz w:val="22"/>
                      <w:szCs w:val="22"/>
                    </w:rPr>
                  </w:pPr>
                  <w:r>
                    <w:rPr>
                      <w:color w:val="0000FF"/>
                      <w:sz w:val="22"/>
                      <w:szCs w:val="22"/>
                    </w:rPr>
                    <w:t>776</w:t>
                  </w:r>
                </w:p>
              </w:tc>
              <w:tc>
                <w:tcPr>
                  <w:tcW w:w="1332" w:type="dxa"/>
                  <w:vAlign w:val="center"/>
                </w:tcPr>
                <w:p>
                  <w:pPr>
                    <w:jc w:val="center"/>
                    <w:rPr>
                      <w:color w:val="0000FF"/>
                      <w:sz w:val="22"/>
                      <w:szCs w:val="22"/>
                    </w:rPr>
                  </w:pPr>
                  <w:r>
                    <w:rPr>
                      <w:color w:val="0000FF"/>
                      <w:sz w:val="22"/>
                      <w:szCs w:val="22"/>
                    </w:rPr>
                    <w:t>792</w:t>
                  </w:r>
                </w:p>
              </w:tc>
              <w:tc>
                <w:tcPr>
                  <w:tcW w:w="1308" w:type="dxa"/>
                  <w:vAlign w:val="center"/>
                </w:tcPr>
                <w:p>
                  <w:pPr>
                    <w:jc w:val="center"/>
                    <w:rPr>
                      <w:color w:val="0000FF"/>
                      <w:sz w:val="22"/>
                      <w:szCs w:val="21"/>
                    </w:rPr>
                  </w:pPr>
                  <w:r>
                    <w:rPr>
                      <w:color w:val="0000FF"/>
                      <w:sz w:val="22"/>
                      <w:szCs w:val="21"/>
                    </w:rPr>
                    <w:t>≤1000</w:t>
                  </w:r>
                </w:p>
              </w:tc>
              <w:tc>
                <w:tcPr>
                  <w:tcW w:w="1370" w:type="dxa"/>
                  <w:vAlign w:val="center"/>
                </w:tcPr>
                <w:p>
                  <w:pPr>
                    <w:jc w:val="center"/>
                    <w:rPr>
                      <w:color w:val="0000FF"/>
                      <w:szCs w:val="21"/>
                    </w:rPr>
                  </w:pPr>
                  <w:r>
                    <w:rPr>
                      <w:color w:val="0000FF"/>
                      <w:szCs w:val="21"/>
                    </w:rPr>
                    <w:t>0.78~0.79</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cr/>
                  </w:r>
                  <w:r>
                    <w:rPr>
                      <w:color w:val="0000FF"/>
                      <w:szCs w:val="21"/>
                    </w:rPr>
                    <w:t>5</w:t>
                  </w:r>
                </w:p>
              </w:tc>
              <w:tc>
                <w:tcPr>
                  <w:tcW w:w="1598" w:type="dxa"/>
                  <w:vAlign w:val="center"/>
                </w:tcPr>
                <w:p>
                  <w:pPr>
                    <w:jc w:val="center"/>
                    <w:rPr>
                      <w:color w:val="0000FF"/>
                      <w:sz w:val="22"/>
                      <w:szCs w:val="21"/>
                    </w:rPr>
                  </w:pPr>
                  <w:r>
                    <w:rPr>
                      <w:color w:val="0000FF"/>
                      <w:szCs w:val="21"/>
                    </w:rPr>
                    <w:t>挥发酚</w:t>
                  </w:r>
                </w:p>
              </w:tc>
              <w:tc>
                <w:tcPr>
                  <w:tcW w:w="1198" w:type="dxa"/>
                  <w:vAlign w:val="center"/>
                </w:tcPr>
                <w:p>
                  <w:pPr>
                    <w:jc w:val="center"/>
                    <w:rPr>
                      <w:color w:val="0000FF"/>
                      <w:sz w:val="22"/>
                      <w:szCs w:val="22"/>
                    </w:rPr>
                  </w:pPr>
                  <w:r>
                    <w:rPr>
                      <w:color w:val="0000FF"/>
                      <w:sz w:val="22"/>
                      <w:szCs w:val="22"/>
                    </w:rPr>
                    <w:t>0.0003L</w:t>
                  </w:r>
                </w:p>
              </w:tc>
              <w:tc>
                <w:tcPr>
                  <w:tcW w:w="1332" w:type="dxa"/>
                  <w:vAlign w:val="center"/>
                </w:tcPr>
                <w:p>
                  <w:pPr>
                    <w:jc w:val="center"/>
                    <w:rPr>
                      <w:color w:val="0000FF"/>
                      <w:sz w:val="22"/>
                      <w:szCs w:val="22"/>
                    </w:rPr>
                  </w:pPr>
                  <w:r>
                    <w:rPr>
                      <w:color w:val="0000FF"/>
                      <w:sz w:val="22"/>
                      <w:szCs w:val="22"/>
                    </w:rPr>
                    <w:t>0.0003L</w:t>
                  </w:r>
                </w:p>
              </w:tc>
              <w:tc>
                <w:tcPr>
                  <w:tcW w:w="1308" w:type="dxa"/>
                  <w:vAlign w:val="center"/>
                </w:tcPr>
                <w:p>
                  <w:pPr>
                    <w:jc w:val="center"/>
                    <w:rPr>
                      <w:color w:val="0000FF"/>
                      <w:sz w:val="22"/>
                      <w:szCs w:val="21"/>
                    </w:rPr>
                  </w:pPr>
                  <w:r>
                    <w:rPr>
                      <w:color w:val="0000FF"/>
                      <w:sz w:val="22"/>
                      <w:szCs w:val="21"/>
                    </w:rPr>
                    <w:t>≤0.002</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6</w:t>
                  </w:r>
                </w:p>
              </w:tc>
              <w:tc>
                <w:tcPr>
                  <w:tcW w:w="1598" w:type="dxa"/>
                  <w:vAlign w:val="center"/>
                </w:tcPr>
                <w:p>
                  <w:pPr>
                    <w:jc w:val="center"/>
                    <w:rPr>
                      <w:color w:val="0000FF"/>
                      <w:sz w:val="22"/>
                      <w:szCs w:val="21"/>
                    </w:rPr>
                  </w:pPr>
                  <w:r>
                    <w:rPr>
                      <w:color w:val="0000FF"/>
                      <w:szCs w:val="21"/>
                    </w:rPr>
                    <w:t>氰化物</w:t>
                  </w:r>
                </w:p>
              </w:tc>
              <w:tc>
                <w:tcPr>
                  <w:tcW w:w="1198" w:type="dxa"/>
                  <w:vAlign w:val="center"/>
                </w:tcPr>
                <w:p>
                  <w:pPr>
                    <w:jc w:val="center"/>
                    <w:rPr>
                      <w:color w:val="0000FF"/>
                      <w:sz w:val="22"/>
                      <w:szCs w:val="22"/>
                    </w:rPr>
                  </w:pPr>
                  <w:r>
                    <w:rPr>
                      <w:color w:val="0000FF"/>
                      <w:sz w:val="22"/>
                      <w:szCs w:val="22"/>
                    </w:rPr>
                    <w:t>0.004L</w:t>
                  </w:r>
                </w:p>
              </w:tc>
              <w:tc>
                <w:tcPr>
                  <w:tcW w:w="1332" w:type="dxa"/>
                  <w:vAlign w:val="center"/>
                </w:tcPr>
                <w:p>
                  <w:pPr>
                    <w:jc w:val="center"/>
                    <w:rPr>
                      <w:color w:val="0000FF"/>
                      <w:sz w:val="22"/>
                      <w:szCs w:val="22"/>
                    </w:rPr>
                  </w:pPr>
                  <w:r>
                    <w:rPr>
                      <w:color w:val="0000FF"/>
                      <w:sz w:val="22"/>
                      <w:szCs w:val="22"/>
                    </w:rPr>
                    <w:t>0.004L</w:t>
                  </w:r>
                </w:p>
              </w:tc>
              <w:tc>
                <w:tcPr>
                  <w:tcW w:w="1308" w:type="dxa"/>
                  <w:vAlign w:val="center"/>
                </w:tcPr>
                <w:p>
                  <w:pPr>
                    <w:jc w:val="center"/>
                    <w:rPr>
                      <w:color w:val="0000FF"/>
                      <w:sz w:val="22"/>
                      <w:szCs w:val="21"/>
                    </w:rPr>
                  </w:pPr>
                  <w:r>
                    <w:rPr>
                      <w:color w:val="0000FF"/>
                      <w:sz w:val="22"/>
                      <w:szCs w:val="21"/>
                    </w:rPr>
                    <w:t>≤0.05</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7</w:t>
                  </w:r>
                </w:p>
              </w:tc>
              <w:tc>
                <w:tcPr>
                  <w:tcW w:w="1598" w:type="dxa"/>
                  <w:vAlign w:val="center"/>
                </w:tcPr>
                <w:p>
                  <w:pPr>
                    <w:jc w:val="center"/>
                    <w:rPr>
                      <w:color w:val="0000FF"/>
                      <w:sz w:val="22"/>
                      <w:szCs w:val="21"/>
                    </w:rPr>
                  </w:pPr>
                  <w:r>
                    <w:rPr>
                      <w:color w:val="0000FF"/>
                      <w:szCs w:val="21"/>
                    </w:rPr>
                    <w:t>氟化物</w:t>
                  </w:r>
                </w:p>
              </w:tc>
              <w:tc>
                <w:tcPr>
                  <w:tcW w:w="1198" w:type="dxa"/>
                  <w:vAlign w:val="center"/>
                </w:tcPr>
                <w:p>
                  <w:pPr>
                    <w:jc w:val="center"/>
                    <w:rPr>
                      <w:color w:val="0000FF"/>
                      <w:sz w:val="22"/>
                      <w:szCs w:val="22"/>
                    </w:rPr>
                  </w:pPr>
                  <w:r>
                    <w:rPr>
                      <w:color w:val="0000FF"/>
                      <w:sz w:val="22"/>
                      <w:szCs w:val="22"/>
                    </w:rPr>
                    <w:t>0.203</w:t>
                  </w:r>
                </w:p>
              </w:tc>
              <w:tc>
                <w:tcPr>
                  <w:tcW w:w="1332" w:type="dxa"/>
                  <w:vAlign w:val="center"/>
                </w:tcPr>
                <w:p>
                  <w:pPr>
                    <w:jc w:val="center"/>
                    <w:rPr>
                      <w:color w:val="0000FF"/>
                      <w:sz w:val="22"/>
                      <w:szCs w:val="22"/>
                    </w:rPr>
                  </w:pPr>
                  <w:r>
                    <w:rPr>
                      <w:color w:val="0000FF"/>
                      <w:sz w:val="22"/>
                      <w:szCs w:val="22"/>
                    </w:rPr>
                    <w:t>0.212</w:t>
                  </w:r>
                </w:p>
              </w:tc>
              <w:tc>
                <w:tcPr>
                  <w:tcW w:w="1308" w:type="dxa"/>
                  <w:vAlign w:val="center"/>
                </w:tcPr>
                <w:p>
                  <w:pPr>
                    <w:jc w:val="center"/>
                    <w:rPr>
                      <w:color w:val="0000FF"/>
                      <w:sz w:val="22"/>
                      <w:szCs w:val="21"/>
                    </w:rPr>
                  </w:pPr>
                  <w:r>
                    <w:rPr>
                      <w:color w:val="0000FF"/>
                      <w:sz w:val="22"/>
                      <w:szCs w:val="21"/>
                    </w:rPr>
                    <w:t>≤1.0</w:t>
                  </w:r>
                </w:p>
              </w:tc>
              <w:tc>
                <w:tcPr>
                  <w:tcW w:w="1370" w:type="dxa"/>
                  <w:vAlign w:val="center"/>
                </w:tcPr>
                <w:p>
                  <w:pPr>
                    <w:jc w:val="center"/>
                    <w:rPr>
                      <w:color w:val="0000FF"/>
                      <w:szCs w:val="21"/>
                    </w:rPr>
                  </w:pPr>
                  <w:r>
                    <w:rPr>
                      <w:color w:val="0000FF"/>
                      <w:szCs w:val="21"/>
                    </w:rPr>
                    <w:t>0.2~0.21</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8</w:t>
                  </w:r>
                </w:p>
              </w:tc>
              <w:tc>
                <w:tcPr>
                  <w:tcW w:w="1598" w:type="dxa"/>
                  <w:vAlign w:val="center"/>
                </w:tcPr>
                <w:p>
                  <w:pPr>
                    <w:jc w:val="center"/>
                    <w:rPr>
                      <w:color w:val="0000FF"/>
                      <w:sz w:val="22"/>
                      <w:szCs w:val="21"/>
                    </w:rPr>
                  </w:pPr>
                  <w:r>
                    <w:rPr>
                      <w:color w:val="0000FF"/>
                      <w:szCs w:val="21"/>
                    </w:rPr>
                    <w:t>铜</w:t>
                  </w:r>
                </w:p>
              </w:tc>
              <w:tc>
                <w:tcPr>
                  <w:tcW w:w="1198" w:type="dxa"/>
                  <w:vAlign w:val="center"/>
                </w:tcPr>
                <w:p>
                  <w:pPr>
                    <w:jc w:val="center"/>
                    <w:rPr>
                      <w:color w:val="0000FF"/>
                      <w:sz w:val="22"/>
                      <w:szCs w:val="22"/>
                    </w:rPr>
                  </w:pPr>
                  <w:r>
                    <w:rPr>
                      <w:color w:val="0000FF"/>
                      <w:sz w:val="22"/>
                      <w:szCs w:val="22"/>
                    </w:rPr>
                    <w:t>0.001L</w:t>
                  </w:r>
                </w:p>
              </w:tc>
              <w:tc>
                <w:tcPr>
                  <w:tcW w:w="1332" w:type="dxa"/>
                  <w:vAlign w:val="center"/>
                </w:tcPr>
                <w:p>
                  <w:pPr>
                    <w:jc w:val="center"/>
                    <w:rPr>
                      <w:color w:val="0000FF"/>
                      <w:sz w:val="22"/>
                      <w:szCs w:val="22"/>
                    </w:rPr>
                  </w:pPr>
                  <w:r>
                    <w:rPr>
                      <w:color w:val="0000FF"/>
                      <w:sz w:val="22"/>
                      <w:szCs w:val="22"/>
                    </w:rPr>
                    <w:t>0.001L</w:t>
                  </w:r>
                </w:p>
              </w:tc>
              <w:tc>
                <w:tcPr>
                  <w:tcW w:w="1308" w:type="dxa"/>
                  <w:vAlign w:val="center"/>
                </w:tcPr>
                <w:p>
                  <w:pPr>
                    <w:jc w:val="center"/>
                    <w:rPr>
                      <w:color w:val="0000FF"/>
                      <w:sz w:val="22"/>
                      <w:szCs w:val="21"/>
                    </w:rPr>
                  </w:pPr>
                  <w:r>
                    <w:rPr>
                      <w:color w:val="0000FF"/>
                      <w:sz w:val="22"/>
                      <w:szCs w:val="21"/>
                    </w:rPr>
                    <w:t>≤1.00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9</w:t>
                  </w:r>
                </w:p>
              </w:tc>
              <w:tc>
                <w:tcPr>
                  <w:tcW w:w="1598" w:type="dxa"/>
                  <w:vAlign w:val="center"/>
                </w:tcPr>
                <w:p>
                  <w:pPr>
                    <w:jc w:val="center"/>
                    <w:rPr>
                      <w:color w:val="0000FF"/>
                      <w:sz w:val="22"/>
                      <w:szCs w:val="21"/>
                    </w:rPr>
                  </w:pPr>
                  <w:r>
                    <w:rPr>
                      <w:color w:val="0000FF"/>
                      <w:szCs w:val="21"/>
                    </w:rPr>
                    <w:t>镉</w:t>
                  </w:r>
                </w:p>
              </w:tc>
              <w:tc>
                <w:tcPr>
                  <w:tcW w:w="1198" w:type="dxa"/>
                  <w:vAlign w:val="center"/>
                </w:tcPr>
                <w:p>
                  <w:pPr>
                    <w:jc w:val="center"/>
                    <w:rPr>
                      <w:color w:val="0000FF"/>
                      <w:sz w:val="22"/>
                      <w:szCs w:val="22"/>
                    </w:rPr>
                  </w:pPr>
                  <w:r>
                    <w:rPr>
                      <w:color w:val="0000FF"/>
                      <w:sz w:val="22"/>
                      <w:szCs w:val="22"/>
                    </w:rPr>
                    <w:t>0.001L</w:t>
                  </w:r>
                </w:p>
              </w:tc>
              <w:tc>
                <w:tcPr>
                  <w:tcW w:w="1332" w:type="dxa"/>
                  <w:vAlign w:val="center"/>
                </w:tcPr>
                <w:p>
                  <w:pPr>
                    <w:jc w:val="center"/>
                    <w:rPr>
                      <w:color w:val="0000FF"/>
                      <w:sz w:val="22"/>
                      <w:szCs w:val="22"/>
                    </w:rPr>
                  </w:pPr>
                  <w:r>
                    <w:rPr>
                      <w:color w:val="0000FF"/>
                      <w:sz w:val="22"/>
                      <w:szCs w:val="22"/>
                    </w:rPr>
                    <w:t>0.001L</w:t>
                  </w:r>
                </w:p>
              </w:tc>
              <w:tc>
                <w:tcPr>
                  <w:tcW w:w="1308" w:type="dxa"/>
                  <w:vAlign w:val="center"/>
                </w:tcPr>
                <w:p>
                  <w:pPr>
                    <w:jc w:val="center"/>
                    <w:rPr>
                      <w:color w:val="0000FF"/>
                      <w:sz w:val="22"/>
                      <w:szCs w:val="21"/>
                    </w:rPr>
                  </w:pPr>
                  <w:r>
                    <w:rPr>
                      <w:color w:val="0000FF"/>
                      <w:sz w:val="22"/>
                      <w:szCs w:val="21"/>
                    </w:rPr>
                    <w:t>≤0.005</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10</w:t>
                  </w:r>
                </w:p>
              </w:tc>
              <w:tc>
                <w:tcPr>
                  <w:tcW w:w="1598" w:type="dxa"/>
                  <w:vAlign w:val="center"/>
                </w:tcPr>
                <w:p>
                  <w:pPr>
                    <w:jc w:val="center"/>
                    <w:rPr>
                      <w:color w:val="0000FF"/>
                      <w:sz w:val="22"/>
                      <w:szCs w:val="21"/>
                    </w:rPr>
                  </w:pPr>
                  <w:r>
                    <w:rPr>
                      <w:color w:val="0000FF"/>
                      <w:szCs w:val="21"/>
                    </w:rPr>
                    <w:t>铅</w:t>
                  </w:r>
                </w:p>
              </w:tc>
              <w:tc>
                <w:tcPr>
                  <w:tcW w:w="1198" w:type="dxa"/>
                  <w:vAlign w:val="center"/>
                </w:tcPr>
                <w:p>
                  <w:pPr>
                    <w:jc w:val="center"/>
                    <w:rPr>
                      <w:color w:val="0000FF"/>
                      <w:sz w:val="22"/>
                      <w:szCs w:val="22"/>
                    </w:rPr>
                  </w:pPr>
                  <w:r>
                    <w:rPr>
                      <w:color w:val="0000FF"/>
                      <w:sz w:val="22"/>
                      <w:szCs w:val="22"/>
                    </w:rPr>
                    <w:t>0.01L</w:t>
                  </w:r>
                </w:p>
              </w:tc>
              <w:tc>
                <w:tcPr>
                  <w:tcW w:w="1332" w:type="dxa"/>
                  <w:vAlign w:val="center"/>
                </w:tcPr>
                <w:p>
                  <w:pPr>
                    <w:jc w:val="center"/>
                    <w:rPr>
                      <w:color w:val="0000FF"/>
                      <w:sz w:val="22"/>
                      <w:szCs w:val="22"/>
                    </w:rPr>
                  </w:pPr>
                  <w:r>
                    <w:rPr>
                      <w:color w:val="0000FF"/>
                      <w:sz w:val="22"/>
                      <w:szCs w:val="22"/>
                    </w:rPr>
                    <w:t>0.01L</w:t>
                  </w:r>
                </w:p>
              </w:tc>
              <w:tc>
                <w:tcPr>
                  <w:tcW w:w="1308" w:type="dxa"/>
                  <w:vAlign w:val="center"/>
                </w:tcPr>
                <w:p>
                  <w:pPr>
                    <w:jc w:val="center"/>
                    <w:rPr>
                      <w:color w:val="0000FF"/>
                      <w:sz w:val="22"/>
                      <w:szCs w:val="21"/>
                    </w:rPr>
                  </w:pPr>
                  <w:r>
                    <w:rPr>
                      <w:color w:val="0000FF"/>
                      <w:sz w:val="22"/>
                      <w:szCs w:val="21"/>
                    </w:rPr>
                    <w:t>≤0.01</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11</w:t>
                  </w:r>
                </w:p>
              </w:tc>
              <w:tc>
                <w:tcPr>
                  <w:tcW w:w="1598" w:type="dxa"/>
                  <w:vAlign w:val="center"/>
                </w:tcPr>
                <w:p>
                  <w:pPr>
                    <w:jc w:val="center"/>
                    <w:rPr>
                      <w:color w:val="0000FF"/>
                      <w:sz w:val="22"/>
                      <w:szCs w:val="21"/>
                    </w:rPr>
                  </w:pPr>
                  <w:r>
                    <w:rPr>
                      <w:color w:val="0000FF"/>
                      <w:szCs w:val="21"/>
                    </w:rPr>
                    <w:t>锌</w:t>
                  </w:r>
                </w:p>
              </w:tc>
              <w:tc>
                <w:tcPr>
                  <w:tcW w:w="1198" w:type="dxa"/>
                  <w:vAlign w:val="center"/>
                </w:tcPr>
                <w:p>
                  <w:pPr>
                    <w:jc w:val="center"/>
                    <w:rPr>
                      <w:color w:val="0000FF"/>
                      <w:sz w:val="22"/>
                      <w:szCs w:val="22"/>
                    </w:rPr>
                  </w:pPr>
                  <w:r>
                    <w:rPr>
                      <w:color w:val="0000FF"/>
                      <w:sz w:val="22"/>
                      <w:szCs w:val="22"/>
                    </w:rPr>
                    <w:t>0.05L</w:t>
                  </w:r>
                </w:p>
              </w:tc>
              <w:tc>
                <w:tcPr>
                  <w:tcW w:w="1332" w:type="dxa"/>
                  <w:vAlign w:val="center"/>
                </w:tcPr>
                <w:p>
                  <w:pPr>
                    <w:jc w:val="center"/>
                    <w:rPr>
                      <w:color w:val="0000FF"/>
                      <w:sz w:val="22"/>
                      <w:szCs w:val="22"/>
                    </w:rPr>
                  </w:pPr>
                  <w:r>
                    <w:rPr>
                      <w:color w:val="0000FF"/>
                      <w:sz w:val="22"/>
                      <w:szCs w:val="22"/>
                    </w:rPr>
                    <w:t>0.05L</w:t>
                  </w:r>
                </w:p>
              </w:tc>
              <w:tc>
                <w:tcPr>
                  <w:tcW w:w="1308" w:type="dxa"/>
                  <w:vAlign w:val="center"/>
                </w:tcPr>
                <w:p>
                  <w:pPr>
                    <w:jc w:val="center"/>
                    <w:rPr>
                      <w:color w:val="0000FF"/>
                      <w:sz w:val="22"/>
                      <w:szCs w:val="21"/>
                    </w:rPr>
                  </w:pPr>
                  <w:r>
                    <w:rPr>
                      <w:color w:val="0000FF"/>
                      <w:sz w:val="22"/>
                      <w:szCs w:val="21"/>
                    </w:rPr>
                    <w:t>≤1.00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12</w:t>
                  </w:r>
                </w:p>
              </w:tc>
              <w:tc>
                <w:tcPr>
                  <w:tcW w:w="1598" w:type="dxa"/>
                  <w:vAlign w:val="center"/>
                </w:tcPr>
                <w:p>
                  <w:pPr>
                    <w:jc w:val="center"/>
                    <w:rPr>
                      <w:color w:val="0000FF"/>
                      <w:sz w:val="22"/>
                      <w:szCs w:val="21"/>
                    </w:rPr>
                  </w:pPr>
                  <w:r>
                    <w:rPr>
                      <w:color w:val="0000FF"/>
                      <w:szCs w:val="21"/>
                    </w:rPr>
                    <w:t>六价铬</w:t>
                  </w:r>
                </w:p>
              </w:tc>
              <w:tc>
                <w:tcPr>
                  <w:tcW w:w="1198" w:type="dxa"/>
                  <w:vAlign w:val="center"/>
                </w:tcPr>
                <w:p>
                  <w:pPr>
                    <w:jc w:val="center"/>
                    <w:rPr>
                      <w:color w:val="0000FF"/>
                      <w:sz w:val="22"/>
                      <w:szCs w:val="22"/>
                    </w:rPr>
                  </w:pPr>
                  <w:r>
                    <w:rPr>
                      <w:color w:val="0000FF"/>
                      <w:sz w:val="22"/>
                      <w:szCs w:val="22"/>
                    </w:rPr>
                    <w:t>0.022</w:t>
                  </w:r>
                </w:p>
              </w:tc>
              <w:tc>
                <w:tcPr>
                  <w:tcW w:w="1332" w:type="dxa"/>
                  <w:vAlign w:val="center"/>
                </w:tcPr>
                <w:p>
                  <w:pPr>
                    <w:jc w:val="center"/>
                    <w:rPr>
                      <w:color w:val="0000FF"/>
                      <w:sz w:val="22"/>
                      <w:szCs w:val="22"/>
                    </w:rPr>
                  </w:pPr>
                  <w:r>
                    <w:rPr>
                      <w:color w:val="0000FF"/>
                      <w:sz w:val="22"/>
                      <w:szCs w:val="22"/>
                    </w:rPr>
                    <w:t>0.025</w:t>
                  </w:r>
                </w:p>
              </w:tc>
              <w:tc>
                <w:tcPr>
                  <w:tcW w:w="1308" w:type="dxa"/>
                  <w:vAlign w:val="center"/>
                </w:tcPr>
                <w:p>
                  <w:pPr>
                    <w:jc w:val="center"/>
                    <w:rPr>
                      <w:color w:val="0000FF"/>
                      <w:sz w:val="22"/>
                      <w:szCs w:val="21"/>
                    </w:rPr>
                  </w:pPr>
                  <w:r>
                    <w:rPr>
                      <w:color w:val="0000FF"/>
                      <w:sz w:val="22"/>
                      <w:szCs w:val="21"/>
                    </w:rPr>
                    <w:t>≤0.05</w:t>
                  </w:r>
                </w:p>
              </w:tc>
              <w:tc>
                <w:tcPr>
                  <w:tcW w:w="1370" w:type="dxa"/>
                  <w:vAlign w:val="center"/>
                </w:tcPr>
                <w:p>
                  <w:pPr>
                    <w:jc w:val="center"/>
                    <w:rPr>
                      <w:color w:val="0000FF"/>
                      <w:szCs w:val="21"/>
                    </w:rPr>
                  </w:pPr>
                  <w:r>
                    <w:rPr>
                      <w:color w:val="0000FF"/>
                      <w:szCs w:val="21"/>
                    </w:rPr>
                    <w:t>0.44~0.5</w:t>
                  </w:r>
                </w:p>
              </w:tc>
              <w:tc>
                <w:tcPr>
                  <w:tcW w:w="732" w:type="dxa"/>
                  <w:vAlign w:val="center"/>
                </w:tcPr>
                <w:p>
                  <w:pPr>
                    <w:spacing w:line="240" w:lineRule="atLeast"/>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13</w:t>
                  </w:r>
                </w:p>
              </w:tc>
              <w:tc>
                <w:tcPr>
                  <w:tcW w:w="1598" w:type="dxa"/>
                  <w:vAlign w:val="center"/>
                </w:tcPr>
                <w:p>
                  <w:pPr>
                    <w:jc w:val="center"/>
                    <w:rPr>
                      <w:color w:val="0000FF"/>
                      <w:sz w:val="22"/>
                      <w:szCs w:val="21"/>
                    </w:rPr>
                  </w:pPr>
                  <w:r>
                    <w:rPr>
                      <w:color w:val="0000FF"/>
                      <w:szCs w:val="21"/>
                    </w:rPr>
                    <w:t>砷</w:t>
                  </w:r>
                </w:p>
              </w:tc>
              <w:tc>
                <w:tcPr>
                  <w:tcW w:w="1198" w:type="dxa"/>
                  <w:vAlign w:val="center"/>
                </w:tcPr>
                <w:p>
                  <w:pPr>
                    <w:jc w:val="center"/>
                    <w:rPr>
                      <w:color w:val="0000FF"/>
                      <w:sz w:val="22"/>
                      <w:szCs w:val="22"/>
                    </w:rPr>
                  </w:pPr>
                  <w:r>
                    <w:rPr>
                      <w:color w:val="0000FF"/>
                      <w:sz w:val="22"/>
                      <w:szCs w:val="22"/>
                    </w:rPr>
                    <w:t>0.0018</w:t>
                  </w:r>
                </w:p>
              </w:tc>
              <w:tc>
                <w:tcPr>
                  <w:tcW w:w="1332" w:type="dxa"/>
                  <w:vAlign w:val="center"/>
                </w:tcPr>
                <w:p>
                  <w:pPr>
                    <w:jc w:val="center"/>
                    <w:rPr>
                      <w:color w:val="0000FF"/>
                      <w:sz w:val="22"/>
                      <w:szCs w:val="22"/>
                    </w:rPr>
                  </w:pPr>
                  <w:r>
                    <w:rPr>
                      <w:color w:val="0000FF"/>
                      <w:sz w:val="22"/>
                      <w:szCs w:val="22"/>
                    </w:rPr>
                    <w:t>0.0019</w:t>
                  </w:r>
                </w:p>
              </w:tc>
              <w:tc>
                <w:tcPr>
                  <w:tcW w:w="1308" w:type="dxa"/>
                  <w:vAlign w:val="center"/>
                </w:tcPr>
                <w:p>
                  <w:pPr>
                    <w:jc w:val="center"/>
                    <w:rPr>
                      <w:color w:val="0000FF"/>
                      <w:sz w:val="22"/>
                      <w:szCs w:val="21"/>
                    </w:rPr>
                  </w:pPr>
                  <w:r>
                    <w:rPr>
                      <w:color w:val="0000FF"/>
                      <w:sz w:val="22"/>
                      <w:szCs w:val="21"/>
                    </w:rPr>
                    <w:t>≤0.01</w:t>
                  </w:r>
                </w:p>
              </w:tc>
              <w:tc>
                <w:tcPr>
                  <w:tcW w:w="1370" w:type="dxa"/>
                  <w:vAlign w:val="center"/>
                </w:tcPr>
                <w:p>
                  <w:pPr>
                    <w:jc w:val="center"/>
                    <w:rPr>
                      <w:color w:val="0000FF"/>
                      <w:szCs w:val="21"/>
                    </w:rPr>
                  </w:pPr>
                  <w:r>
                    <w:rPr>
                      <w:color w:val="0000FF"/>
                      <w:szCs w:val="21"/>
                    </w:rPr>
                    <w:t>0.18~0.19</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14</w:t>
                  </w:r>
                </w:p>
              </w:tc>
              <w:tc>
                <w:tcPr>
                  <w:tcW w:w="1598" w:type="dxa"/>
                  <w:vAlign w:val="center"/>
                </w:tcPr>
                <w:p>
                  <w:pPr>
                    <w:jc w:val="center"/>
                    <w:rPr>
                      <w:color w:val="0000FF"/>
                      <w:sz w:val="22"/>
                      <w:szCs w:val="21"/>
                    </w:rPr>
                  </w:pPr>
                  <w:r>
                    <w:rPr>
                      <w:color w:val="0000FF"/>
                      <w:szCs w:val="21"/>
                    </w:rPr>
                    <w:t>汞</w:t>
                  </w:r>
                </w:p>
              </w:tc>
              <w:tc>
                <w:tcPr>
                  <w:tcW w:w="1198" w:type="dxa"/>
                  <w:vAlign w:val="center"/>
                </w:tcPr>
                <w:p>
                  <w:pPr>
                    <w:jc w:val="center"/>
                    <w:rPr>
                      <w:color w:val="0000FF"/>
                      <w:sz w:val="22"/>
                      <w:szCs w:val="22"/>
                    </w:rPr>
                  </w:pPr>
                  <w:r>
                    <w:rPr>
                      <w:color w:val="0000FF"/>
                      <w:sz w:val="22"/>
                      <w:szCs w:val="22"/>
                    </w:rPr>
                    <w:t>0.00004L</w:t>
                  </w:r>
                </w:p>
              </w:tc>
              <w:tc>
                <w:tcPr>
                  <w:tcW w:w="1332" w:type="dxa"/>
                  <w:vAlign w:val="center"/>
                </w:tcPr>
                <w:p>
                  <w:pPr>
                    <w:jc w:val="center"/>
                    <w:rPr>
                      <w:color w:val="0000FF"/>
                      <w:sz w:val="22"/>
                      <w:szCs w:val="22"/>
                    </w:rPr>
                  </w:pPr>
                  <w:r>
                    <w:rPr>
                      <w:color w:val="0000FF"/>
                      <w:sz w:val="22"/>
                      <w:szCs w:val="22"/>
                    </w:rPr>
                    <w:t>0.00004L</w:t>
                  </w:r>
                </w:p>
              </w:tc>
              <w:tc>
                <w:tcPr>
                  <w:tcW w:w="1308" w:type="dxa"/>
                  <w:vAlign w:val="center"/>
                </w:tcPr>
                <w:p>
                  <w:pPr>
                    <w:jc w:val="center"/>
                    <w:rPr>
                      <w:color w:val="0000FF"/>
                      <w:sz w:val="22"/>
                      <w:szCs w:val="21"/>
                    </w:rPr>
                  </w:pPr>
                  <w:r>
                    <w:rPr>
                      <w:color w:val="0000FF"/>
                      <w:sz w:val="22"/>
                      <w:szCs w:val="21"/>
                    </w:rPr>
                    <w:t>≤0.001</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15</w:t>
                  </w:r>
                </w:p>
              </w:tc>
              <w:tc>
                <w:tcPr>
                  <w:tcW w:w="1598" w:type="dxa"/>
                  <w:vAlign w:val="center"/>
                </w:tcPr>
                <w:p>
                  <w:pPr>
                    <w:jc w:val="center"/>
                    <w:rPr>
                      <w:color w:val="0000FF"/>
                      <w:sz w:val="22"/>
                      <w:szCs w:val="21"/>
                    </w:rPr>
                  </w:pPr>
                  <w:r>
                    <w:rPr>
                      <w:color w:val="0000FF"/>
                      <w:szCs w:val="21"/>
                    </w:rPr>
                    <w:t>铁</w:t>
                  </w:r>
                </w:p>
              </w:tc>
              <w:tc>
                <w:tcPr>
                  <w:tcW w:w="1198" w:type="dxa"/>
                  <w:vAlign w:val="center"/>
                </w:tcPr>
                <w:p>
                  <w:pPr>
                    <w:jc w:val="center"/>
                    <w:rPr>
                      <w:color w:val="0000FF"/>
                      <w:sz w:val="22"/>
                      <w:szCs w:val="22"/>
                    </w:rPr>
                  </w:pPr>
                  <w:r>
                    <w:rPr>
                      <w:color w:val="0000FF"/>
                      <w:sz w:val="22"/>
                      <w:szCs w:val="22"/>
                    </w:rPr>
                    <w:t>0.03L</w:t>
                  </w:r>
                </w:p>
              </w:tc>
              <w:tc>
                <w:tcPr>
                  <w:tcW w:w="1332" w:type="dxa"/>
                  <w:vAlign w:val="center"/>
                </w:tcPr>
                <w:p>
                  <w:pPr>
                    <w:jc w:val="center"/>
                    <w:rPr>
                      <w:color w:val="0000FF"/>
                      <w:sz w:val="22"/>
                      <w:szCs w:val="22"/>
                    </w:rPr>
                  </w:pPr>
                  <w:r>
                    <w:rPr>
                      <w:color w:val="0000FF"/>
                      <w:sz w:val="22"/>
                      <w:szCs w:val="22"/>
                    </w:rPr>
                    <w:t>0.03L</w:t>
                  </w:r>
                </w:p>
              </w:tc>
              <w:tc>
                <w:tcPr>
                  <w:tcW w:w="1308" w:type="dxa"/>
                  <w:vAlign w:val="center"/>
                </w:tcPr>
                <w:p>
                  <w:pPr>
                    <w:jc w:val="center"/>
                    <w:rPr>
                      <w:color w:val="0000FF"/>
                      <w:sz w:val="22"/>
                      <w:szCs w:val="21"/>
                    </w:rPr>
                  </w:pPr>
                  <w:r>
                    <w:rPr>
                      <w:color w:val="0000FF"/>
                      <w:sz w:val="22"/>
                      <w:szCs w:val="21"/>
                    </w:rPr>
                    <w:t>≤0.3</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16</w:t>
                  </w:r>
                </w:p>
              </w:tc>
              <w:tc>
                <w:tcPr>
                  <w:tcW w:w="1598" w:type="dxa"/>
                  <w:vAlign w:val="center"/>
                </w:tcPr>
                <w:p>
                  <w:pPr>
                    <w:jc w:val="center"/>
                    <w:rPr>
                      <w:color w:val="0000FF"/>
                      <w:sz w:val="22"/>
                      <w:szCs w:val="21"/>
                    </w:rPr>
                  </w:pPr>
                  <w:r>
                    <w:rPr>
                      <w:color w:val="0000FF"/>
                      <w:szCs w:val="21"/>
                    </w:rPr>
                    <w:t>锰</w:t>
                  </w:r>
                </w:p>
              </w:tc>
              <w:tc>
                <w:tcPr>
                  <w:tcW w:w="1198" w:type="dxa"/>
                  <w:vAlign w:val="center"/>
                </w:tcPr>
                <w:p>
                  <w:pPr>
                    <w:jc w:val="center"/>
                    <w:rPr>
                      <w:color w:val="0000FF"/>
                      <w:sz w:val="22"/>
                      <w:szCs w:val="22"/>
                    </w:rPr>
                  </w:pPr>
                  <w:r>
                    <w:rPr>
                      <w:color w:val="0000FF"/>
                      <w:sz w:val="22"/>
                      <w:szCs w:val="22"/>
                    </w:rPr>
                    <w:t>0.01L</w:t>
                  </w:r>
                </w:p>
              </w:tc>
              <w:tc>
                <w:tcPr>
                  <w:tcW w:w="1332" w:type="dxa"/>
                  <w:vAlign w:val="center"/>
                </w:tcPr>
                <w:p>
                  <w:pPr>
                    <w:jc w:val="center"/>
                    <w:rPr>
                      <w:color w:val="0000FF"/>
                      <w:sz w:val="22"/>
                      <w:szCs w:val="22"/>
                    </w:rPr>
                  </w:pPr>
                  <w:r>
                    <w:rPr>
                      <w:color w:val="0000FF"/>
                      <w:sz w:val="22"/>
                      <w:szCs w:val="22"/>
                    </w:rPr>
                    <w:t>0.01L</w:t>
                  </w:r>
                </w:p>
              </w:tc>
              <w:tc>
                <w:tcPr>
                  <w:tcW w:w="1308" w:type="dxa"/>
                  <w:vAlign w:val="center"/>
                </w:tcPr>
                <w:p>
                  <w:pPr>
                    <w:jc w:val="center"/>
                    <w:rPr>
                      <w:color w:val="0000FF"/>
                      <w:sz w:val="22"/>
                      <w:szCs w:val="21"/>
                    </w:rPr>
                  </w:pPr>
                  <w:r>
                    <w:rPr>
                      <w:color w:val="0000FF"/>
                      <w:sz w:val="22"/>
                      <w:szCs w:val="21"/>
                    </w:rPr>
                    <w:t>≤0.10</w:t>
                  </w:r>
                </w:p>
              </w:tc>
              <w:tc>
                <w:tcPr>
                  <w:tcW w:w="1370" w:type="dxa"/>
                  <w:vAlign w:val="center"/>
                </w:tcPr>
                <w:p>
                  <w:pPr>
                    <w:jc w:val="center"/>
                    <w:rPr>
                      <w:color w:val="0000FF"/>
                      <w:szCs w:val="21"/>
                    </w:rPr>
                  </w:pPr>
                  <w:r>
                    <w:rPr>
                      <w:color w:val="0000FF"/>
                      <w:szCs w:val="21"/>
                    </w:rPr>
                    <w:t>0</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17</w:t>
                  </w:r>
                </w:p>
              </w:tc>
              <w:tc>
                <w:tcPr>
                  <w:tcW w:w="1598" w:type="dxa"/>
                  <w:vAlign w:val="center"/>
                </w:tcPr>
                <w:p>
                  <w:pPr>
                    <w:jc w:val="center"/>
                    <w:rPr>
                      <w:color w:val="0000FF"/>
                      <w:sz w:val="22"/>
                      <w:szCs w:val="21"/>
                    </w:rPr>
                  </w:pPr>
                  <w:r>
                    <w:rPr>
                      <w:color w:val="0000FF"/>
                      <w:szCs w:val="21"/>
                    </w:rPr>
                    <w:t>硝酸盐</w:t>
                  </w:r>
                </w:p>
              </w:tc>
              <w:tc>
                <w:tcPr>
                  <w:tcW w:w="1198" w:type="dxa"/>
                  <w:vAlign w:val="center"/>
                </w:tcPr>
                <w:p>
                  <w:pPr>
                    <w:jc w:val="center"/>
                    <w:rPr>
                      <w:color w:val="0000FF"/>
                      <w:sz w:val="22"/>
                      <w:szCs w:val="22"/>
                    </w:rPr>
                  </w:pPr>
                  <w:r>
                    <w:rPr>
                      <w:color w:val="0000FF"/>
                      <w:sz w:val="22"/>
                      <w:szCs w:val="22"/>
                    </w:rPr>
                    <w:t>3.04</w:t>
                  </w:r>
                </w:p>
              </w:tc>
              <w:tc>
                <w:tcPr>
                  <w:tcW w:w="1332" w:type="dxa"/>
                  <w:vAlign w:val="center"/>
                </w:tcPr>
                <w:p>
                  <w:pPr>
                    <w:jc w:val="center"/>
                    <w:rPr>
                      <w:color w:val="0000FF"/>
                      <w:sz w:val="22"/>
                      <w:szCs w:val="22"/>
                    </w:rPr>
                  </w:pPr>
                  <w:r>
                    <w:rPr>
                      <w:color w:val="0000FF"/>
                      <w:sz w:val="22"/>
                      <w:szCs w:val="22"/>
                    </w:rPr>
                    <w:t>3.11</w:t>
                  </w:r>
                </w:p>
              </w:tc>
              <w:tc>
                <w:tcPr>
                  <w:tcW w:w="1308" w:type="dxa"/>
                  <w:vAlign w:val="center"/>
                </w:tcPr>
                <w:p>
                  <w:pPr>
                    <w:jc w:val="center"/>
                    <w:rPr>
                      <w:color w:val="0000FF"/>
                      <w:sz w:val="22"/>
                      <w:szCs w:val="21"/>
                    </w:rPr>
                  </w:pPr>
                  <w:r>
                    <w:rPr>
                      <w:color w:val="0000FF"/>
                      <w:sz w:val="22"/>
                      <w:szCs w:val="21"/>
                    </w:rPr>
                    <w:t>≤20.0</w:t>
                  </w:r>
                </w:p>
              </w:tc>
              <w:tc>
                <w:tcPr>
                  <w:tcW w:w="1370" w:type="dxa"/>
                  <w:vAlign w:val="center"/>
                </w:tcPr>
                <w:p>
                  <w:pPr>
                    <w:jc w:val="center"/>
                    <w:rPr>
                      <w:color w:val="0000FF"/>
                      <w:szCs w:val="21"/>
                    </w:rPr>
                  </w:pPr>
                  <w:r>
                    <w:rPr>
                      <w:color w:val="0000FF"/>
                      <w:szCs w:val="21"/>
                    </w:rPr>
                    <w:t>0.15~0.16</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18</w:t>
                  </w:r>
                </w:p>
              </w:tc>
              <w:tc>
                <w:tcPr>
                  <w:tcW w:w="1598" w:type="dxa"/>
                  <w:vAlign w:val="center"/>
                </w:tcPr>
                <w:p>
                  <w:pPr>
                    <w:jc w:val="center"/>
                    <w:rPr>
                      <w:color w:val="0000FF"/>
                      <w:sz w:val="22"/>
                      <w:szCs w:val="21"/>
                    </w:rPr>
                  </w:pPr>
                  <w:r>
                    <w:rPr>
                      <w:color w:val="0000FF"/>
                      <w:szCs w:val="21"/>
                    </w:rPr>
                    <w:t>亚硝酸盐</w:t>
                  </w:r>
                </w:p>
              </w:tc>
              <w:tc>
                <w:tcPr>
                  <w:tcW w:w="1198" w:type="dxa"/>
                  <w:vAlign w:val="center"/>
                </w:tcPr>
                <w:p>
                  <w:pPr>
                    <w:jc w:val="center"/>
                    <w:rPr>
                      <w:color w:val="0000FF"/>
                      <w:sz w:val="22"/>
                      <w:szCs w:val="22"/>
                    </w:rPr>
                  </w:pPr>
                  <w:r>
                    <w:rPr>
                      <w:color w:val="0000FF"/>
                      <w:sz w:val="22"/>
                      <w:szCs w:val="22"/>
                    </w:rPr>
                    <w:t>0.007</w:t>
                  </w:r>
                </w:p>
              </w:tc>
              <w:tc>
                <w:tcPr>
                  <w:tcW w:w="1332" w:type="dxa"/>
                  <w:vAlign w:val="center"/>
                </w:tcPr>
                <w:p>
                  <w:pPr>
                    <w:jc w:val="center"/>
                    <w:rPr>
                      <w:color w:val="0000FF"/>
                      <w:sz w:val="22"/>
                      <w:szCs w:val="22"/>
                    </w:rPr>
                  </w:pPr>
                  <w:r>
                    <w:rPr>
                      <w:color w:val="0000FF"/>
                      <w:sz w:val="22"/>
                      <w:szCs w:val="22"/>
                    </w:rPr>
                    <w:t>0.005</w:t>
                  </w:r>
                </w:p>
              </w:tc>
              <w:tc>
                <w:tcPr>
                  <w:tcW w:w="1308" w:type="dxa"/>
                  <w:vAlign w:val="center"/>
                </w:tcPr>
                <w:p>
                  <w:pPr>
                    <w:jc w:val="center"/>
                    <w:rPr>
                      <w:color w:val="0000FF"/>
                      <w:sz w:val="22"/>
                      <w:szCs w:val="21"/>
                    </w:rPr>
                  </w:pPr>
                  <w:r>
                    <w:rPr>
                      <w:color w:val="0000FF"/>
                      <w:sz w:val="22"/>
                      <w:szCs w:val="21"/>
                    </w:rPr>
                    <w:t>≤1.00</w:t>
                  </w:r>
                </w:p>
              </w:tc>
              <w:tc>
                <w:tcPr>
                  <w:tcW w:w="1370" w:type="dxa"/>
                  <w:vAlign w:val="center"/>
                </w:tcPr>
                <w:p>
                  <w:pPr>
                    <w:jc w:val="center"/>
                    <w:rPr>
                      <w:color w:val="0000FF"/>
                      <w:szCs w:val="21"/>
                    </w:rPr>
                  </w:pPr>
                  <w:r>
                    <w:rPr>
                      <w:color w:val="0000FF"/>
                      <w:szCs w:val="21"/>
                    </w:rPr>
                    <w:t>0.01</w:t>
                  </w:r>
                </w:p>
              </w:tc>
              <w:tc>
                <w:tcPr>
                  <w:tcW w:w="732" w:type="dxa"/>
                  <w:vAlign w:val="center"/>
                </w:tcPr>
                <w:p>
                  <w:pPr>
                    <w:spacing w:line="240" w:lineRule="atLeast"/>
                    <w:jc w:val="center"/>
                    <w:rPr>
                      <w:color w:val="0000FF"/>
                      <w:szCs w:val="21"/>
                    </w:rPr>
                  </w:pPr>
                  <w:r>
                    <w:rPr>
                      <w:color w:val="0000FF"/>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19</w:t>
                  </w:r>
                </w:p>
              </w:tc>
              <w:tc>
                <w:tcPr>
                  <w:tcW w:w="1598" w:type="dxa"/>
                  <w:vAlign w:val="center"/>
                </w:tcPr>
                <w:p>
                  <w:pPr>
                    <w:jc w:val="center"/>
                    <w:rPr>
                      <w:color w:val="0000FF"/>
                      <w:sz w:val="22"/>
                      <w:szCs w:val="21"/>
                    </w:rPr>
                  </w:pPr>
                  <w:r>
                    <w:rPr>
                      <w:color w:val="0000FF"/>
                      <w:szCs w:val="21"/>
                    </w:rPr>
                    <w:t>K</w:t>
                  </w:r>
                  <w:r>
                    <w:rPr>
                      <w:color w:val="0000FF"/>
                      <w:szCs w:val="21"/>
                      <w:vertAlign w:val="superscript"/>
                    </w:rPr>
                    <w:t>+</w:t>
                  </w:r>
                </w:p>
              </w:tc>
              <w:tc>
                <w:tcPr>
                  <w:tcW w:w="1198" w:type="dxa"/>
                  <w:vAlign w:val="center"/>
                </w:tcPr>
                <w:p>
                  <w:pPr>
                    <w:jc w:val="center"/>
                    <w:rPr>
                      <w:color w:val="0000FF"/>
                      <w:sz w:val="22"/>
                      <w:szCs w:val="22"/>
                    </w:rPr>
                  </w:pPr>
                  <w:r>
                    <w:rPr>
                      <w:color w:val="0000FF"/>
                      <w:sz w:val="22"/>
                      <w:szCs w:val="22"/>
                    </w:rPr>
                    <w:t>21.4</w:t>
                  </w:r>
                </w:p>
              </w:tc>
              <w:tc>
                <w:tcPr>
                  <w:tcW w:w="1332" w:type="dxa"/>
                  <w:vAlign w:val="center"/>
                </w:tcPr>
                <w:p>
                  <w:pPr>
                    <w:jc w:val="center"/>
                    <w:rPr>
                      <w:color w:val="0000FF"/>
                      <w:sz w:val="22"/>
                      <w:szCs w:val="22"/>
                    </w:rPr>
                  </w:pPr>
                  <w:r>
                    <w:rPr>
                      <w:color w:val="0000FF"/>
                      <w:sz w:val="22"/>
                      <w:szCs w:val="22"/>
                    </w:rPr>
                    <w:t>23.5</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spacing w:line="240" w:lineRule="atLeast"/>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20</w:t>
                  </w:r>
                </w:p>
              </w:tc>
              <w:tc>
                <w:tcPr>
                  <w:tcW w:w="1598" w:type="dxa"/>
                  <w:vAlign w:val="center"/>
                </w:tcPr>
                <w:p>
                  <w:pPr>
                    <w:jc w:val="center"/>
                    <w:rPr>
                      <w:color w:val="0000FF"/>
                      <w:sz w:val="22"/>
                      <w:szCs w:val="21"/>
                    </w:rPr>
                  </w:pPr>
                  <w:r>
                    <w:rPr>
                      <w:color w:val="0000FF"/>
                      <w:szCs w:val="21"/>
                    </w:rPr>
                    <w:t>Na</w:t>
                  </w:r>
                  <w:r>
                    <w:rPr>
                      <w:color w:val="0000FF"/>
                      <w:szCs w:val="21"/>
                      <w:vertAlign w:val="superscript"/>
                    </w:rPr>
                    <w:t>+</w:t>
                  </w:r>
                </w:p>
              </w:tc>
              <w:tc>
                <w:tcPr>
                  <w:tcW w:w="1198" w:type="dxa"/>
                  <w:vAlign w:val="center"/>
                </w:tcPr>
                <w:p>
                  <w:pPr>
                    <w:jc w:val="center"/>
                    <w:rPr>
                      <w:color w:val="0000FF"/>
                      <w:sz w:val="22"/>
                      <w:szCs w:val="22"/>
                    </w:rPr>
                  </w:pPr>
                  <w:r>
                    <w:rPr>
                      <w:color w:val="0000FF"/>
                      <w:sz w:val="22"/>
                      <w:szCs w:val="22"/>
                    </w:rPr>
                    <w:t>106</w:t>
                  </w:r>
                </w:p>
              </w:tc>
              <w:tc>
                <w:tcPr>
                  <w:tcW w:w="1332" w:type="dxa"/>
                  <w:vAlign w:val="center"/>
                </w:tcPr>
                <w:p>
                  <w:pPr>
                    <w:jc w:val="center"/>
                    <w:rPr>
                      <w:color w:val="0000FF"/>
                      <w:sz w:val="22"/>
                      <w:szCs w:val="22"/>
                    </w:rPr>
                  </w:pPr>
                  <w:r>
                    <w:rPr>
                      <w:color w:val="0000FF"/>
                      <w:sz w:val="22"/>
                      <w:szCs w:val="22"/>
                    </w:rPr>
                    <w:t>118</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spacing w:line="240" w:lineRule="atLeast"/>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21</w:t>
                  </w:r>
                </w:p>
              </w:tc>
              <w:tc>
                <w:tcPr>
                  <w:tcW w:w="1598" w:type="dxa"/>
                  <w:vAlign w:val="center"/>
                </w:tcPr>
                <w:p>
                  <w:pPr>
                    <w:jc w:val="center"/>
                    <w:rPr>
                      <w:color w:val="0000FF"/>
                      <w:sz w:val="22"/>
                      <w:szCs w:val="22"/>
                    </w:rPr>
                  </w:pPr>
                  <w:r>
                    <w:rPr>
                      <w:color w:val="0000FF"/>
                      <w:szCs w:val="21"/>
                    </w:rPr>
                    <w:t>Ca</w:t>
                  </w:r>
                  <w:r>
                    <w:rPr>
                      <w:color w:val="0000FF"/>
                      <w:szCs w:val="21"/>
                      <w:vertAlign w:val="superscript"/>
                    </w:rPr>
                    <w:t>2+</w:t>
                  </w:r>
                </w:p>
              </w:tc>
              <w:tc>
                <w:tcPr>
                  <w:tcW w:w="1198" w:type="dxa"/>
                  <w:vAlign w:val="center"/>
                </w:tcPr>
                <w:p>
                  <w:pPr>
                    <w:jc w:val="center"/>
                    <w:rPr>
                      <w:color w:val="0000FF"/>
                      <w:sz w:val="22"/>
                      <w:szCs w:val="22"/>
                    </w:rPr>
                  </w:pPr>
                  <w:r>
                    <w:rPr>
                      <w:color w:val="0000FF"/>
                      <w:sz w:val="22"/>
                      <w:szCs w:val="22"/>
                    </w:rPr>
                    <w:t>73.8</w:t>
                  </w:r>
                </w:p>
              </w:tc>
              <w:tc>
                <w:tcPr>
                  <w:tcW w:w="1332" w:type="dxa"/>
                  <w:vAlign w:val="center"/>
                </w:tcPr>
                <w:p>
                  <w:pPr>
                    <w:jc w:val="center"/>
                    <w:rPr>
                      <w:color w:val="0000FF"/>
                      <w:sz w:val="22"/>
                      <w:szCs w:val="22"/>
                    </w:rPr>
                  </w:pPr>
                  <w:r>
                    <w:rPr>
                      <w:color w:val="0000FF"/>
                      <w:sz w:val="22"/>
                      <w:szCs w:val="22"/>
                    </w:rPr>
                    <w:t>75.9</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spacing w:line="240" w:lineRule="atLeast"/>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22</w:t>
                  </w:r>
                </w:p>
              </w:tc>
              <w:tc>
                <w:tcPr>
                  <w:tcW w:w="1598" w:type="dxa"/>
                  <w:vAlign w:val="center"/>
                </w:tcPr>
                <w:p>
                  <w:pPr>
                    <w:jc w:val="center"/>
                    <w:rPr>
                      <w:color w:val="0000FF"/>
                      <w:sz w:val="22"/>
                      <w:szCs w:val="22"/>
                    </w:rPr>
                  </w:pPr>
                  <w:r>
                    <w:rPr>
                      <w:color w:val="0000FF"/>
                      <w:szCs w:val="21"/>
                    </w:rPr>
                    <w:t>Mg</w:t>
                  </w:r>
                  <w:r>
                    <w:rPr>
                      <w:color w:val="0000FF"/>
                      <w:szCs w:val="21"/>
                      <w:vertAlign w:val="superscript"/>
                    </w:rPr>
                    <w:t>2+</w:t>
                  </w:r>
                </w:p>
              </w:tc>
              <w:tc>
                <w:tcPr>
                  <w:tcW w:w="1198" w:type="dxa"/>
                  <w:vAlign w:val="center"/>
                </w:tcPr>
                <w:p>
                  <w:pPr>
                    <w:jc w:val="center"/>
                    <w:rPr>
                      <w:color w:val="0000FF"/>
                      <w:sz w:val="22"/>
                      <w:szCs w:val="22"/>
                    </w:rPr>
                  </w:pPr>
                  <w:r>
                    <w:rPr>
                      <w:color w:val="0000FF"/>
                      <w:sz w:val="22"/>
                      <w:szCs w:val="22"/>
                    </w:rPr>
                    <w:t>42.7</w:t>
                  </w:r>
                </w:p>
              </w:tc>
              <w:tc>
                <w:tcPr>
                  <w:tcW w:w="1332" w:type="dxa"/>
                  <w:vAlign w:val="center"/>
                </w:tcPr>
                <w:p>
                  <w:pPr>
                    <w:jc w:val="center"/>
                    <w:rPr>
                      <w:color w:val="0000FF"/>
                      <w:sz w:val="22"/>
                      <w:szCs w:val="22"/>
                    </w:rPr>
                  </w:pPr>
                  <w:r>
                    <w:rPr>
                      <w:color w:val="0000FF"/>
                      <w:sz w:val="22"/>
                      <w:szCs w:val="22"/>
                    </w:rPr>
                    <w:t>40.1</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jc w:val="center"/>
                    <w:rPr>
                      <w:color w:val="0000FF"/>
                      <w:sz w:val="22"/>
                      <w:szCs w:val="21"/>
                    </w:rPr>
                  </w:pPr>
                  <w:r>
                    <w:rPr>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23</w:t>
                  </w:r>
                </w:p>
              </w:tc>
              <w:tc>
                <w:tcPr>
                  <w:tcW w:w="1598" w:type="dxa"/>
                  <w:vAlign w:val="center"/>
                </w:tcPr>
                <w:p>
                  <w:pPr>
                    <w:jc w:val="center"/>
                    <w:rPr>
                      <w:color w:val="0000FF"/>
                      <w:sz w:val="22"/>
                      <w:szCs w:val="22"/>
                    </w:rPr>
                  </w:pPr>
                  <w:r>
                    <w:rPr>
                      <w:color w:val="0000FF"/>
                      <w:szCs w:val="21"/>
                    </w:rPr>
                    <w:t>Cl</w:t>
                  </w:r>
                  <w:r>
                    <w:rPr>
                      <w:color w:val="0000FF"/>
                      <w:szCs w:val="21"/>
                      <w:vertAlign w:val="superscript"/>
                    </w:rPr>
                    <w:t>-</w:t>
                  </w:r>
                </w:p>
              </w:tc>
              <w:tc>
                <w:tcPr>
                  <w:tcW w:w="1198" w:type="dxa"/>
                  <w:vAlign w:val="center"/>
                </w:tcPr>
                <w:p>
                  <w:pPr>
                    <w:jc w:val="center"/>
                    <w:rPr>
                      <w:color w:val="0000FF"/>
                      <w:sz w:val="22"/>
                      <w:szCs w:val="22"/>
                    </w:rPr>
                  </w:pPr>
                  <w:r>
                    <w:rPr>
                      <w:color w:val="0000FF"/>
                      <w:sz w:val="22"/>
                      <w:szCs w:val="22"/>
                    </w:rPr>
                    <w:t>154</w:t>
                  </w:r>
                </w:p>
              </w:tc>
              <w:tc>
                <w:tcPr>
                  <w:tcW w:w="1332" w:type="dxa"/>
                  <w:vAlign w:val="center"/>
                </w:tcPr>
                <w:p>
                  <w:pPr>
                    <w:jc w:val="center"/>
                    <w:rPr>
                      <w:color w:val="0000FF"/>
                      <w:sz w:val="22"/>
                      <w:szCs w:val="22"/>
                    </w:rPr>
                  </w:pPr>
                  <w:r>
                    <w:rPr>
                      <w:color w:val="0000FF"/>
                      <w:sz w:val="22"/>
                      <w:szCs w:val="22"/>
                    </w:rPr>
                    <w:t>165</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jc w:val="center"/>
                    <w:rPr>
                      <w:color w:val="0000FF"/>
                      <w:sz w:val="22"/>
                      <w:szCs w:val="21"/>
                    </w:rPr>
                  </w:pPr>
                  <w:r>
                    <w:rPr>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24</w:t>
                  </w:r>
                </w:p>
              </w:tc>
              <w:tc>
                <w:tcPr>
                  <w:tcW w:w="1598" w:type="dxa"/>
                  <w:vAlign w:val="center"/>
                </w:tcPr>
                <w:p>
                  <w:pPr>
                    <w:jc w:val="center"/>
                    <w:rPr>
                      <w:color w:val="0000FF"/>
                      <w:sz w:val="22"/>
                      <w:szCs w:val="22"/>
                    </w:rPr>
                  </w:pPr>
                  <w:r>
                    <w:rPr>
                      <w:color w:val="0000FF"/>
                      <w:szCs w:val="21"/>
                    </w:rPr>
                    <w:t>SO</w:t>
                  </w:r>
                  <w:r>
                    <w:rPr>
                      <w:color w:val="0000FF"/>
                      <w:szCs w:val="21"/>
                      <w:vertAlign w:val="subscript"/>
                    </w:rPr>
                    <w:t>4</w:t>
                  </w:r>
                  <w:r>
                    <w:rPr>
                      <w:color w:val="0000FF"/>
                      <w:szCs w:val="21"/>
                      <w:vertAlign w:val="superscript"/>
                    </w:rPr>
                    <w:t>2-</w:t>
                  </w:r>
                </w:p>
              </w:tc>
              <w:tc>
                <w:tcPr>
                  <w:tcW w:w="1198" w:type="dxa"/>
                  <w:vAlign w:val="center"/>
                </w:tcPr>
                <w:p>
                  <w:pPr>
                    <w:jc w:val="center"/>
                    <w:rPr>
                      <w:color w:val="0000FF"/>
                      <w:sz w:val="22"/>
                      <w:szCs w:val="22"/>
                    </w:rPr>
                  </w:pPr>
                  <w:r>
                    <w:rPr>
                      <w:color w:val="0000FF"/>
                      <w:sz w:val="22"/>
                      <w:szCs w:val="22"/>
                    </w:rPr>
                    <w:t>173</w:t>
                  </w:r>
                </w:p>
              </w:tc>
              <w:tc>
                <w:tcPr>
                  <w:tcW w:w="1332" w:type="dxa"/>
                  <w:vAlign w:val="center"/>
                </w:tcPr>
                <w:p>
                  <w:pPr>
                    <w:jc w:val="center"/>
                    <w:rPr>
                      <w:color w:val="0000FF"/>
                      <w:sz w:val="22"/>
                      <w:szCs w:val="22"/>
                    </w:rPr>
                  </w:pPr>
                  <w:r>
                    <w:rPr>
                      <w:color w:val="0000FF"/>
                      <w:sz w:val="22"/>
                      <w:szCs w:val="22"/>
                    </w:rPr>
                    <w:t>188</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jc w:val="center"/>
                    <w:rPr>
                      <w:color w:val="0000FF"/>
                      <w:sz w:val="22"/>
                      <w:szCs w:val="21"/>
                    </w:rPr>
                  </w:pPr>
                  <w:r>
                    <w:rPr>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25</w:t>
                  </w:r>
                </w:p>
              </w:tc>
              <w:tc>
                <w:tcPr>
                  <w:tcW w:w="1598" w:type="dxa"/>
                  <w:vAlign w:val="center"/>
                </w:tcPr>
                <w:p>
                  <w:pPr>
                    <w:jc w:val="center"/>
                    <w:rPr>
                      <w:color w:val="0000FF"/>
                      <w:sz w:val="22"/>
                      <w:szCs w:val="22"/>
                    </w:rPr>
                  </w:pPr>
                  <w:r>
                    <w:rPr>
                      <w:color w:val="0000FF"/>
                      <w:szCs w:val="21"/>
                    </w:rPr>
                    <w:t>CO</w:t>
                  </w:r>
                  <w:r>
                    <w:rPr>
                      <w:color w:val="0000FF"/>
                      <w:szCs w:val="21"/>
                      <w:vertAlign w:val="subscript"/>
                    </w:rPr>
                    <w:t>3</w:t>
                  </w:r>
                  <w:r>
                    <w:rPr>
                      <w:color w:val="0000FF"/>
                      <w:szCs w:val="21"/>
                      <w:vertAlign w:val="superscript"/>
                    </w:rPr>
                    <w:t>2-</w:t>
                  </w:r>
                </w:p>
              </w:tc>
              <w:tc>
                <w:tcPr>
                  <w:tcW w:w="1198" w:type="dxa"/>
                  <w:vAlign w:val="center"/>
                </w:tcPr>
                <w:p>
                  <w:pPr>
                    <w:jc w:val="center"/>
                    <w:rPr>
                      <w:color w:val="0000FF"/>
                      <w:sz w:val="22"/>
                      <w:szCs w:val="22"/>
                    </w:rPr>
                  </w:pPr>
                  <w:r>
                    <w:rPr>
                      <w:color w:val="0000FF"/>
                      <w:sz w:val="22"/>
                      <w:szCs w:val="22"/>
                    </w:rPr>
                    <w:t>0</w:t>
                  </w:r>
                </w:p>
              </w:tc>
              <w:tc>
                <w:tcPr>
                  <w:tcW w:w="1332" w:type="dxa"/>
                  <w:vAlign w:val="center"/>
                </w:tcPr>
                <w:p>
                  <w:pPr>
                    <w:jc w:val="center"/>
                    <w:rPr>
                      <w:color w:val="0000FF"/>
                      <w:sz w:val="22"/>
                      <w:szCs w:val="22"/>
                    </w:rPr>
                  </w:pPr>
                  <w:r>
                    <w:rPr>
                      <w:color w:val="0000FF"/>
                      <w:sz w:val="22"/>
                      <w:szCs w:val="22"/>
                    </w:rPr>
                    <w:t>0</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jc w:val="center"/>
                    <w:rPr>
                      <w:color w:val="0000FF"/>
                      <w:sz w:val="22"/>
                      <w:szCs w:val="21"/>
                    </w:rPr>
                  </w:pPr>
                  <w:r>
                    <w:rPr>
                      <w:color w:val="0000FF"/>
                      <w:sz w:val="22"/>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67" w:type="dxa"/>
                  <w:vAlign w:val="center"/>
                </w:tcPr>
                <w:p>
                  <w:pPr>
                    <w:spacing w:line="240" w:lineRule="atLeast"/>
                    <w:jc w:val="center"/>
                    <w:rPr>
                      <w:color w:val="0000FF"/>
                      <w:szCs w:val="21"/>
                    </w:rPr>
                  </w:pPr>
                  <w:r>
                    <w:rPr>
                      <w:color w:val="0000FF"/>
                      <w:szCs w:val="21"/>
                    </w:rPr>
                    <w:t>26</w:t>
                  </w:r>
                </w:p>
              </w:tc>
              <w:tc>
                <w:tcPr>
                  <w:tcW w:w="1598" w:type="dxa"/>
                  <w:vAlign w:val="center"/>
                </w:tcPr>
                <w:p>
                  <w:pPr>
                    <w:jc w:val="center"/>
                    <w:rPr>
                      <w:color w:val="0000FF"/>
                      <w:sz w:val="22"/>
                      <w:szCs w:val="22"/>
                    </w:rPr>
                  </w:pPr>
                  <w:r>
                    <w:rPr>
                      <w:color w:val="0000FF"/>
                      <w:szCs w:val="21"/>
                    </w:rPr>
                    <w:t>HCO</w:t>
                  </w:r>
                  <w:r>
                    <w:rPr>
                      <w:color w:val="0000FF"/>
                      <w:szCs w:val="21"/>
                      <w:vertAlign w:val="subscript"/>
                    </w:rPr>
                    <w:t>3</w:t>
                  </w:r>
                  <w:r>
                    <w:rPr>
                      <w:color w:val="0000FF"/>
                      <w:szCs w:val="21"/>
                      <w:vertAlign w:val="superscript"/>
                    </w:rPr>
                    <w:t>-</w:t>
                  </w:r>
                </w:p>
              </w:tc>
              <w:tc>
                <w:tcPr>
                  <w:tcW w:w="1198" w:type="dxa"/>
                  <w:vAlign w:val="center"/>
                </w:tcPr>
                <w:p>
                  <w:pPr>
                    <w:jc w:val="center"/>
                    <w:rPr>
                      <w:color w:val="0000FF"/>
                      <w:sz w:val="22"/>
                      <w:szCs w:val="22"/>
                    </w:rPr>
                  </w:pPr>
                  <w:r>
                    <w:rPr>
                      <w:color w:val="0000FF"/>
                      <w:sz w:val="22"/>
                      <w:szCs w:val="22"/>
                    </w:rPr>
                    <w:t>334</w:t>
                  </w:r>
                </w:p>
              </w:tc>
              <w:tc>
                <w:tcPr>
                  <w:tcW w:w="1332" w:type="dxa"/>
                  <w:vAlign w:val="center"/>
                </w:tcPr>
                <w:p>
                  <w:pPr>
                    <w:jc w:val="center"/>
                    <w:rPr>
                      <w:color w:val="0000FF"/>
                      <w:sz w:val="22"/>
                      <w:szCs w:val="22"/>
                    </w:rPr>
                  </w:pPr>
                  <w:r>
                    <w:rPr>
                      <w:color w:val="0000FF"/>
                      <w:sz w:val="22"/>
                      <w:szCs w:val="22"/>
                    </w:rPr>
                    <w:t>310</w:t>
                  </w:r>
                </w:p>
              </w:tc>
              <w:tc>
                <w:tcPr>
                  <w:tcW w:w="1308" w:type="dxa"/>
                  <w:vAlign w:val="center"/>
                </w:tcPr>
                <w:p>
                  <w:pPr>
                    <w:jc w:val="center"/>
                    <w:rPr>
                      <w:color w:val="0000FF"/>
                      <w:sz w:val="22"/>
                      <w:szCs w:val="21"/>
                    </w:rPr>
                  </w:pPr>
                  <w:r>
                    <w:rPr>
                      <w:color w:val="0000FF"/>
                      <w:sz w:val="22"/>
                      <w:szCs w:val="21"/>
                    </w:rPr>
                    <w:t>/</w:t>
                  </w:r>
                </w:p>
              </w:tc>
              <w:tc>
                <w:tcPr>
                  <w:tcW w:w="1370" w:type="dxa"/>
                  <w:vAlign w:val="center"/>
                </w:tcPr>
                <w:p>
                  <w:pPr>
                    <w:jc w:val="center"/>
                    <w:rPr>
                      <w:color w:val="0000FF"/>
                      <w:sz w:val="22"/>
                      <w:szCs w:val="21"/>
                    </w:rPr>
                  </w:pPr>
                  <w:r>
                    <w:rPr>
                      <w:color w:val="0000FF"/>
                      <w:sz w:val="22"/>
                      <w:szCs w:val="21"/>
                    </w:rPr>
                    <w:t>/</w:t>
                  </w:r>
                </w:p>
              </w:tc>
              <w:tc>
                <w:tcPr>
                  <w:tcW w:w="732" w:type="dxa"/>
                  <w:vAlign w:val="center"/>
                </w:tcPr>
                <w:p>
                  <w:pPr>
                    <w:jc w:val="center"/>
                    <w:rPr>
                      <w:color w:val="0000FF"/>
                      <w:sz w:val="22"/>
                      <w:szCs w:val="21"/>
                    </w:rPr>
                  </w:pPr>
                  <w:r>
                    <w:rPr>
                      <w:color w:val="0000FF"/>
                      <w:sz w:val="22"/>
                      <w:szCs w:val="21"/>
                    </w:rPr>
                    <w:t>/</w:t>
                  </w:r>
                </w:p>
              </w:tc>
            </w:tr>
          </w:tbl>
          <w:p>
            <w:pPr>
              <w:autoSpaceDE w:val="0"/>
              <w:autoSpaceDN w:val="0"/>
              <w:adjustRightInd w:val="0"/>
              <w:spacing w:line="360" w:lineRule="auto"/>
              <w:ind w:firstLine="480" w:firstLineChars="200"/>
              <w:textAlignment w:val="bottom"/>
              <w:rPr>
                <w:rFonts w:hint="eastAsia"/>
                <w:color w:val="0000FF"/>
                <w:sz w:val="24"/>
              </w:rPr>
            </w:pPr>
            <w:r>
              <w:rPr>
                <w:color w:val="0000FF"/>
                <w:sz w:val="24"/>
              </w:rPr>
              <w:t>由表</w:t>
            </w:r>
            <w:r>
              <w:rPr>
                <w:rFonts w:hint="eastAsia"/>
                <w:color w:val="0000FF"/>
                <w:sz w:val="24"/>
              </w:rPr>
              <w:t>15</w:t>
            </w:r>
            <w:r>
              <w:rPr>
                <w:color w:val="0000FF"/>
                <w:sz w:val="24"/>
              </w:rPr>
              <w:t>结果分析可知，</w:t>
            </w:r>
            <w:r>
              <w:rPr>
                <w:rFonts w:hint="eastAsia"/>
                <w:color w:val="0000FF"/>
                <w:sz w:val="24"/>
              </w:rPr>
              <w:t>项目区1#地下水监测井中总硬度因地质原因出现了超标，其他监测因子监测值均能达到《地下水环境质量标准》（GB/T14848-2017）中Ⅲ类标准限值，项目区地下水环境质量总体现状较好。</w:t>
            </w:r>
          </w:p>
          <w:p>
            <w:pPr>
              <w:spacing w:beforeLines="50" w:afterLines="50" w:line="360" w:lineRule="auto"/>
              <w:outlineLvl w:val="2"/>
              <w:rPr>
                <w:b/>
                <w:color w:val="0000FF"/>
                <w:sz w:val="24"/>
                <w:szCs w:val="28"/>
              </w:rPr>
            </w:pPr>
            <w:bookmarkStart w:id="0" w:name="_Toc371075116"/>
            <w:bookmarkStart w:id="1" w:name="_Toc25147"/>
            <w:r>
              <w:rPr>
                <w:rFonts w:hint="eastAsia"/>
                <w:b/>
                <w:color w:val="0000FF"/>
                <w:sz w:val="24"/>
                <w:szCs w:val="28"/>
              </w:rPr>
              <w:t>4</w:t>
            </w:r>
            <w:r>
              <w:rPr>
                <w:b/>
                <w:color w:val="0000FF"/>
                <w:sz w:val="24"/>
                <w:szCs w:val="28"/>
              </w:rPr>
              <w:t>、</w:t>
            </w:r>
            <w:bookmarkEnd w:id="0"/>
            <w:bookmarkEnd w:id="1"/>
            <w:r>
              <w:rPr>
                <w:b/>
                <w:color w:val="0000FF"/>
                <w:sz w:val="24"/>
                <w:szCs w:val="28"/>
              </w:rPr>
              <w:t>声环境质量现状评价</w:t>
            </w:r>
          </w:p>
          <w:p>
            <w:pPr>
              <w:spacing w:line="360" w:lineRule="auto"/>
              <w:ind w:firstLine="578"/>
              <w:rPr>
                <w:rFonts w:hint="eastAsia"/>
                <w:color w:val="0000FF"/>
                <w:sz w:val="24"/>
              </w:rPr>
            </w:pPr>
            <w:r>
              <w:rPr>
                <w:rFonts w:hint="eastAsia"/>
                <w:color w:val="0000FF"/>
                <w:sz w:val="24"/>
              </w:rPr>
              <w:t>为了解本地区噪声环境污染现状和污染来源，本项目建设单位委托甘肃水木青华检测科技有限公司于</w:t>
            </w:r>
            <w:r>
              <w:rPr>
                <w:rFonts w:hint="eastAsia"/>
                <w:sz w:val="24"/>
                <w:highlight w:val="yellow"/>
              </w:rPr>
              <w:t>2018年10月8—9日</w:t>
            </w:r>
            <w:r>
              <w:rPr>
                <w:rFonts w:hint="eastAsia"/>
                <w:color w:val="0000FF"/>
                <w:sz w:val="24"/>
              </w:rPr>
              <w:t>对项目区厂界噪声进行了监测。</w:t>
            </w:r>
          </w:p>
          <w:p>
            <w:pPr>
              <w:keepNext/>
              <w:spacing w:line="360" w:lineRule="auto"/>
              <w:ind w:firstLine="480" w:firstLineChars="200"/>
              <w:contextualSpacing/>
              <w:rPr>
                <w:bCs/>
                <w:color w:val="0000FF"/>
                <w:sz w:val="24"/>
              </w:rPr>
            </w:pPr>
            <w:r>
              <w:rPr>
                <w:color w:val="0000FF"/>
                <w:sz w:val="24"/>
              </w:rPr>
              <w:t>（1）</w:t>
            </w:r>
            <w:r>
              <w:rPr>
                <w:bCs/>
                <w:color w:val="0000FF"/>
                <w:sz w:val="24"/>
              </w:rPr>
              <w:t>监测布点</w:t>
            </w:r>
          </w:p>
          <w:p>
            <w:pPr>
              <w:spacing w:line="360" w:lineRule="auto"/>
              <w:ind w:firstLine="480" w:firstLineChars="200"/>
              <w:rPr>
                <w:color w:val="0000FF"/>
                <w:sz w:val="24"/>
              </w:rPr>
            </w:pPr>
            <w:r>
              <w:rPr>
                <w:color w:val="0000FF"/>
                <w:sz w:val="24"/>
              </w:rPr>
              <w:t>在本项目四周分别布设4个声环境质量现状监测点。监测点位置见表1</w:t>
            </w:r>
            <w:r>
              <w:rPr>
                <w:rFonts w:hint="eastAsia"/>
                <w:color w:val="0000FF"/>
                <w:sz w:val="24"/>
              </w:rPr>
              <w:t>0</w:t>
            </w:r>
            <w:r>
              <w:rPr>
                <w:color w:val="0000FF"/>
                <w:sz w:val="24"/>
              </w:rPr>
              <w:t>和图</w:t>
            </w:r>
            <w:r>
              <w:rPr>
                <w:rFonts w:hint="eastAsia"/>
                <w:color w:val="0000FF"/>
                <w:sz w:val="24"/>
              </w:rPr>
              <w:t>6</w:t>
            </w:r>
            <w:r>
              <w:rPr>
                <w:color w:val="0000FF"/>
                <w:sz w:val="24"/>
              </w:rPr>
              <w:t>。</w:t>
            </w:r>
          </w:p>
          <w:p>
            <w:pPr>
              <w:keepNext/>
              <w:spacing w:line="360" w:lineRule="auto"/>
              <w:ind w:firstLine="480" w:firstLineChars="200"/>
              <w:jc w:val="center"/>
              <w:rPr>
                <w:b/>
                <w:color w:val="0000FF"/>
                <w:sz w:val="24"/>
              </w:rPr>
            </w:pPr>
            <w:r>
              <w:rPr>
                <w:b/>
                <w:color w:val="0000FF"/>
                <w:sz w:val="24"/>
              </w:rPr>
              <w:t>表1</w:t>
            </w:r>
            <w:r>
              <w:rPr>
                <w:rFonts w:hint="eastAsia"/>
                <w:b/>
                <w:color w:val="0000FF"/>
                <w:sz w:val="24"/>
              </w:rPr>
              <w:t>0</w:t>
            </w:r>
            <w:r>
              <w:rPr>
                <w:b/>
                <w:color w:val="0000FF"/>
                <w:sz w:val="24"/>
              </w:rPr>
              <w:t xml:space="preserve">   项目四周声环境监测布点说明</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93"/>
              <w:gridCol w:w="5812"/>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2393" w:type="dxa"/>
                  <w:vAlign w:val="center"/>
                </w:tcPr>
                <w:p>
                  <w:pPr>
                    <w:ind w:firstLine="482"/>
                    <w:jc w:val="center"/>
                    <w:rPr>
                      <w:b/>
                      <w:color w:val="0000FF"/>
                    </w:rPr>
                  </w:pPr>
                  <w:r>
                    <w:rPr>
                      <w:b/>
                      <w:color w:val="0000FF"/>
                    </w:rPr>
                    <w:t>序号</w:t>
                  </w:r>
                </w:p>
              </w:tc>
              <w:tc>
                <w:tcPr>
                  <w:tcW w:w="5812" w:type="dxa"/>
                  <w:vAlign w:val="center"/>
                </w:tcPr>
                <w:p>
                  <w:pPr>
                    <w:ind w:firstLine="482"/>
                    <w:jc w:val="center"/>
                    <w:rPr>
                      <w:b/>
                      <w:color w:val="0000FF"/>
                    </w:rPr>
                  </w:pPr>
                  <w:r>
                    <w:rPr>
                      <w:b/>
                      <w:color w:val="0000FF"/>
                    </w:rPr>
                    <w:t>监测点位置</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3" w:type="dxa"/>
                  <w:vAlign w:val="center"/>
                </w:tcPr>
                <w:p>
                  <w:pPr>
                    <w:ind w:firstLine="480"/>
                    <w:jc w:val="center"/>
                    <w:rPr>
                      <w:color w:val="0000FF"/>
                    </w:rPr>
                  </w:pPr>
                  <w:r>
                    <w:rPr>
                      <w:color w:val="0000FF"/>
                    </w:rPr>
                    <w:t>1#</w:t>
                  </w:r>
                </w:p>
              </w:tc>
              <w:tc>
                <w:tcPr>
                  <w:tcW w:w="5812" w:type="dxa"/>
                  <w:vAlign w:val="center"/>
                </w:tcPr>
                <w:p>
                  <w:pPr>
                    <w:ind w:firstLine="480"/>
                    <w:jc w:val="center"/>
                    <w:rPr>
                      <w:color w:val="0000FF"/>
                    </w:rPr>
                  </w:pPr>
                  <w:r>
                    <w:rPr>
                      <w:rFonts w:hint="eastAsia"/>
                      <w:color w:val="0000FF"/>
                    </w:rPr>
                    <w:t>东</w:t>
                  </w:r>
                  <w:r>
                    <w:rPr>
                      <w:color w:val="0000FF"/>
                    </w:rPr>
                    <w:t>边界外1米</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393" w:type="dxa"/>
                  <w:vAlign w:val="center"/>
                </w:tcPr>
                <w:p>
                  <w:pPr>
                    <w:ind w:firstLine="480"/>
                    <w:jc w:val="center"/>
                    <w:rPr>
                      <w:color w:val="0000FF"/>
                    </w:rPr>
                  </w:pPr>
                  <w:r>
                    <w:rPr>
                      <w:color w:val="0000FF"/>
                    </w:rPr>
                    <w:t>2#</w:t>
                  </w:r>
                </w:p>
              </w:tc>
              <w:tc>
                <w:tcPr>
                  <w:tcW w:w="5812" w:type="dxa"/>
                  <w:vAlign w:val="center"/>
                </w:tcPr>
                <w:p>
                  <w:pPr>
                    <w:ind w:firstLine="480"/>
                    <w:jc w:val="center"/>
                    <w:rPr>
                      <w:color w:val="0000FF"/>
                    </w:rPr>
                  </w:pPr>
                  <w:r>
                    <w:rPr>
                      <w:rFonts w:hint="eastAsia"/>
                      <w:color w:val="0000FF"/>
                    </w:rPr>
                    <w:t>南</w:t>
                  </w:r>
                  <w:r>
                    <w:rPr>
                      <w:color w:val="0000FF"/>
                    </w:rPr>
                    <w:t>边界外1米</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3" w:type="dxa"/>
                  <w:vAlign w:val="center"/>
                </w:tcPr>
                <w:p>
                  <w:pPr>
                    <w:ind w:firstLine="480"/>
                    <w:jc w:val="center"/>
                    <w:rPr>
                      <w:color w:val="0000FF"/>
                    </w:rPr>
                  </w:pPr>
                  <w:r>
                    <w:rPr>
                      <w:color w:val="0000FF"/>
                    </w:rPr>
                    <w:t>3#</w:t>
                  </w:r>
                </w:p>
              </w:tc>
              <w:tc>
                <w:tcPr>
                  <w:tcW w:w="5812" w:type="dxa"/>
                  <w:vAlign w:val="center"/>
                </w:tcPr>
                <w:p>
                  <w:pPr>
                    <w:ind w:firstLine="480"/>
                    <w:jc w:val="center"/>
                    <w:rPr>
                      <w:color w:val="0000FF"/>
                    </w:rPr>
                  </w:pPr>
                  <w:r>
                    <w:rPr>
                      <w:rFonts w:hint="eastAsia"/>
                      <w:color w:val="0000FF"/>
                    </w:rPr>
                    <w:t>西</w:t>
                  </w:r>
                  <w:r>
                    <w:rPr>
                      <w:color w:val="0000FF"/>
                    </w:rPr>
                    <w:t>边界外1米</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3" w:type="dxa"/>
                  <w:vAlign w:val="center"/>
                </w:tcPr>
                <w:p>
                  <w:pPr>
                    <w:ind w:firstLine="480"/>
                    <w:jc w:val="center"/>
                    <w:rPr>
                      <w:color w:val="0000FF"/>
                    </w:rPr>
                  </w:pPr>
                  <w:r>
                    <w:rPr>
                      <w:color w:val="0000FF"/>
                    </w:rPr>
                    <w:t>4#</w:t>
                  </w:r>
                </w:p>
              </w:tc>
              <w:tc>
                <w:tcPr>
                  <w:tcW w:w="5812" w:type="dxa"/>
                  <w:vAlign w:val="center"/>
                </w:tcPr>
                <w:p>
                  <w:pPr>
                    <w:ind w:firstLine="480"/>
                    <w:jc w:val="center"/>
                    <w:rPr>
                      <w:color w:val="0000FF"/>
                    </w:rPr>
                  </w:pPr>
                  <w:r>
                    <w:rPr>
                      <w:rFonts w:hint="eastAsia"/>
                      <w:color w:val="0000FF"/>
                    </w:rPr>
                    <w:t>北</w:t>
                  </w:r>
                  <w:r>
                    <w:rPr>
                      <w:color w:val="0000FF"/>
                    </w:rPr>
                    <w:t>边界外1米</w:t>
                  </w:r>
                </w:p>
              </w:tc>
            </w:tr>
          </w:tbl>
          <w:p>
            <w:pPr>
              <w:keepNext/>
              <w:spacing w:line="360" w:lineRule="auto"/>
              <w:ind w:firstLine="480" w:firstLineChars="200"/>
              <w:contextualSpacing/>
              <w:rPr>
                <w:bCs/>
                <w:color w:val="0000FF"/>
                <w:sz w:val="24"/>
              </w:rPr>
            </w:pPr>
            <w:r>
              <w:rPr>
                <w:color w:val="0000FF"/>
                <w:sz w:val="24"/>
              </w:rPr>
              <w:t>（2）</w:t>
            </w:r>
            <w:r>
              <w:rPr>
                <w:bCs/>
                <w:color w:val="0000FF"/>
                <w:sz w:val="24"/>
              </w:rPr>
              <w:t>监测时间及频次</w:t>
            </w:r>
          </w:p>
          <w:p>
            <w:pPr>
              <w:spacing w:line="360" w:lineRule="auto"/>
              <w:ind w:firstLine="480" w:firstLineChars="200"/>
              <w:rPr>
                <w:rFonts w:hint="eastAsia"/>
                <w:color w:val="0000FF"/>
                <w:sz w:val="24"/>
              </w:rPr>
            </w:pPr>
            <w:r>
              <w:rPr>
                <w:color w:val="0000FF"/>
                <w:sz w:val="24"/>
                <w:szCs w:val="22"/>
              </w:rPr>
              <w:t>甘肃水木青华检测科技有限公司</w:t>
            </w:r>
            <w:r>
              <w:rPr>
                <w:color w:val="0000FF"/>
                <w:sz w:val="24"/>
              </w:rPr>
              <w:t>于</w:t>
            </w:r>
            <w:r>
              <w:rPr>
                <w:sz w:val="24"/>
                <w:szCs w:val="22"/>
                <w:highlight w:val="yellow"/>
              </w:rPr>
              <w:t>2018年</w:t>
            </w:r>
            <w:r>
              <w:rPr>
                <w:rFonts w:hint="eastAsia"/>
                <w:sz w:val="24"/>
                <w:szCs w:val="22"/>
                <w:highlight w:val="yellow"/>
              </w:rPr>
              <w:t>10</w:t>
            </w:r>
            <w:r>
              <w:rPr>
                <w:sz w:val="24"/>
                <w:szCs w:val="22"/>
                <w:highlight w:val="yellow"/>
              </w:rPr>
              <w:t>月</w:t>
            </w:r>
            <w:r>
              <w:rPr>
                <w:rFonts w:hint="eastAsia"/>
                <w:sz w:val="24"/>
                <w:szCs w:val="22"/>
                <w:highlight w:val="yellow"/>
              </w:rPr>
              <w:t>8</w:t>
            </w:r>
            <w:r>
              <w:rPr>
                <w:sz w:val="24"/>
                <w:szCs w:val="22"/>
                <w:highlight w:val="yellow"/>
              </w:rPr>
              <w:t>—</w:t>
            </w:r>
            <w:r>
              <w:rPr>
                <w:rFonts w:hint="eastAsia"/>
                <w:sz w:val="24"/>
                <w:szCs w:val="22"/>
                <w:highlight w:val="yellow"/>
              </w:rPr>
              <w:t>9</w:t>
            </w:r>
            <w:r>
              <w:rPr>
                <w:sz w:val="24"/>
                <w:szCs w:val="22"/>
                <w:highlight w:val="yellow"/>
              </w:rPr>
              <w:t>日</w:t>
            </w:r>
            <w:r>
              <w:rPr>
                <w:color w:val="0000FF"/>
                <w:sz w:val="24"/>
              </w:rPr>
              <w:t>进行噪声现状监测。对各噪声监测点进行为期两天的监测，分昼夜监测。</w:t>
            </w:r>
          </w:p>
          <w:p>
            <w:pPr>
              <w:keepNext/>
              <w:spacing w:line="360" w:lineRule="auto"/>
              <w:ind w:firstLine="480" w:firstLineChars="200"/>
              <w:contextualSpacing/>
              <w:rPr>
                <w:bCs/>
                <w:color w:val="0000FF"/>
                <w:sz w:val="24"/>
              </w:rPr>
            </w:pPr>
            <w:r>
              <w:rPr>
                <w:color w:val="0000FF"/>
                <w:sz w:val="24"/>
              </w:rPr>
              <w:t>（3）</w:t>
            </w:r>
            <w:r>
              <w:rPr>
                <w:bCs/>
                <w:color w:val="0000FF"/>
                <w:sz w:val="24"/>
              </w:rPr>
              <w:t>监测方法及评价标准</w:t>
            </w:r>
          </w:p>
          <w:p>
            <w:pPr>
              <w:spacing w:line="360" w:lineRule="auto"/>
              <w:ind w:firstLine="480" w:firstLineChars="200"/>
              <w:rPr>
                <w:color w:val="0000FF"/>
                <w:sz w:val="24"/>
              </w:rPr>
            </w:pPr>
            <w:r>
              <w:rPr>
                <w:color w:val="0000FF"/>
                <w:sz w:val="24"/>
              </w:rPr>
              <w:t>监测方法：按《声环境质量标准》(GB3096-2008)要求进行。</w:t>
            </w:r>
          </w:p>
          <w:p>
            <w:pPr>
              <w:spacing w:line="360" w:lineRule="auto"/>
              <w:ind w:firstLine="480" w:firstLineChars="200"/>
              <w:rPr>
                <w:color w:val="0000FF"/>
                <w:sz w:val="24"/>
                <w:szCs w:val="22"/>
              </w:rPr>
            </w:pPr>
            <w:r>
              <w:rPr>
                <w:color w:val="0000FF"/>
                <w:sz w:val="24"/>
              </w:rPr>
              <w:t>监测仪器：</w:t>
            </w:r>
            <w:r>
              <w:rPr>
                <w:color w:val="0000FF"/>
                <w:sz w:val="24"/>
                <w:szCs w:val="22"/>
              </w:rPr>
              <w:t>采用多功能声级计。</w:t>
            </w:r>
          </w:p>
          <w:p>
            <w:pPr>
              <w:spacing w:line="360" w:lineRule="auto"/>
              <w:ind w:firstLine="480" w:firstLineChars="200"/>
              <w:rPr>
                <w:color w:val="0000FF"/>
                <w:sz w:val="24"/>
              </w:rPr>
            </w:pPr>
            <w:r>
              <w:rPr>
                <w:color w:val="0000FF"/>
                <w:sz w:val="24"/>
              </w:rPr>
              <w:t>（4）</w:t>
            </w:r>
            <w:r>
              <w:rPr>
                <w:bCs/>
                <w:color w:val="0000FF"/>
                <w:sz w:val="24"/>
              </w:rPr>
              <w:t>声环境现状监测结果</w:t>
            </w:r>
          </w:p>
          <w:p>
            <w:pPr>
              <w:spacing w:line="360" w:lineRule="auto"/>
              <w:ind w:firstLine="480" w:firstLineChars="200"/>
              <w:jc w:val="left"/>
              <w:rPr>
                <w:color w:val="0000FF"/>
                <w:sz w:val="24"/>
              </w:rPr>
            </w:pPr>
            <w:r>
              <w:rPr>
                <w:color w:val="0000FF"/>
                <w:sz w:val="24"/>
              </w:rPr>
              <w:t>项目声环境实测数据见表</w:t>
            </w:r>
            <w:r>
              <w:rPr>
                <w:rFonts w:hint="eastAsia"/>
                <w:color w:val="0000FF"/>
                <w:sz w:val="24"/>
              </w:rPr>
              <w:t>11</w:t>
            </w:r>
            <w:r>
              <w:rPr>
                <w:color w:val="0000FF"/>
                <w:sz w:val="24"/>
              </w:rPr>
              <w:t>。</w:t>
            </w:r>
          </w:p>
          <w:p>
            <w:pPr>
              <w:keepNext/>
              <w:spacing w:line="360" w:lineRule="auto"/>
              <w:ind w:firstLine="480" w:firstLineChars="200"/>
              <w:jc w:val="center"/>
              <w:rPr>
                <w:b/>
                <w:bCs/>
                <w:color w:val="0000FF"/>
                <w:sz w:val="24"/>
              </w:rPr>
            </w:pPr>
            <w:r>
              <w:rPr>
                <w:b/>
                <w:color w:val="0000FF"/>
                <w:sz w:val="24"/>
              </w:rPr>
              <w:t>表1</w:t>
            </w:r>
            <w:r>
              <w:rPr>
                <w:rFonts w:hint="eastAsia"/>
                <w:b/>
                <w:color w:val="0000FF"/>
                <w:sz w:val="24"/>
              </w:rPr>
              <w:t>1</w:t>
            </w:r>
            <w:r>
              <w:rPr>
                <w:b/>
                <w:color w:val="0000FF"/>
                <w:sz w:val="24"/>
              </w:rPr>
              <w:t xml:space="preserve">   声环境现状监测结果统计表   单位：</w:t>
            </w:r>
            <w:r>
              <w:rPr>
                <w:b/>
                <w:bCs/>
                <w:color w:val="0000FF"/>
                <w:sz w:val="24"/>
              </w:rPr>
              <w:t>dB(A)</w:t>
            </w:r>
          </w:p>
          <w:tbl>
            <w:tblPr>
              <w:tblStyle w:val="24"/>
              <w:tblW w:w="0" w:type="auto"/>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3"/>
              <w:gridCol w:w="1531"/>
              <w:gridCol w:w="1531"/>
              <w:gridCol w:w="1531"/>
              <w:gridCol w:w="1529"/>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083" w:type="dxa"/>
                  <w:vMerge w:val="restart"/>
                  <w:vAlign w:val="center"/>
                </w:tcPr>
                <w:p>
                  <w:pPr>
                    <w:adjustRightInd w:val="0"/>
                    <w:snapToGrid w:val="0"/>
                    <w:ind w:right="220" w:rightChars="105"/>
                    <w:jc w:val="center"/>
                    <w:rPr>
                      <w:b/>
                      <w:szCs w:val="21"/>
                      <w:highlight w:val="yellow"/>
                    </w:rPr>
                  </w:pPr>
                  <w:r>
                    <w:rPr>
                      <w:b/>
                      <w:szCs w:val="21"/>
                      <w:highlight w:val="yellow"/>
                    </w:rPr>
                    <w:t>监测点</w:t>
                  </w:r>
                </w:p>
              </w:tc>
              <w:tc>
                <w:tcPr>
                  <w:tcW w:w="3062" w:type="dxa"/>
                  <w:gridSpan w:val="2"/>
                  <w:vAlign w:val="center"/>
                </w:tcPr>
                <w:p>
                  <w:pPr>
                    <w:jc w:val="center"/>
                    <w:rPr>
                      <w:b/>
                      <w:szCs w:val="21"/>
                      <w:highlight w:val="yellow"/>
                    </w:rPr>
                  </w:pPr>
                  <w:r>
                    <w:rPr>
                      <w:b/>
                      <w:szCs w:val="21"/>
                      <w:highlight w:val="yellow"/>
                    </w:rPr>
                    <w:t>10月8日</w:t>
                  </w:r>
                </w:p>
              </w:tc>
              <w:tc>
                <w:tcPr>
                  <w:tcW w:w="3060" w:type="dxa"/>
                  <w:gridSpan w:val="2"/>
                  <w:vAlign w:val="center"/>
                </w:tcPr>
                <w:p>
                  <w:pPr>
                    <w:jc w:val="center"/>
                    <w:rPr>
                      <w:b/>
                      <w:szCs w:val="21"/>
                      <w:highlight w:val="yellow"/>
                    </w:rPr>
                  </w:pPr>
                  <w:r>
                    <w:rPr>
                      <w:b/>
                      <w:szCs w:val="21"/>
                      <w:highlight w:val="yellow"/>
                    </w:rPr>
                    <w:t>10月9日</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2083" w:type="dxa"/>
                  <w:vMerge w:val="continue"/>
                  <w:vAlign w:val="center"/>
                </w:tcPr>
                <w:p>
                  <w:pPr>
                    <w:adjustRightInd w:val="0"/>
                    <w:snapToGrid w:val="0"/>
                    <w:jc w:val="center"/>
                    <w:rPr>
                      <w:b/>
                      <w:szCs w:val="21"/>
                      <w:highlight w:val="yellow"/>
                    </w:rPr>
                  </w:pPr>
                </w:p>
              </w:tc>
              <w:tc>
                <w:tcPr>
                  <w:tcW w:w="1531" w:type="dxa"/>
                  <w:vAlign w:val="center"/>
                </w:tcPr>
                <w:p>
                  <w:pPr>
                    <w:jc w:val="center"/>
                    <w:rPr>
                      <w:b/>
                      <w:szCs w:val="21"/>
                      <w:highlight w:val="yellow"/>
                    </w:rPr>
                  </w:pPr>
                  <w:r>
                    <w:rPr>
                      <w:b/>
                      <w:szCs w:val="21"/>
                      <w:highlight w:val="yellow"/>
                    </w:rPr>
                    <w:t>昼间</w:t>
                  </w:r>
                </w:p>
              </w:tc>
              <w:tc>
                <w:tcPr>
                  <w:tcW w:w="1531" w:type="dxa"/>
                  <w:vAlign w:val="center"/>
                </w:tcPr>
                <w:p>
                  <w:pPr>
                    <w:jc w:val="center"/>
                    <w:rPr>
                      <w:b/>
                      <w:szCs w:val="21"/>
                      <w:highlight w:val="yellow"/>
                    </w:rPr>
                  </w:pPr>
                  <w:r>
                    <w:rPr>
                      <w:b/>
                      <w:szCs w:val="21"/>
                      <w:highlight w:val="yellow"/>
                    </w:rPr>
                    <w:t>夜间</w:t>
                  </w:r>
                </w:p>
              </w:tc>
              <w:tc>
                <w:tcPr>
                  <w:tcW w:w="1531" w:type="dxa"/>
                  <w:vAlign w:val="center"/>
                </w:tcPr>
                <w:p>
                  <w:pPr>
                    <w:jc w:val="center"/>
                    <w:rPr>
                      <w:b/>
                      <w:szCs w:val="21"/>
                      <w:highlight w:val="yellow"/>
                    </w:rPr>
                  </w:pPr>
                  <w:r>
                    <w:rPr>
                      <w:b/>
                      <w:szCs w:val="21"/>
                      <w:highlight w:val="yellow"/>
                    </w:rPr>
                    <w:t>昼间</w:t>
                  </w:r>
                </w:p>
              </w:tc>
              <w:tc>
                <w:tcPr>
                  <w:tcW w:w="1529" w:type="dxa"/>
                  <w:vAlign w:val="center"/>
                </w:tcPr>
                <w:p>
                  <w:pPr>
                    <w:jc w:val="center"/>
                    <w:rPr>
                      <w:b/>
                      <w:szCs w:val="21"/>
                      <w:highlight w:val="yellow"/>
                    </w:rPr>
                  </w:pPr>
                  <w:r>
                    <w:rPr>
                      <w:b/>
                      <w:szCs w:val="21"/>
                      <w:highlight w:val="yellow"/>
                    </w:rPr>
                    <w:t>夜间</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2083" w:type="dxa"/>
                  <w:vAlign w:val="center"/>
                </w:tcPr>
                <w:p>
                  <w:pPr>
                    <w:adjustRightInd w:val="0"/>
                    <w:snapToGrid w:val="0"/>
                    <w:jc w:val="center"/>
                    <w:rPr>
                      <w:szCs w:val="21"/>
                      <w:highlight w:val="yellow"/>
                    </w:rPr>
                  </w:pPr>
                  <w:r>
                    <w:rPr>
                      <w:szCs w:val="21"/>
                      <w:highlight w:val="yellow"/>
                    </w:rPr>
                    <w:t>1#</w:t>
                  </w:r>
                </w:p>
              </w:tc>
              <w:tc>
                <w:tcPr>
                  <w:tcW w:w="1531" w:type="dxa"/>
                  <w:vAlign w:val="center"/>
                </w:tcPr>
                <w:p>
                  <w:pPr>
                    <w:jc w:val="center"/>
                    <w:rPr>
                      <w:rFonts w:eastAsia="仿宋"/>
                      <w:szCs w:val="21"/>
                      <w:highlight w:val="yellow"/>
                    </w:rPr>
                  </w:pPr>
                  <w:r>
                    <w:rPr>
                      <w:rFonts w:eastAsia="仿宋"/>
                      <w:szCs w:val="21"/>
                      <w:highlight w:val="yellow"/>
                    </w:rPr>
                    <w:t>44.6</w:t>
                  </w:r>
                </w:p>
              </w:tc>
              <w:tc>
                <w:tcPr>
                  <w:tcW w:w="1531" w:type="dxa"/>
                  <w:vAlign w:val="center"/>
                </w:tcPr>
                <w:p>
                  <w:pPr>
                    <w:jc w:val="center"/>
                    <w:rPr>
                      <w:rFonts w:eastAsia="仿宋"/>
                      <w:szCs w:val="21"/>
                      <w:highlight w:val="yellow"/>
                    </w:rPr>
                  </w:pPr>
                  <w:r>
                    <w:rPr>
                      <w:rFonts w:eastAsia="仿宋"/>
                      <w:szCs w:val="21"/>
                      <w:highlight w:val="yellow"/>
                    </w:rPr>
                    <w:t>37.5</w:t>
                  </w:r>
                </w:p>
              </w:tc>
              <w:tc>
                <w:tcPr>
                  <w:tcW w:w="1531" w:type="dxa"/>
                  <w:vAlign w:val="center"/>
                </w:tcPr>
                <w:p>
                  <w:pPr>
                    <w:jc w:val="center"/>
                    <w:rPr>
                      <w:rFonts w:eastAsia="仿宋"/>
                      <w:szCs w:val="21"/>
                      <w:highlight w:val="yellow"/>
                    </w:rPr>
                  </w:pPr>
                  <w:r>
                    <w:rPr>
                      <w:rFonts w:eastAsia="仿宋"/>
                      <w:szCs w:val="21"/>
                      <w:highlight w:val="yellow"/>
                    </w:rPr>
                    <w:t>44.2</w:t>
                  </w:r>
                </w:p>
              </w:tc>
              <w:tc>
                <w:tcPr>
                  <w:tcW w:w="1529" w:type="dxa"/>
                  <w:vAlign w:val="center"/>
                </w:tcPr>
                <w:p>
                  <w:pPr>
                    <w:jc w:val="center"/>
                    <w:rPr>
                      <w:rFonts w:eastAsia="仿宋"/>
                      <w:szCs w:val="21"/>
                      <w:highlight w:val="yellow"/>
                    </w:rPr>
                  </w:pPr>
                  <w:r>
                    <w:rPr>
                      <w:rFonts w:eastAsia="仿宋"/>
                      <w:szCs w:val="21"/>
                      <w:highlight w:val="yellow"/>
                    </w:rPr>
                    <w:t>36.9</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2083" w:type="dxa"/>
                  <w:vAlign w:val="center"/>
                </w:tcPr>
                <w:p>
                  <w:pPr>
                    <w:adjustRightInd w:val="0"/>
                    <w:snapToGrid w:val="0"/>
                    <w:jc w:val="center"/>
                    <w:rPr>
                      <w:szCs w:val="21"/>
                      <w:highlight w:val="yellow"/>
                    </w:rPr>
                  </w:pPr>
                  <w:r>
                    <w:rPr>
                      <w:szCs w:val="21"/>
                      <w:highlight w:val="yellow"/>
                    </w:rPr>
                    <w:t>2#</w:t>
                  </w:r>
                </w:p>
              </w:tc>
              <w:tc>
                <w:tcPr>
                  <w:tcW w:w="1531" w:type="dxa"/>
                  <w:vAlign w:val="center"/>
                </w:tcPr>
                <w:p>
                  <w:pPr>
                    <w:jc w:val="center"/>
                    <w:rPr>
                      <w:rFonts w:eastAsia="仿宋"/>
                      <w:szCs w:val="21"/>
                      <w:highlight w:val="yellow"/>
                    </w:rPr>
                  </w:pPr>
                  <w:r>
                    <w:rPr>
                      <w:rFonts w:eastAsia="仿宋"/>
                      <w:szCs w:val="21"/>
                      <w:highlight w:val="yellow"/>
                    </w:rPr>
                    <w:t>45.6</w:t>
                  </w:r>
                </w:p>
              </w:tc>
              <w:tc>
                <w:tcPr>
                  <w:tcW w:w="1531" w:type="dxa"/>
                  <w:vAlign w:val="center"/>
                </w:tcPr>
                <w:p>
                  <w:pPr>
                    <w:jc w:val="center"/>
                    <w:rPr>
                      <w:rFonts w:eastAsia="仿宋"/>
                      <w:szCs w:val="21"/>
                      <w:highlight w:val="yellow"/>
                    </w:rPr>
                  </w:pPr>
                  <w:r>
                    <w:rPr>
                      <w:rFonts w:eastAsia="仿宋"/>
                      <w:szCs w:val="21"/>
                      <w:highlight w:val="yellow"/>
                    </w:rPr>
                    <w:t>36.4</w:t>
                  </w:r>
                </w:p>
              </w:tc>
              <w:tc>
                <w:tcPr>
                  <w:tcW w:w="1531" w:type="dxa"/>
                  <w:vAlign w:val="center"/>
                </w:tcPr>
                <w:p>
                  <w:pPr>
                    <w:jc w:val="center"/>
                    <w:rPr>
                      <w:rFonts w:eastAsia="仿宋"/>
                      <w:szCs w:val="21"/>
                      <w:highlight w:val="yellow"/>
                    </w:rPr>
                  </w:pPr>
                  <w:r>
                    <w:rPr>
                      <w:rFonts w:eastAsia="仿宋"/>
                      <w:szCs w:val="21"/>
                      <w:highlight w:val="yellow"/>
                    </w:rPr>
                    <w:t>44.3</w:t>
                  </w:r>
                </w:p>
              </w:tc>
              <w:tc>
                <w:tcPr>
                  <w:tcW w:w="1529" w:type="dxa"/>
                  <w:vAlign w:val="center"/>
                </w:tcPr>
                <w:p>
                  <w:pPr>
                    <w:jc w:val="center"/>
                    <w:rPr>
                      <w:rFonts w:eastAsia="仿宋"/>
                      <w:szCs w:val="21"/>
                      <w:highlight w:val="yellow"/>
                    </w:rPr>
                  </w:pPr>
                  <w:r>
                    <w:rPr>
                      <w:rFonts w:eastAsia="仿宋"/>
                      <w:szCs w:val="21"/>
                      <w:highlight w:val="yellow"/>
                    </w:rPr>
                    <w:t>37.2</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2083" w:type="dxa"/>
                  <w:vAlign w:val="center"/>
                </w:tcPr>
                <w:p>
                  <w:pPr>
                    <w:adjustRightInd w:val="0"/>
                    <w:snapToGrid w:val="0"/>
                    <w:jc w:val="center"/>
                    <w:rPr>
                      <w:szCs w:val="21"/>
                      <w:highlight w:val="yellow"/>
                    </w:rPr>
                  </w:pPr>
                  <w:r>
                    <w:rPr>
                      <w:szCs w:val="21"/>
                      <w:highlight w:val="yellow"/>
                    </w:rPr>
                    <w:t>3#</w:t>
                  </w:r>
                </w:p>
              </w:tc>
              <w:tc>
                <w:tcPr>
                  <w:tcW w:w="1531" w:type="dxa"/>
                  <w:vAlign w:val="center"/>
                </w:tcPr>
                <w:p>
                  <w:pPr>
                    <w:jc w:val="center"/>
                    <w:rPr>
                      <w:rFonts w:eastAsia="仿宋"/>
                      <w:szCs w:val="21"/>
                      <w:highlight w:val="yellow"/>
                    </w:rPr>
                  </w:pPr>
                  <w:r>
                    <w:rPr>
                      <w:rFonts w:eastAsia="仿宋"/>
                      <w:szCs w:val="21"/>
                      <w:highlight w:val="yellow"/>
                    </w:rPr>
                    <w:t>51.2</w:t>
                  </w:r>
                </w:p>
              </w:tc>
              <w:tc>
                <w:tcPr>
                  <w:tcW w:w="1531" w:type="dxa"/>
                  <w:vAlign w:val="center"/>
                </w:tcPr>
                <w:p>
                  <w:pPr>
                    <w:jc w:val="center"/>
                    <w:rPr>
                      <w:rFonts w:eastAsia="仿宋"/>
                      <w:szCs w:val="21"/>
                      <w:highlight w:val="yellow"/>
                    </w:rPr>
                  </w:pPr>
                  <w:r>
                    <w:rPr>
                      <w:rFonts w:eastAsia="仿宋"/>
                      <w:szCs w:val="21"/>
                      <w:highlight w:val="yellow"/>
                    </w:rPr>
                    <w:t>40.1</w:t>
                  </w:r>
                </w:p>
              </w:tc>
              <w:tc>
                <w:tcPr>
                  <w:tcW w:w="1531" w:type="dxa"/>
                  <w:vAlign w:val="center"/>
                </w:tcPr>
                <w:p>
                  <w:pPr>
                    <w:jc w:val="center"/>
                    <w:rPr>
                      <w:rFonts w:eastAsia="仿宋"/>
                      <w:szCs w:val="21"/>
                      <w:highlight w:val="yellow"/>
                    </w:rPr>
                  </w:pPr>
                  <w:r>
                    <w:rPr>
                      <w:rFonts w:eastAsia="仿宋"/>
                      <w:szCs w:val="21"/>
                      <w:highlight w:val="yellow"/>
                    </w:rPr>
                    <w:t>50.8</w:t>
                  </w:r>
                </w:p>
              </w:tc>
              <w:tc>
                <w:tcPr>
                  <w:tcW w:w="1529" w:type="dxa"/>
                  <w:vAlign w:val="center"/>
                </w:tcPr>
                <w:p>
                  <w:pPr>
                    <w:jc w:val="center"/>
                    <w:rPr>
                      <w:rFonts w:eastAsia="仿宋"/>
                      <w:szCs w:val="21"/>
                      <w:highlight w:val="yellow"/>
                    </w:rPr>
                  </w:pPr>
                  <w:r>
                    <w:rPr>
                      <w:rFonts w:eastAsia="仿宋"/>
                      <w:szCs w:val="21"/>
                      <w:highlight w:val="yellow"/>
                    </w:rPr>
                    <w:t>40.4</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2083" w:type="dxa"/>
                  <w:vAlign w:val="center"/>
                </w:tcPr>
                <w:p>
                  <w:pPr>
                    <w:adjustRightInd w:val="0"/>
                    <w:snapToGrid w:val="0"/>
                    <w:jc w:val="center"/>
                    <w:rPr>
                      <w:szCs w:val="21"/>
                      <w:highlight w:val="yellow"/>
                    </w:rPr>
                  </w:pPr>
                  <w:r>
                    <w:rPr>
                      <w:szCs w:val="21"/>
                      <w:highlight w:val="yellow"/>
                    </w:rPr>
                    <w:t>4#</w:t>
                  </w:r>
                </w:p>
              </w:tc>
              <w:tc>
                <w:tcPr>
                  <w:tcW w:w="1531" w:type="dxa"/>
                  <w:vAlign w:val="center"/>
                </w:tcPr>
                <w:p>
                  <w:pPr>
                    <w:jc w:val="center"/>
                    <w:rPr>
                      <w:rFonts w:eastAsia="仿宋"/>
                      <w:szCs w:val="21"/>
                      <w:highlight w:val="yellow"/>
                    </w:rPr>
                  </w:pPr>
                  <w:r>
                    <w:rPr>
                      <w:rFonts w:eastAsia="仿宋"/>
                      <w:szCs w:val="21"/>
                      <w:highlight w:val="yellow"/>
                    </w:rPr>
                    <w:t>48.4</w:t>
                  </w:r>
                </w:p>
              </w:tc>
              <w:tc>
                <w:tcPr>
                  <w:tcW w:w="1531" w:type="dxa"/>
                  <w:vAlign w:val="center"/>
                </w:tcPr>
                <w:p>
                  <w:pPr>
                    <w:jc w:val="center"/>
                    <w:rPr>
                      <w:rFonts w:eastAsia="仿宋"/>
                      <w:szCs w:val="21"/>
                      <w:highlight w:val="yellow"/>
                    </w:rPr>
                  </w:pPr>
                  <w:r>
                    <w:rPr>
                      <w:rFonts w:eastAsia="仿宋"/>
                      <w:szCs w:val="21"/>
                      <w:highlight w:val="yellow"/>
                    </w:rPr>
                    <w:t>39.8</w:t>
                  </w:r>
                </w:p>
              </w:tc>
              <w:tc>
                <w:tcPr>
                  <w:tcW w:w="1531" w:type="dxa"/>
                  <w:vAlign w:val="center"/>
                </w:tcPr>
                <w:p>
                  <w:pPr>
                    <w:jc w:val="center"/>
                    <w:rPr>
                      <w:rFonts w:eastAsia="仿宋"/>
                      <w:szCs w:val="21"/>
                      <w:highlight w:val="yellow"/>
                    </w:rPr>
                  </w:pPr>
                  <w:r>
                    <w:rPr>
                      <w:rFonts w:eastAsia="仿宋"/>
                      <w:szCs w:val="21"/>
                      <w:highlight w:val="yellow"/>
                    </w:rPr>
                    <w:t>47.5</w:t>
                  </w:r>
                </w:p>
              </w:tc>
              <w:tc>
                <w:tcPr>
                  <w:tcW w:w="1529" w:type="dxa"/>
                  <w:vAlign w:val="center"/>
                </w:tcPr>
                <w:p>
                  <w:pPr>
                    <w:jc w:val="center"/>
                    <w:rPr>
                      <w:rFonts w:eastAsia="仿宋"/>
                      <w:szCs w:val="21"/>
                      <w:highlight w:val="yellow"/>
                    </w:rPr>
                  </w:pPr>
                  <w:r>
                    <w:rPr>
                      <w:rFonts w:eastAsia="仿宋"/>
                      <w:szCs w:val="21"/>
                      <w:highlight w:val="yellow"/>
                    </w:rPr>
                    <w:t>39.2</w:t>
                  </w:r>
                </w:p>
              </w:tc>
            </w:tr>
          </w:tbl>
          <w:p>
            <w:pPr>
              <w:spacing w:line="360" w:lineRule="auto"/>
              <w:ind w:firstLine="480" w:firstLineChars="200"/>
              <w:rPr>
                <w:rFonts w:hint="eastAsia"/>
                <w:color w:val="0000FF"/>
                <w:sz w:val="24"/>
              </w:rPr>
            </w:pPr>
            <w:r>
              <w:rPr>
                <w:color w:val="0000FF"/>
                <w:sz w:val="24"/>
              </w:rPr>
              <w:t>监测结果：</w:t>
            </w:r>
            <w:r>
              <w:rPr>
                <w:color w:val="0000FF"/>
                <w:sz w:val="24"/>
                <w:szCs w:val="22"/>
              </w:rPr>
              <w:t>本项目昼间和夜间噪声均满足《声环境质量标准》（GB 3096-2008）中</w:t>
            </w:r>
            <w:r>
              <w:rPr>
                <w:rFonts w:hint="eastAsia"/>
                <w:color w:val="0000FF"/>
                <w:sz w:val="24"/>
                <w:szCs w:val="22"/>
              </w:rPr>
              <w:t>3</w:t>
            </w:r>
            <w:r>
              <w:rPr>
                <w:color w:val="0000FF"/>
                <w:sz w:val="24"/>
                <w:szCs w:val="22"/>
              </w:rPr>
              <w:t>类标准要求，因此，项目所在区域内声环境质量状况良好。</w:t>
            </w:r>
          </w:p>
          <w:p>
            <w:pPr>
              <w:spacing w:line="360" w:lineRule="auto"/>
              <w:ind w:firstLine="480" w:firstLineChars="200"/>
              <w:rPr>
                <w:rFonts w:hint="eastAsia"/>
                <w:sz w:val="24"/>
              </w:rPr>
            </w:pPr>
            <w:r>
              <w:rPr>
                <w:b/>
                <w:bCs/>
                <w:sz w:val="24"/>
                <w:szCs w:val="28"/>
                <w:lang w:val="en-US" w:eastAsia="zh-CN"/>
              </w:rPr>
              <w:pict>
                <v:shape id="_x0000_s1070" o:spid="_x0000_s1070" o:spt="202" type="#_x0000_t202" style="position:absolute;left:0pt;margin-left:125.25pt;margin-top:229.65pt;height:23.35pt;width:50.5pt;z-index:251664384;mso-width-relative:margin;mso-height-relative:margin;" filled="f" stroked="f" coordsize="21600,21600">
                  <v:path/>
                  <v:fill on="f" focussize="0,0"/>
                  <v:stroke on="f" joinstyle="miter"/>
                  <v:imagedata o:title=""/>
                  <o:lock v:ext="edit"/>
                  <v:textbox>
                    <w:txbxContent>
                      <w:p>
                        <w:pPr>
                          <w:rPr>
                            <w:b/>
                          </w:rPr>
                        </w:pPr>
                        <w:r>
                          <w:rPr>
                            <w:rFonts w:hint="eastAsia"/>
                            <w:b/>
                          </w:rPr>
                          <w:t>1114</w:t>
                        </w:r>
                      </w:p>
                    </w:txbxContent>
                  </v:textbox>
                </v:shape>
              </w:pict>
            </w:r>
            <w:r>
              <w:rPr>
                <w:lang w:val="en-US" w:eastAsia="zh-CN"/>
              </w:rPr>
              <w:pict>
                <v:shape id="_x0000_s1068" o:spid="_x0000_s1068" o:spt="202" type="#_x0000_t202" style="position:absolute;left:0pt;margin-left:22.85pt;margin-top:234.55pt;height:141.2pt;width:24.65pt;z-index:251663360;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0</w:t>
                        </w:r>
                      </w:p>
                    </w:txbxContent>
                  </v:textbox>
                </v:shape>
              </w:pict>
            </w:r>
            <w:r>
              <w:rPr>
                <w:lang w:val="en-US" w:eastAsia="zh-CN"/>
              </w:rPr>
              <w:pict>
                <v:shape id="_x0000_s1067" o:spid="_x0000_s1067" o:spt="32" type="#_x0000_t32" style="position:absolute;left:0pt;margin-left:26.9pt;margin-top:257.35pt;height:0pt;width:120.25pt;z-index:251662336;mso-width-relative:margin;mso-height-relative:margin;" o:connectortype="straight" filled="f" coordsize="21600,21600">
                  <v:path arrowok="t"/>
                  <v:fill on="f" focussize="0,0"/>
                  <v:stroke weight="1.5pt"/>
                  <v:imagedata o:title=""/>
                  <o:lock v:ext="edit"/>
                </v:shape>
              </w:pict>
            </w:r>
            <w:r>
              <w:drawing>
                <wp:inline distT="0" distB="0" distL="0" distR="0">
                  <wp:extent cx="4838065" cy="3227705"/>
                  <wp:effectExtent l="19050" t="0" r="63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6" cstate="print"/>
                          <a:srcRect/>
                          <a:stretch>
                            <a:fillRect/>
                          </a:stretch>
                        </pic:blipFill>
                        <pic:spPr>
                          <a:xfrm>
                            <a:off x="0" y="0"/>
                            <a:ext cx="4838065" cy="3227705"/>
                          </a:xfrm>
                          <a:prstGeom prst="rect">
                            <a:avLst/>
                          </a:prstGeom>
                          <a:noFill/>
                          <a:ln w="9525" cmpd="sng">
                            <a:noFill/>
                            <a:miter lim="800000"/>
                            <a:headEnd/>
                            <a:tailEnd/>
                          </a:ln>
                        </pic:spPr>
                      </pic:pic>
                    </a:graphicData>
                  </a:graphic>
                </wp:inline>
              </w:drawing>
            </w:r>
          </w:p>
          <w:p>
            <w:pPr>
              <w:spacing w:line="360" w:lineRule="auto"/>
              <w:jc w:val="center"/>
              <w:rPr>
                <w:b/>
                <w:sz w:val="24"/>
                <w:lang w:val="zh-CN"/>
              </w:rPr>
            </w:pPr>
            <w:r>
              <w:rPr>
                <w:b/>
                <w:sz w:val="24"/>
                <w:lang w:val="zh-CN"/>
              </w:rPr>
              <w:t>图</w:t>
            </w:r>
            <w:r>
              <w:rPr>
                <w:rFonts w:hint="eastAsia"/>
                <w:b/>
                <w:sz w:val="24"/>
              </w:rPr>
              <w:t>6</w:t>
            </w:r>
            <w:r>
              <w:rPr>
                <w:b/>
                <w:sz w:val="24"/>
                <w:lang w:val="zh-CN"/>
              </w:rPr>
              <w:t xml:space="preserve">  建设项目环境现状监测点位示意图</w:t>
            </w:r>
          </w:p>
          <w:p>
            <w:pPr>
              <w:spacing w:beforeLines="50" w:afterLines="50" w:line="360" w:lineRule="auto"/>
              <w:outlineLvl w:val="2"/>
              <w:rPr>
                <w:b/>
                <w:color w:val="0000FF"/>
                <w:sz w:val="24"/>
                <w:szCs w:val="28"/>
              </w:rPr>
            </w:pPr>
            <w:r>
              <w:rPr>
                <w:rFonts w:hint="eastAsia"/>
                <w:b/>
                <w:color w:val="0000FF"/>
                <w:sz w:val="24"/>
                <w:szCs w:val="28"/>
              </w:rPr>
              <w:t>5</w:t>
            </w:r>
            <w:r>
              <w:rPr>
                <w:b/>
                <w:color w:val="0000FF"/>
                <w:sz w:val="24"/>
                <w:szCs w:val="28"/>
              </w:rPr>
              <w:t>、主要环境保护目标（列出名单及保护级别）：</w:t>
            </w:r>
          </w:p>
          <w:p>
            <w:pPr>
              <w:spacing w:line="360" w:lineRule="auto"/>
              <w:ind w:firstLine="480" w:firstLineChars="200"/>
              <w:rPr>
                <w:color w:val="0000FF"/>
                <w:kern w:val="0"/>
                <w:sz w:val="24"/>
                <w:szCs w:val="28"/>
                <w:highlight w:val="yellow"/>
              </w:rPr>
            </w:pPr>
            <w:r>
              <w:rPr>
                <w:color w:val="0000FF"/>
                <w:sz w:val="24"/>
                <w:szCs w:val="28"/>
              </w:rPr>
              <w:t>项目评价区域内无风景名胜区、自然保护区、文物古迹和珍稀动植物等重点保护对象。</w:t>
            </w:r>
          </w:p>
          <w:p>
            <w:pPr>
              <w:spacing w:line="360" w:lineRule="auto"/>
              <w:ind w:firstLine="480" w:firstLineChars="200"/>
              <w:rPr>
                <w:rFonts w:hint="eastAsia"/>
                <w:color w:val="0000FF"/>
                <w:sz w:val="24"/>
                <w:szCs w:val="28"/>
              </w:rPr>
            </w:pPr>
            <w:r>
              <w:rPr>
                <w:color w:val="0000FF"/>
                <w:sz w:val="24"/>
                <w:szCs w:val="28"/>
              </w:rPr>
              <w:t>环境保护要素主要为大气环境、水环境、声环境，保护级别分别为：环境空气质量符合《环境空气质量标准》(GB3095-2012)中的二级标准；区域声环境符合《声环境质量标准》(GB3096-2008)中2类区标准，根据项目的排污特征及环境特征，本次评价的保护对象见表1</w:t>
            </w:r>
            <w:r>
              <w:rPr>
                <w:rFonts w:hint="eastAsia"/>
                <w:color w:val="0000FF"/>
                <w:sz w:val="24"/>
                <w:szCs w:val="28"/>
              </w:rPr>
              <w:t>2</w:t>
            </w:r>
            <w:r>
              <w:rPr>
                <w:color w:val="0000FF"/>
                <w:sz w:val="24"/>
                <w:szCs w:val="28"/>
              </w:rPr>
              <w:t>所示：</w:t>
            </w:r>
          </w:p>
          <w:p>
            <w:pPr>
              <w:widowControl/>
              <w:ind w:firstLine="600" w:firstLineChars="250"/>
              <w:jc w:val="center"/>
              <w:rPr>
                <w:b/>
                <w:sz w:val="24"/>
              </w:rPr>
            </w:pPr>
            <w:r>
              <w:rPr>
                <w:b/>
                <w:sz w:val="24"/>
              </w:rPr>
              <w:t>表1</w:t>
            </w:r>
            <w:r>
              <w:rPr>
                <w:rFonts w:hint="eastAsia"/>
                <w:b/>
                <w:sz w:val="24"/>
              </w:rPr>
              <w:t>2</w:t>
            </w:r>
            <w:r>
              <w:rPr>
                <w:b/>
                <w:sz w:val="24"/>
              </w:rPr>
              <w:t xml:space="preserve"> 环境敏感点一览表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6"/>
              <w:gridCol w:w="798"/>
              <w:gridCol w:w="1221"/>
              <w:gridCol w:w="730"/>
              <w:gridCol w:w="1127"/>
              <w:gridCol w:w="850"/>
              <w:gridCol w:w="980"/>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56" w:type="dxa"/>
                  <w:vMerge w:val="restart"/>
                  <w:vAlign w:val="center"/>
                </w:tcPr>
                <w:p>
                  <w:pPr>
                    <w:adjustRightInd w:val="0"/>
                    <w:snapToGrid w:val="0"/>
                    <w:jc w:val="center"/>
                    <w:rPr>
                      <w:b/>
                      <w:color w:val="0000FF"/>
                      <w:szCs w:val="21"/>
                    </w:rPr>
                  </w:pPr>
                  <w:r>
                    <w:rPr>
                      <w:b/>
                      <w:color w:val="0000FF"/>
                      <w:szCs w:val="21"/>
                    </w:rPr>
                    <w:t>环境影响类别</w:t>
                  </w:r>
                </w:p>
              </w:tc>
              <w:tc>
                <w:tcPr>
                  <w:tcW w:w="2019" w:type="dxa"/>
                  <w:gridSpan w:val="2"/>
                  <w:vAlign w:val="center"/>
                </w:tcPr>
                <w:p>
                  <w:pPr>
                    <w:adjustRightInd w:val="0"/>
                    <w:snapToGrid w:val="0"/>
                    <w:jc w:val="center"/>
                    <w:rPr>
                      <w:b/>
                      <w:color w:val="0000FF"/>
                      <w:szCs w:val="21"/>
                    </w:rPr>
                  </w:pPr>
                  <w:r>
                    <w:rPr>
                      <w:b/>
                      <w:color w:val="0000FF"/>
                      <w:szCs w:val="21"/>
                    </w:rPr>
                    <w:t>保护目标性质及名称</w:t>
                  </w:r>
                </w:p>
              </w:tc>
              <w:tc>
                <w:tcPr>
                  <w:tcW w:w="730" w:type="dxa"/>
                  <w:vMerge w:val="restart"/>
                  <w:vAlign w:val="center"/>
                </w:tcPr>
                <w:p>
                  <w:pPr>
                    <w:adjustRightInd w:val="0"/>
                    <w:snapToGrid w:val="0"/>
                    <w:jc w:val="center"/>
                    <w:rPr>
                      <w:b/>
                      <w:color w:val="0000FF"/>
                      <w:szCs w:val="21"/>
                    </w:rPr>
                  </w:pPr>
                  <w:r>
                    <w:rPr>
                      <w:b/>
                      <w:color w:val="0000FF"/>
                      <w:szCs w:val="21"/>
                    </w:rPr>
                    <w:t>相对方位</w:t>
                  </w:r>
                </w:p>
              </w:tc>
              <w:tc>
                <w:tcPr>
                  <w:tcW w:w="1977" w:type="dxa"/>
                  <w:gridSpan w:val="2"/>
                  <w:vAlign w:val="center"/>
                </w:tcPr>
                <w:p>
                  <w:pPr>
                    <w:adjustRightInd w:val="0"/>
                    <w:snapToGrid w:val="0"/>
                    <w:jc w:val="center"/>
                    <w:rPr>
                      <w:b/>
                      <w:color w:val="0000FF"/>
                      <w:szCs w:val="21"/>
                    </w:rPr>
                  </w:pPr>
                  <w:r>
                    <w:rPr>
                      <w:b/>
                      <w:color w:val="0000FF"/>
                      <w:szCs w:val="21"/>
                    </w:rPr>
                    <w:t>相对厂界及距离</w:t>
                  </w:r>
                </w:p>
              </w:tc>
              <w:tc>
                <w:tcPr>
                  <w:tcW w:w="980" w:type="dxa"/>
                  <w:vMerge w:val="restart"/>
                  <w:vAlign w:val="center"/>
                </w:tcPr>
                <w:p>
                  <w:pPr>
                    <w:adjustRightInd w:val="0"/>
                    <w:snapToGrid w:val="0"/>
                    <w:jc w:val="center"/>
                    <w:rPr>
                      <w:b/>
                      <w:color w:val="0000FF"/>
                      <w:szCs w:val="21"/>
                    </w:rPr>
                  </w:pPr>
                  <w:r>
                    <w:rPr>
                      <w:b/>
                      <w:color w:val="0000FF"/>
                      <w:szCs w:val="21"/>
                    </w:rPr>
                    <w:t>涉及人口规模（人）</w:t>
                  </w:r>
                </w:p>
              </w:tc>
              <w:tc>
                <w:tcPr>
                  <w:tcW w:w="1943" w:type="dxa"/>
                  <w:vMerge w:val="restart"/>
                  <w:vAlign w:val="center"/>
                </w:tcPr>
                <w:p>
                  <w:pPr>
                    <w:adjustRightInd w:val="0"/>
                    <w:snapToGrid w:val="0"/>
                    <w:jc w:val="center"/>
                    <w:rPr>
                      <w:b/>
                      <w:color w:val="0000FF"/>
                      <w:szCs w:val="21"/>
                    </w:rPr>
                  </w:pPr>
                  <w:r>
                    <w:rPr>
                      <w:b/>
                      <w:color w:val="0000FF"/>
                      <w:szCs w:val="21"/>
                    </w:rPr>
                    <w:t>保护等级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56" w:type="dxa"/>
                  <w:vMerge w:val="continue"/>
                  <w:vAlign w:val="center"/>
                </w:tcPr>
                <w:p>
                  <w:pPr>
                    <w:adjustRightInd w:val="0"/>
                    <w:snapToGrid w:val="0"/>
                    <w:jc w:val="center"/>
                    <w:rPr>
                      <w:color w:val="0000FF"/>
                      <w:szCs w:val="21"/>
                    </w:rPr>
                  </w:pPr>
                </w:p>
              </w:tc>
              <w:tc>
                <w:tcPr>
                  <w:tcW w:w="798" w:type="dxa"/>
                  <w:vAlign w:val="center"/>
                </w:tcPr>
                <w:p>
                  <w:pPr>
                    <w:adjustRightInd w:val="0"/>
                    <w:snapToGrid w:val="0"/>
                    <w:jc w:val="center"/>
                    <w:rPr>
                      <w:b/>
                      <w:color w:val="0000FF"/>
                      <w:szCs w:val="21"/>
                    </w:rPr>
                  </w:pPr>
                  <w:r>
                    <w:rPr>
                      <w:b/>
                      <w:color w:val="0000FF"/>
                      <w:szCs w:val="21"/>
                    </w:rPr>
                    <w:t>性质</w:t>
                  </w:r>
                </w:p>
              </w:tc>
              <w:tc>
                <w:tcPr>
                  <w:tcW w:w="1221" w:type="dxa"/>
                  <w:vAlign w:val="center"/>
                </w:tcPr>
                <w:p>
                  <w:pPr>
                    <w:adjustRightInd w:val="0"/>
                    <w:snapToGrid w:val="0"/>
                    <w:jc w:val="center"/>
                    <w:rPr>
                      <w:b/>
                      <w:color w:val="0000FF"/>
                      <w:szCs w:val="21"/>
                    </w:rPr>
                  </w:pPr>
                  <w:r>
                    <w:rPr>
                      <w:b/>
                      <w:color w:val="0000FF"/>
                      <w:szCs w:val="21"/>
                    </w:rPr>
                    <w:t>名称</w:t>
                  </w:r>
                </w:p>
              </w:tc>
              <w:tc>
                <w:tcPr>
                  <w:tcW w:w="730" w:type="dxa"/>
                  <w:vMerge w:val="continue"/>
                  <w:vAlign w:val="center"/>
                </w:tcPr>
                <w:p>
                  <w:pPr>
                    <w:adjustRightInd w:val="0"/>
                    <w:snapToGrid w:val="0"/>
                    <w:jc w:val="center"/>
                    <w:rPr>
                      <w:color w:val="0000FF"/>
                      <w:szCs w:val="21"/>
                    </w:rPr>
                  </w:pPr>
                </w:p>
              </w:tc>
              <w:tc>
                <w:tcPr>
                  <w:tcW w:w="1127" w:type="dxa"/>
                  <w:vAlign w:val="center"/>
                </w:tcPr>
                <w:p>
                  <w:pPr>
                    <w:adjustRightInd w:val="0"/>
                    <w:snapToGrid w:val="0"/>
                    <w:jc w:val="center"/>
                    <w:rPr>
                      <w:b/>
                      <w:color w:val="0000FF"/>
                      <w:szCs w:val="21"/>
                    </w:rPr>
                  </w:pPr>
                  <w:r>
                    <w:rPr>
                      <w:b/>
                      <w:color w:val="0000FF"/>
                      <w:szCs w:val="21"/>
                    </w:rPr>
                    <w:t>相对厂界</w:t>
                  </w:r>
                </w:p>
              </w:tc>
              <w:tc>
                <w:tcPr>
                  <w:tcW w:w="850" w:type="dxa"/>
                  <w:vAlign w:val="center"/>
                </w:tcPr>
                <w:p>
                  <w:pPr>
                    <w:adjustRightInd w:val="0"/>
                    <w:snapToGrid w:val="0"/>
                    <w:jc w:val="center"/>
                    <w:rPr>
                      <w:b/>
                      <w:color w:val="0000FF"/>
                      <w:szCs w:val="21"/>
                    </w:rPr>
                  </w:pPr>
                  <w:r>
                    <w:rPr>
                      <w:b/>
                      <w:color w:val="0000FF"/>
                      <w:szCs w:val="21"/>
                    </w:rPr>
                    <w:t>距离</w:t>
                  </w:r>
                  <w:r>
                    <w:rPr>
                      <w:color w:val="0000FF"/>
                      <w:szCs w:val="21"/>
                    </w:rPr>
                    <w:t>m</w:t>
                  </w:r>
                </w:p>
              </w:tc>
              <w:tc>
                <w:tcPr>
                  <w:tcW w:w="980" w:type="dxa"/>
                  <w:vMerge w:val="continue"/>
                  <w:vAlign w:val="center"/>
                </w:tcPr>
                <w:p>
                  <w:pPr>
                    <w:adjustRightInd w:val="0"/>
                    <w:snapToGrid w:val="0"/>
                    <w:jc w:val="center"/>
                    <w:rPr>
                      <w:color w:val="0000FF"/>
                      <w:szCs w:val="21"/>
                    </w:rPr>
                  </w:pP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restart"/>
                  <w:vAlign w:val="center"/>
                </w:tcPr>
                <w:p>
                  <w:pPr>
                    <w:adjustRightInd w:val="0"/>
                    <w:snapToGrid w:val="0"/>
                    <w:jc w:val="center"/>
                    <w:rPr>
                      <w:color w:val="0000FF"/>
                      <w:szCs w:val="21"/>
                    </w:rPr>
                  </w:pPr>
                  <w:r>
                    <w:rPr>
                      <w:color w:val="0000FF"/>
                      <w:szCs w:val="21"/>
                    </w:rPr>
                    <w:t>环境空气</w:t>
                  </w:r>
                </w:p>
              </w:tc>
              <w:tc>
                <w:tcPr>
                  <w:tcW w:w="798" w:type="dxa"/>
                  <w:vMerge w:val="restart"/>
                  <w:vAlign w:val="center"/>
                </w:tcPr>
                <w:p>
                  <w:pPr>
                    <w:adjustRightInd w:val="0"/>
                    <w:snapToGrid w:val="0"/>
                    <w:jc w:val="center"/>
                    <w:rPr>
                      <w:color w:val="0000FF"/>
                      <w:szCs w:val="21"/>
                    </w:rPr>
                  </w:pPr>
                  <w:r>
                    <w:rPr>
                      <w:color w:val="0000FF"/>
                      <w:szCs w:val="21"/>
                    </w:rPr>
                    <w:t>村庄</w:t>
                  </w:r>
                </w:p>
              </w:tc>
              <w:tc>
                <w:tcPr>
                  <w:tcW w:w="1221" w:type="dxa"/>
                  <w:vAlign w:val="center"/>
                </w:tcPr>
                <w:p>
                  <w:pPr>
                    <w:adjustRightInd w:val="0"/>
                    <w:snapToGrid w:val="0"/>
                    <w:jc w:val="center"/>
                    <w:rPr>
                      <w:color w:val="0000FF"/>
                      <w:szCs w:val="21"/>
                    </w:rPr>
                  </w:pPr>
                  <w:r>
                    <w:rPr>
                      <w:color w:val="0000FF"/>
                      <w:szCs w:val="21"/>
                    </w:rPr>
                    <w:t>先锋村</w:t>
                  </w:r>
                </w:p>
              </w:tc>
              <w:tc>
                <w:tcPr>
                  <w:tcW w:w="730" w:type="dxa"/>
                  <w:vAlign w:val="center"/>
                </w:tcPr>
                <w:p>
                  <w:pPr>
                    <w:adjustRightInd w:val="0"/>
                    <w:snapToGrid w:val="0"/>
                    <w:jc w:val="center"/>
                    <w:rPr>
                      <w:color w:val="0000FF"/>
                      <w:szCs w:val="21"/>
                    </w:rPr>
                  </w:pPr>
                  <w:r>
                    <w:rPr>
                      <w:rFonts w:hint="eastAsia"/>
                      <w:color w:val="0000FF"/>
                      <w:szCs w:val="21"/>
                    </w:rPr>
                    <w:t>N</w:t>
                  </w:r>
                </w:p>
              </w:tc>
              <w:tc>
                <w:tcPr>
                  <w:tcW w:w="1127" w:type="dxa"/>
                  <w:vAlign w:val="center"/>
                </w:tcPr>
                <w:p>
                  <w:pPr>
                    <w:adjustRightInd w:val="0"/>
                    <w:snapToGrid w:val="0"/>
                    <w:jc w:val="center"/>
                    <w:rPr>
                      <w:color w:val="0000FF"/>
                      <w:szCs w:val="21"/>
                    </w:rPr>
                  </w:pPr>
                  <w:r>
                    <w:rPr>
                      <w:rFonts w:hint="eastAsia"/>
                      <w:color w:val="0000FF"/>
                      <w:szCs w:val="21"/>
                    </w:rPr>
                    <w:t>北</w:t>
                  </w:r>
                  <w:r>
                    <w:rPr>
                      <w:color w:val="0000FF"/>
                      <w:szCs w:val="21"/>
                    </w:rPr>
                    <w:t>侧厂界</w:t>
                  </w:r>
                </w:p>
              </w:tc>
              <w:tc>
                <w:tcPr>
                  <w:tcW w:w="850" w:type="dxa"/>
                  <w:vAlign w:val="center"/>
                </w:tcPr>
                <w:p>
                  <w:pPr>
                    <w:adjustRightInd w:val="0"/>
                    <w:snapToGrid w:val="0"/>
                    <w:jc w:val="center"/>
                    <w:rPr>
                      <w:color w:val="0000FF"/>
                      <w:szCs w:val="21"/>
                    </w:rPr>
                  </w:pPr>
                  <w:r>
                    <w:rPr>
                      <w:rFonts w:hint="eastAsia"/>
                      <w:color w:val="0000FF"/>
                      <w:szCs w:val="21"/>
                    </w:rPr>
                    <w:t>395</w:t>
                  </w:r>
                </w:p>
              </w:tc>
              <w:tc>
                <w:tcPr>
                  <w:tcW w:w="980" w:type="dxa"/>
                  <w:vAlign w:val="center"/>
                </w:tcPr>
                <w:p>
                  <w:pPr>
                    <w:adjustRightInd w:val="0"/>
                    <w:snapToGrid w:val="0"/>
                    <w:jc w:val="center"/>
                    <w:rPr>
                      <w:color w:val="0000FF"/>
                      <w:szCs w:val="21"/>
                    </w:rPr>
                  </w:pPr>
                  <w:r>
                    <w:rPr>
                      <w:color w:val="0000FF"/>
                      <w:szCs w:val="21"/>
                    </w:rPr>
                    <w:t>120</w:t>
                  </w:r>
                </w:p>
              </w:tc>
              <w:tc>
                <w:tcPr>
                  <w:tcW w:w="1943" w:type="dxa"/>
                  <w:vMerge w:val="restart"/>
                  <w:vAlign w:val="center"/>
                </w:tcPr>
                <w:p>
                  <w:pPr>
                    <w:adjustRightInd w:val="0"/>
                    <w:snapToGrid w:val="0"/>
                    <w:rPr>
                      <w:color w:val="0000FF"/>
                      <w:szCs w:val="21"/>
                    </w:rPr>
                  </w:pPr>
                  <w:r>
                    <w:rPr>
                      <w:color w:val="0000FF"/>
                      <w:szCs w:val="21"/>
                    </w:rPr>
                    <w:t>《环境空气质量标准》（GB3095-2012）二级标准，满足《声环境质量标准》（GB3096-2008）2类标准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安家咀</w:t>
                  </w:r>
                </w:p>
              </w:tc>
              <w:tc>
                <w:tcPr>
                  <w:tcW w:w="730" w:type="dxa"/>
                  <w:vAlign w:val="center"/>
                </w:tcPr>
                <w:p>
                  <w:pPr>
                    <w:adjustRightInd w:val="0"/>
                    <w:snapToGrid w:val="0"/>
                    <w:jc w:val="center"/>
                    <w:rPr>
                      <w:color w:val="0000FF"/>
                      <w:szCs w:val="21"/>
                    </w:rPr>
                  </w:pPr>
                  <w:r>
                    <w:rPr>
                      <w:color w:val="0000FF"/>
                      <w:szCs w:val="21"/>
                    </w:rPr>
                    <w:t>ENE</w:t>
                  </w:r>
                </w:p>
              </w:tc>
              <w:tc>
                <w:tcPr>
                  <w:tcW w:w="1127" w:type="dxa"/>
                  <w:vAlign w:val="center"/>
                </w:tcPr>
                <w:p>
                  <w:pPr>
                    <w:adjustRightInd w:val="0"/>
                    <w:snapToGrid w:val="0"/>
                    <w:jc w:val="center"/>
                    <w:rPr>
                      <w:color w:val="0000FF"/>
                      <w:szCs w:val="21"/>
                    </w:rPr>
                  </w:pPr>
                  <w:r>
                    <w:rPr>
                      <w:color w:val="0000FF"/>
                      <w:szCs w:val="21"/>
                    </w:rPr>
                    <w:t>东侧厂界</w:t>
                  </w:r>
                </w:p>
              </w:tc>
              <w:tc>
                <w:tcPr>
                  <w:tcW w:w="850" w:type="dxa"/>
                  <w:vAlign w:val="center"/>
                </w:tcPr>
                <w:p>
                  <w:pPr>
                    <w:adjustRightInd w:val="0"/>
                    <w:snapToGrid w:val="0"/>
                    <w:jc w:val="center"/>
                    <w:rPr>
                      <w:color w:val="0000FF"/>
                      <w:szCs w:val="21"/>
                    </w:rPr>
                  </w:pPr>
                  <w:r>
                    <w:rPr>
                      <w:color w:val="0000FF"/>
                      <w:szCs w:val="21"/>
                    </w:rPr>
                    <w:t>2100</w:t>
                  </w:r>
                </w:p>
              </w:tc>
              <w:tc>
                <w:tcPr>
                  <w:tcW w:w="980" w:type="dxa"/>
                  <w:vAlign w:val="center"/>
                </w:tcPr>
                <w:p>
                  <w:pPr>
                    <w:adjustRightInd w:val="0"/>
                    <w:snapToGrid w:val="0"/>
                    <w:jc w:val="center"/>
                    <w:rPr>
                      <w:color w:val="0000FF"/>
                      <w:szCs w:val="21"/>
                    </w:rPr>
                  </w:pPr>
                  <w:r>
                    <w:rPr>
                      <w:color w:val="0000FF"/>
                      <w:szCs w:val="21"/>
                    </w:rPr>
                    <w:t>200</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安家河</w:t>
                  </w:r>
                </w:p>
              </w:tc>
              <w:tc>
                <w:tcPr>
                  <w:tcW w:w="730" w:type="dxa"/>
                  <w:vAlign w:val="center"/>
                </w:tcPr>
                <w:p>
                  <w:pPr>
                    <w:adjustRightInd w:val="0"/>
                    <w:snapToGrid w:val="0"/>
                    <w:jc w:val="center"/>
                    <w:rPr>
                      <w:color w:val="0000FF"/>
                      <w:szCs w:val="21"/>
                    </w:rPr>
                  </w:pPr>
                  <w:r>
                    <w:rPr>
                      <w:color w:val="0000FF"/>
                      <w:szCs w:val="21"/>
                    </w:rPr>
                    <w:t>SE</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2050</w:t>
                  </w:r>
                </w:p>
              </w:tc>
              <w:tc>
                <w:tcPr>
                  <w:tcW w:w="980" w:type="dxa"/>
                  <w:vAlign w:val="center"/>
                </w:tcPr>
                <w:p>
                  <w:pPr>
                    <w:adjustRightInd w:val="0"/>
                    <w:snapToGrid w:val="0"/>
                    <w:jc w:val="center"/>
                    <w:rPr>
                      <w:color w:val="0000FF"/>
                      <w:szCs w:val="21"/>
                    </w:rPr>
                  </w:pPr>
                  <w:r>
                    <w:rPr>
                      <w:color w:val="0000FF"/>
                      <w:szCs w:val="21"/>
                    </w:rPr>
                    <w:t>135</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柏树咀</w:t>
                  </w:r>
                </w:p>
              </w:tc>
              <w:tc>
                <w:tcPr>
                  <w:tcW w:w="730" w:type="dxa"/>
                  <w:vAlign w:val="center"/>
                </w:tcPr>
                <w:p>
                  <w:pPr>
                    <w:adjustRightInd w:val="0"/>
                    <w:snapToGrid w:val="0"/>
                    <w:jc w:val="center"/>
                    <w:rPr>
                      <w:color w:val="0000FF"/>
                      <w:szCs w:val="21"/>
                    </w:rPr>
                  </w:pPr>
                  <w:r>
                    <w:rPr>
                      <w:color w:val="0000FF"/>
                      <w:szCs w:val="21"/>
                    </w:rPr>
                    <w:t>S</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2100</w:t>
                  </w:r>
                </w:p>
              </w:tc>
              <w:tc>
                <w:tcPr>
                  <w:tcW w:w="980" w:type="dxa"/>
                  <w:vAlign w:val="center"/>
                </w:tcPr>
                <w:p>
                  <w:pPr>
                    <w:adjustRightInd w:val="0"/>
                    <w:snapToGrid w:val="0"/>
                    <w:jc w:val="center"/>
                    <w:rPr>
                      <w:color w:val="0000FF"/>
                      <w:szCs w:val="21"/>
                    </w:rPr>
                  </w:pPr>
                  <w:r>
                    <w:rPr>
                      <w:color w:val="0000FF"/>
                      <w:szCs w:val="21"/>
                    </w:rPr>
                    <w:t>56</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骑马沟村</w:t>
                  </w:r>
                </w:p>
              </w:tc>
              <w:tc>
                <w:tcPr>
                  <w:tcW w:w="730" w:type="dxa"/>
                  <w:vAlign w:val="center"/>
                </w:tcPr>
                <w:p>
                  <w:pPr>
                    <w:adjustRightInd w:val="0"/>
                    <w:snapToGrid w:val="0"/>
                    <w:jc w:val="center"/>
                    <w:rPr>
                      <w:color w:val="0000FF"/>
                      <w:szCs w:val="21"/>
                    </w:rPr>
                  </w:pPr>
                  <w:r>
                    <w:rPr>
                      <w:color w:val="0000FF"/>
                      <w:szCs w:val="21"/>
                    </w:rPr>
                    <w:t>SSW</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1000</w:t>
                  </w:r>
                </w:p>
              </w:tc>
              <w:tc>
                <w:tcPr>
                  <w:tcW w:w="980" w:type="dxa"/>
                  <w:vAlign w:val="center"/>
                </w:tcPr>
                <w:p>
                  <w:pPr>
                    <w:adjustRightInd w:val="0"/>
                    <w:snapToGrid w:val="0"/>
                    <w:jc w:val="center"/>
                    <w:rPr>
                      <w:color w:val="0000FF"/>
                      <w:szCs w:val="21"/>
                    </w:rPr>
                  </w:pPr>
                  <w:r>
                    <w:rPr>
                      <w:color w:val="0000FF"/>
                      <w:szCs w:val="21"/>
                    </w:rPr>
                    <w:t>55</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半坡村</w:t>
                  </w:r>
                </w:p>
              </w:tc>
              <w:tc>
                <w:tcPr>
                  <w:tcW w:w="730" w:type="dxa"/>
                  <w:vAlign w:val="center"/>
                </w:tcPr>
                <w:p>
                  <w:pPr>
                    <w:adjustRightInd w:val="0"/>
                    <w:snapToGrid w:val="0"/>
                    <w:jc w:val="center"/>
                    <w:rPr>
                      <w:color w:val="0000FF"/>
                      <w:szCs w:val="21"/>
                    </w:rPr>
                  </w:pPr>
                  <w:r>
                    <w:rPr>
                      <w:color w:val="0000FF"/>
                      <w:szCs w:val="21"/>
                    </w:rPr>
                    <w:t>SSW</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2690</w:t>
                  </w:r>
                </w:p>
              </w:tc>
              <w:tc>
                <w:tcPr>
                  <w:tcW w:w="980" w:type="dxa"/>
                  <w:vAlign w:val="center"/>
                </w:tcPr>
                <w:p>
                  <w:pPr>
                    <w:adjustRightInd w:val="0"/>
                    <w:snapToGrid w:val="0"/>
                    <w:jc w:val="center"/>
                    <w:rPr>
                      <w:color w:val="0000FF"/>
                      <w:szCs w:val="21"/>
                    </w:rPr>
                  </w:pPr>
                  <w:r>
                    <w:rPr>
                      <w:color w:val="0000FF"/>
                      <w:szCs w:val="21"/>
                    </w:rPr>
                    <w:t>73</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武家沟村</w:t>
                  </w:r>
                </w:p>
              </w:tc>
              <w:tc>
                <w:tcPr>
                  <w:tcW w:w="730" w:type="dxa"/>
                  <w:vAlign w:val="center"/>
                </w:tcPr>
                <w:p>
                  <w:pPr>
                    <w:adjustRightInd w:val="0"/>
                    <w:snapToGrid w:val="0"/>
                    <w:jc w:val="center"/>
                    <w:rPr>
                      <w:color w:val="0000FF"/>
                      <w:szCs w:val="21"/>
                    </w:rPr>
                  </w:pPr>
                  <w:r>
                    <w:rPr>
                      <w:color w:val="0000FF"/>
                      <w:szCs w:val="21"/>
                    </w:rPr>
                    <w:t>SW</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1200</w:t>
                  </w:r>
                </w:p>
              </w:tc>
              <w:tc>
                <w:tcPr>
                  <w:tcW w:w="980" w:type="dxa"/>
                  <w:vAlign w:val="center"/>
                </w:tcPr>
                <w:p>
                  <w:pPr>
                    <w:adjustRightInd w:val="0"/>
                    <w:snapToGrid w:val="0"/>
                    <w:jc w:val="center"/>
                    <w:rPr>
                      <w:color w:val="0000FF"/>
                      <w:szCs w:val="21"/>
                    </w:rPr>
                  </w:pPr>
                  <w:r>
                    <w:rPr>
                      <w:color w:val="0000FF"/>
                      <w:szCs w:val="21"/>
                    </w:rPr>
                    <w:t>88</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剡家河</w:t>
                  </w:r>
                </w:p>
              </w:tc>
              <w:tc>
                <w:tcPr>
                  <w:tcW w:w="730" w:type="dxa"/>
                  <w:vAlign w:val="center"/>
                </w:tcPr>
                <w:p>
                  <w:pPr>
                    <w:adjustRightInd w:val="0"/>
                    <w:snapToGrid w:val="0"/>
                    <w:jc w:val="center"/>
                    <w:rPr>
                      <w:color w:val="0000FF"/>
                      <w:szCs w:val="21"/>
                    </w:rPr>
                  </w:pPr>
                  <w:r>
                    <w:rPr>
                      <w:color w:val="0000FF"/>
                      <w:szCs w:val="21"/>
                    </w:rPr>
                    <w:t>WSW</w:t>
                  </w:r>
                </w:p>
              </w:tc>
              <w:tc>
                <w:tcPr>
                  <w:tcW w:w="1127" w:type="dxa"/>
                  <w:vAlign w:val="center"/>
                </w:tcPr>
                <w:p>
                  <w:pPr>
                    <w:adjustRightInd w:val="0"/>
                    <w:snapToGrid w:val="0"/>
                    <w:jc w:val="center"/>
                    <w:rPr>
                      <w:color w:val="0000FF"/>
                      <w:szCs w:val="21"/>
                    </w:rPr>
                  </w:pPr>
                  <w:r>
                    <w:rPr>
                      <w:color w:val="0000FF"/>
                      <w:szCs w:val="21"/>
                    </w:rPr>
                    <w:t>西侧厂界</w:t>
                  </w:r>
                </w:p>
              </w:tc>
              <w:tc>
                <w:tcPr>
                  <w:tcW w:w="850" w:type="dxa"/>
                  <w:vAlign w:val="center"/>
                </w:tcPr>
                <w:p>
                  <w:pPr>
                    <w:adjustRightInd w:val="0"/>
                    <w:snapToGrid w:val="0"/>
                    <w:jc w:val="center"/>
                    <w:rPr>
                      <w:color w:val="0000FF"/>
                      <w:szCs w:val="21"/>
                    </w:rPr>
                  </w:pPr>
                  <w:r>
                    <w:rPr>
                      <w:color w:val="0000FF"/>
                      <w:szCs w:val="21"/>
                    </w:rPr>
                    <w:t>2200</w:t>
                  </w:r>
                </w:p>
              </w:tc>
              <w:tc>
                <w:tcPr>
                  <w:tcW w:w="980" w:type="dxa"/>
                  <w:vAlign w:val="center"/>
                </w:tcPr>
                <w:p>
                  <w:pPr>
                    <w:adjustRightInd w:val="0"/>
                    <w:snapToGrid w:val="0"/>
                    <w:jc w:val="center"/>
                    <w:rPr>
                      <w:color w:val="0000FF"/>
                      <w:szCs w:val="21"/>
                    </w:rPr>
                  </w:pPr>
                  <w:r>
                    <w:rPr>
                      <w:color w:val="0000FF"/>
                      <w:szCs w:val="21"/>
                    </w:rPr>
                    <w:t>76</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贺家川村</w:t>
                  </w:r>
                </w:p>
              </w:tc>
              <w:tc>
                <w:tcPr>
                  <w:tcW w:w="730" w:type="dxa"/>
                  <w:vAlign w:val="center"/>
                </w:tcPr>
                <w:p>
                  <w:pPr>
                    <w:adjustRightInd w:val="0"/>
                    <w:snapToGrid w:val="0"/>
                    <w:jc w:val="center"/>
                    <w:rPr>
                      <w:color w:val="0000FF"/>
                      <w:szCs w:val="21"/>
                    </w:rPr>
                  </w:pPr>
                  <w:r>
                    <w:rPr>
                      <w:color w:val="0000FF"/>
                      <w:szCs w:val="21"/>
                    </w:rPr>
                    <w:t>NW</w:t>
                  </w:r>
                </w:p>
              </w:tc>
              <w:tc>
                <w:tcPr>
                  <w:tcW w:w="1127" w:type="dxa"/>
                  <w:vAlign w:val="center"/>
                </w:tcPr>
                <w:p>
                  <w:pPr>
                    <w:adjustRightInd w:val="0"/>
                    <w:snapToGrid w:val="0"/>
                    <w:jc w:val="center"/>
                    <w:rPr>
                      <w:color w:val="0000FF"/>
                      <w:szCs w:val="21"/>
                    </w:rPr>
                  </w:pPr>
                  <w:r>
                    <w:rPr>
                      <w:color w:val="0000FF"/>
                      <w:szCs w:val="21"/>
                    </w:rPr>
                    <w:t>西侧厂界</w:t>
                  </w:r>
                </w:p>
              </w:tc>
              <w:tc>
                <w:tcPr>
                  <w:tcW w:w="850" w:type="dxa"/>
                  <w:vAlign w:val="center"/>
                </w:tcPr>
                <w:p>
                  <w:pPr>
                    <w:adjustRightInd w:val="0"/>
                    <w:snapToGrid w:val="0"/>
                    <w:jc w:val="center"/>
                    <w:rPr>
                      <w:color w:val="0000FF"/>
                      <w:szCs w:val="21"/>
                    </w:rPr>
                  </w:pPr>
                  <w:r>
                    <w:rPr>
                      <w:color w:val="0000FF"/>
                      <w:szCs w:val="21"/>
                    </w:rPr>
                    <w:t>1398</w:t>
                  </w:r>
                </w:p>
              </w:tc>
              <w:tc>
                <w:tcPr>
                  <w:tcW w:w="980" w:type="dxa"/>
                  <w:vAlign w:val="center"/>
                </w:tcPr>
                <w:p>
                  <w:pPr>
                    <w:adjustRightInd w:val="0"/>
                    <w:snapToGrid w:val="0"/>
                    <w:jc w:val="center"/>
                    <w:rPr>
                      <w:color w:val="0000FF"/>
                      <w:szCs w:val="21"/>
                    </w:rPr>
                  </w:pPr>
                  <w:r>
                    <w:rPr>
                      <w:color w:val="0000FF"/>
                      <w:szCs w:val="21"/>
                    </w:rPr>
                    <w:t>53</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Merge w:val="continue"/>
                  <w:vAlign w:val="center"/>
                </w:tcPr>
                <w:p>
                  <w:pPr>
                    <w:adjustRightInd w:val="0"/>
                    <w:snapToGrid w:val="0"/>
                    <w:jc w:val="center"/>
                    <w:rPr>
                      <w:color w:val="0000FF"/>
                      <w:szCs w:val="21"/>
                    </w:rPr>
                  </w:pPr>
                </w:p>
              </w:tc>
              <w:tc>
                <w:tcPr>
                  <w:tcW w:w="798" w:type="dxa"/>
                  <w:vMerge w:val="continue"/>
                  <w:vAlign w:val="center"/>
                </w:tcPr>
                <w:p>
                  <w:pPr>
                    <w:adjustRightInd w:val="0"/>
                    <w:snapToGrid w:val="0"/>
                    <w:jc w:val="center"/>
                    <w:rPr>
                      <w:color w:val="0000FF"/>
                      <w:szCs w:val="21"/>
                    </w:rPr>
                  </w:pPr>
                </w:p>
              </w:tc>
              <w:tc>
                <w:tcPr>
                  <w:tcW w:w="1221" w:type="dxa"/>
                  <w:vAlign w:val="center"/>
                </w:tcPr>
                <w:p>
                  <w:pPr>
                    <w:adjustRightInd w:val="0"/>
                    <w:snapToGrid w:val="0"/>
                    <w:jc w:val="center"/>
                    <w:rPr>
                      <w:color w:val="0000FF"/>
                      <w:szCs w:val="21"/>
                    </w:rPr>
                  </w:pPr>
                  <w:r>
                    <w:rPr>
                      <w:color w:val="0000FF"/>
                      <w:szCs w:val="21"/>
                    </w:rPr>
                    <w:t>贺家坪</w:t>
                  </w:r>
                </w:p>
              </w:tc>
              <w:tc>
                <w:tcPr>
                  <w:tcW w:w="730" w:type="dxa"/>
                  <w:vAlign w:val="center"/>
                </w:tcPr>
                <w:p>
                  <w:pPr>
                    <w:adjustRightInd w:val="0"/>
                    <w:snapToGrid w:val="0"/>
                    <w:jc w:val="center"/>
                    <w:rPr>
                      <w:color w:val="0000FF"/>
                      <w:szCs w:val="21"/>
                    </w:rPr>
                  </w:pPr>
                  <w:r>
                    <w:rPr>
                      <w:color w:val="0000FF"/>
                      <w:szCs w:val="21"/>
                    </w:rPr>
                    <w:t>NW</w:t>
                  </w:r>
                </w:p>
              </w:tc>
              <w:tc>
                <w:tcPr>
                  <w:tcW w:w="1127" w:type="dxa"/>
                  <w:vAlign w:val="center"/>
                </w:tcPr>
                <w:p>
                  <w:pPr>
                    <w:adjustRightInd w:val="0"/>
                    <w:snapToGrid w:val="0"/>
                    <w:jc w:val="center"/>
                    <w:rPr>
                      <w:color w:val="0000FF"/>
                      <w:szCs w:val="21"/>
                    </w:rPr>
                  </w:pPr>
                  <w:r>
                    <w:rPr>
                      <w:color w:val="0000FF"/>
                      <w:szCs w:val="21"/>
                    </w:rPr>
                    <w:t>西侧厂界</w:t>
                  </w:r>
                </w:p>
              </w:tc>
              <w:tc>
                <w:tcPr>
                  <w:tcW w:w="850" w:type="dxa"/>
                  <w:vAlign w:val="center"/>
                </w:tcPr>
                <w:p>
                  <w:pPr>
                    <w:adjustRightInd w:val="0"/>
                    <w:snapToGrid w:val="0"/>
                    <w:jc w:val="center"/>
                    <w:rPr>
                      <w:color w:val="0000FF"/>
                      <w:szCs w:val="21"/>
                    </w:rPr>
                  </w:pPr>
                  <w:r>
                    <w:rPr>
                      <w:color w:val="0000FF"/>
                      <w:szCs w:val="21"/>
                    </w:rPr>
                    <w:t>2022</w:t>
                  </w:r>
                </w:p>
              </w:tc>
              <w:tc>
                <w:tcPr>
                  <w:tcW w:w="980" w:type="dxa"/>
                  <w:vAlign w:val="center"/>
                </w:tcPr>
                <w:p>
                  <w:pPr>
                    <w:adjustRightInd w:val="0"/>
                    <w:snapToGrid w:val="0"/>
                    <w:jc w:val="center"/>
                    <w:rPr>
                      <w:color w:val="0000FF"/>
                      <w:szCs w:val="21"/>
                    </w:rPr>
                  </w:pPr>
                  <w:r>
                    <w:rPr>
                      <w:color w:val="0000FF"/>
                      <w:szCs w:val="21"/>
                    </w:rPr>
                    <w:t>58</w:t>
                  </w:r>
                </w:p>
              </w:tc>
              <w:tc>
                <w:tcPr>
                  <w:tcW w:w="1943" w:type="dxa"/>
                  <w:vMerge w:val="continue"/>
                  <w:vAlign w:val="center"/>
                </w:tcPr>
                <w:p>
                  <w:pPr>
                    <w:adjustRightInd w:val="0"/>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6" w:type="dxa"/>
                  <w:vAlign w:val="center"/>
                </w:tcPr>
                <w:p>
                  <w:pPr>
                    <w:adjustRightInd w:val="0"/>
                    <w:snapToGrid w:val="0"/>
                    <w:jc w:val="center"/>
                    <w:rPr>
                      <w:color w:val="0000FF"/>
                      <w:szCs w:val="21"/>
                    </w:rPr>
                  </w:pPr>
                  <w:r>
                    <w:rPr>
                      <w:color w:val="0000FF"/>
                      <w:szCs w:val="21"/>
                    </w:rPr>
                    <w:t>地表水</w:t>
                  </w:r>
                </w:p>
              </w:tc>
              <w:tc>
                <w:tcPr>
                  <w:tcW w:w="2019" w:type="dxa"/>
                  <w:gridSpan w:val="2"/>
                  <w:vAlign w:val="center"/>
                </w:tcPr>
                <w:p>
                  <w:pPr>
                    <w:adjustRightInd w:val="0"/>
                    <w:snapToGrid w:val="0"/>
                    <w:jc w:val="center"/>
                    <w:rPr>
                      <w:color w:val="0000FF"/>
                      <w:szCs w:val="21"/>
                    </w:rPr>
                  </w:pPr>
                  <w:r>
                    <w:rPr>
                      <w:color w:val="0000FF"/>
                      <w:szCs w:val="21"/>
                    </w:rPr>
                    <w:t>泾河</w:t>
                  </w:r>
                </w:p>
              </w:tc>
              <w:tc>
                <w:tcPr>
                  <w:tcW w:w="730" w:type="dxa"/>
                  <w:vAlign w:val="center"/>
                </w:tcPr>
                <w:p>
                  <w:pPr>
                    <w:adjustRightInd w:val="0"/>
                    <w:snapToGrid w:val="0"/>
                    <w:jc w:val="center"/>
                    <w:rPr>
                      <w:color w:val="0000FF"/>
                      <w:szCs w:val="21"/>
                    </w:rPr>
                  </w:pPr>
                  <w:r>
                    <w:rPr>
                      <w:color w:val="0000FF"/>
                      <w:szCs w:val="21"/>
                    </w:rPr>
                    <w:t>SW</w:t>
                  </w:r>
                </w:p>
              </w:tc>
              <w:tc>
                <w:tcPr>
                  <w:tcW w:w="1127" w:type="dxa"/>
                  <w:vAlign w:val="center"/>
                </w:tcPr>
                <w:p>
                  <w:pPr>
                    <w:adjustRightInd w:val="0"/>
                    <w:snapToGrid w:val="0"/>
                    <w:jc w:val="center"/>
                    <w:rPr>
                      <w:color w:val="0000FF"/>
                      <w:szCs w:val="21"/>
                    </w:rPr>
                  </w:pPr>
                  <w:r>
                    <w:rPr>
                      <w:color w:val="0000FF"/>
                      <w:szCs w:val="21"/>
                    </w:rPr>
                    <w:t>南侧厂界</w:t>
                  </w:r>
                </w:p>
              </w:tc>
              <w:tc>
                <w:tcPr>
                  <w:tcW w:w="850" w:type="dxa"/>
                  <w:vAlign w:val="center"/>
                </w:tcPr>
                <w:p>
                  <w:pPr>
                    <w:adjustRightInd w:val="0"/>
                    <w:snapToGrid w:val="0"/>
                    <w:jc w:val="center"/>
                    <w:rPr>
                      <w:color w:val="0000FF"/>
                      <w:szCs w:val="21"/>
                    </w:rPr>
                  </w:pPr>
                  <w:r>
                    <w:rPr>
                      <w:color w:val="0000FF"/>
                      <w:szCs w:val="21"/>
                    </w:rPr>
                    <w:t>130m</w:t>
                  </w:r>
                </w:p>
              </w:tc>
              <w:tc>
                <w:tcPr>
                  <w:tcW w:w="980" w:type="dxa"/>
                  <w:vAlign w:val="center"/>
                </w:tcPr>
                <w:p>
                  <w:pPr>
                    <w:adjustRightInd w:val="0"/>
                    <w:snapToGrid w:val="0"/>
                    <w:jc w:val="center"/>
                    <w:rPr>
                      <w:color w:val="0000FF"/>
                      <w:szCs w:val="21"/>
                    </w:rPr>
                  </w:pPr>
                  <w:r>
                    <w:rPr>
                      <w:color w:val="0000FF"/>
                      <w:szCs w:val="21"/>
                    </w:rPr>
                    <w:t>/</w:t>
                  </w:r>
                </w:p>
              </w:tc>
              <w:tc>
                <w:tcPr>
                  <w:tcW w:w="1943" w:type="dxa"/>
                  <w:vAlign w:val="center"/>
                </w:tcPr>
                <w:p>
                  <w:pPr>
                    <w:adjustRightInd w:val="0"/>
                    <w:snapToGrid w:val="0"/>
                    <w:rPr>
                      <w:color w:val="0000FF"/>
                      <w:szCs w:val="21"/>
                    </w:rPr>
                  </w:pPr>
                  <w:r>
                    <w:rPr>
                      <w:color w:val="0000FF"/>
                      <w:szCs w:val="21"/>
                    </w:rPr>
                    <w:t>《地表水环境质量标准》（GB3838-2002）</w:t>
                  </w:r>
                  <w:r>
                    <w:rPr>
                      <w:rFonts w:hint="eastAsia" w:ascii="宋体" w:hAnsi="宋体" w:cs="宋体"/>
                      <w:color w:val="0000FF"/>
                      <w:szCs w:val="21"/>
                    </w:rPr>
                    <w:t>Ⅲ</w:t>
                  </w:r>
                  <w:r>
                    <w:rPr>
                      <w:color w:val="0000FF"/>
                      <w:szCs w:val="21"/>
                    </w:rPr>
                    <w:t>类</w:t>
                  </w:r>
                </w:p>
              </w:tc>
            </w:tr>
          </w:tbl>
          <w:p>
            <w:pPr>
              <w:spacing w:line="540" w:lineRule="exact"/>
              <w:rPr>
                <w:sz w:val="24"/>
                <w:szCs w:val="28"/>
              </w:rPr>
            </w:pPr>
          </w:p>
        </w:tc>
      </w:tr>
    </w:tbl>
    <w:p>
      <w:pPr>
        <w:rPr>
          <w:rFonts w:eastAsia="黑体"/>
          <w:sz w:val="32"/>
        </w:rPr>
        <w:sectPr>
          <w:footerReference r:id="rId4" w:type="default"/>
          <w:pgSz w:w="11907" w:h="16840"/>
          <w:pgMar w:top="1276" w:right="1797" w:bottom="1440" w:left="1797" w:header="851" w:footer="992" w:gutter="0"/>
          <w:pgNumType w:start="1"/>
          <w:cols w:space="720" w:num="1"/>
          <w:docGrid w:type="linesAndChars" w:linePitch="312" w:charSpace="0"/>
        </w:sectPr>
      </w:pPr>
    </w:p>
    <w:p>
      <w:pPr>
        <w:pStyle w:val="15"/>
        <w:adjustRightInd w:val="0"/>
        <w:snapToGrid w:val="0"/>
        <w:spacing w:after="0" w:line="360" w:lineRule="auto"/>
        <w:ind w:left="0" w:leftChars="0" w:firstLine="150" w:firstLineChars="50"/>
        <w:outlineLvl w:val="0"/>
        <w:rPr>
          <w:rFonts w:eastAsia="黑体"/>
          <w:sz w:val="30"/>
          <w:szCs w:val="30"/>
        </w:rPr>
      </w:pPr>
      <w:r>
        <w:rPr>
          <w:rFonts w:eastAsia="黑体"/>
          <w:sz w:val="30"/>
          <w:szCs w:val="30"/>
        </w:rPr>
        <w:t>评价适用标准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trPr>
        <w:tc>
          <w:tcPr>
            <w:tcW w:w="445" w:type="dxa"/>
            <w:tcBorders>
              <w:top w:val="single" w:color="auto" w:sz="4" w:space="0"/>
            </w:tcBorders>
            <w:vAlign w:val="center"/>
          </w:tcPr>
          <w:p>
            <w:pPr>
              <w:jc w:val="center"/>
              <w:rPr>
                <w:b/>
                <w:bCs/>
                <w:sz w:val="28"/>
              </w:rPr>
            </w:pPr>
            <w:r>
              <w:rPr>
                <w:b/>
                <w:bCs/>
                <w:sz w:val="28"/>
              </w:rPr>
              <w:t>环境质量标准</w:t>
            </w:r>
          </w:p>
        </w:tc>
        <w:tc>
          <w:tcPr>
            <w:tcW w:w="8084" w:type="dxa"/>
            <w:tcBorders>
              <w:top w:val="single" w:color="auto" w:sz="4" w:space="0"/>
            </w:tcBorders>
            <w:vAlign w:val="center"/>
          </w:tcPr>
          <w:p>
            <w:pPr>
              <w:pStyle w:val="94"/>
              <w:spacing w:line="360" w:lineRule="auto"/>
              <w:ind w:firstLine="482"/>
              <w:rPr>
                <w:b/>
                <w:color w:val="0000FF"/>
                <w:spacing w:val="0"/>
                <w:sz w:val="24"/>
                <w:szCs w:val="28"/>
              </w:rPr>
            </w:pPr>
            <w:r>
              <w:rPr>
                <w:b/>
                <w:color w:val="0000FF"/>
                <w:spacing w:val="0"/>
                <w:sz w:val="24"/>
                <w:szCs w:val="28"/>
              </w:rPr>
              <w:t>1、环境空气质量标准</w:t>
            </w:r>
          </w:p>
          <w:p>
            <w:pPr>
              <w:spacing w:line="360" w:lineRule="auto"/>
              <w:ind w:firstLine="480" w:firstLineChars="200"/>
              <w:rPr>
                <w:rFonts w:hint="eastAsia"/>
                <w:color w:val="0000FF"/>
                <w:sz w:val="24"/>
                <w:szCs w:val="28"/>
              </w:rPr>
            </w:pPr>
            <w:r>
              <w:rPr>
                <w:rFonts w:hint="eastAsia" w:ascii="Calibri" w:hAnsi="Calibri"/>
                <w:color w:val="0000FF"/>
                <w:sz w:val="24"/>
              </w:rPr>
              <w:t>本项目</w:t>
            </w:r>
            <w:r>
              <w:rPr>
                <w:color w:val="0000FF"/>
                <w:sz w:val="24"/>
              </w:rPr>
              <w:t>TSP</w:t>
            </w:r>
            <w:r>
              <w:rPr>
                <w:rFonts w:hint="eastAsia"/>
                <w:color w:val="0000FF"/>
                <w:sz w:val="24"/>
              </w:rPr>
              <w:t>、</w:t>
            </w:r>
            <w:r>
              <w:rPr>
                <w:bCs/>
                <w:color w:val="0000FF"/>
                <w:sz w:val="24"/>
                <w:lang w:bidi="en-US"/>
              </w:rPr>
              <w:t>SO</w:t>
            </w:r>
            <w:r>
              <w:rPr>
                <w:bCs/>
                <w:color w:val="0000FF"/>
                <w:sz w:val="24"/>
                <w:vertAlign w:val="subscript"/>
                <w:lang w:bidi="en-US"/>
              </w:rPr>
              <w:t>2</w:t>
            </w:r>
            <w:r>
              <w:rPr>
                <w:rFonts w:hint="eastAsia"/>
                <w:bCs/>
                <w:color w:val="0000FF"/>
                <w:sz w:val="24"/>
                <w:lang w:bidi="en-US"/>
              </w:rPr>
              <w:t>、</w:t>
            </w:r>
            <w:r>
              <w:rPr>
                <w:bCs/>
                <w:color w:val="0000FF"/>
                <w:sz w:val="24"/>
                <w:lang w:bidi="en-US"/>
              </w:rPr>
              <w:t>NO</w:t>
            </w:r>
            <w:r>
              <w:rPr>
                <w:bCs/>
                <w:color w:val="0000FF"/>
                <w:sz w:val="24"/>
                <w:vertAlign w:val="subscript"/>
                <w:lang w:bidi="en-US"/>
              </w:rPr>
              <w:t>2</w:t>
            </w:r>
            <w:r>
              <w:rPr>
                <w:rFonts w:hint="eastAsia"/>
                <w:bCs/>
                <w:color w:val="0000FF"/>
                <w:sz w:val="24"/>
                <w:lang w:bidi="en-US"/>
              </w:rPr>
              <w:t>、</w:t>
            </w:r>
            <w:r>
              <w:rPr>
                <w:bCs/>
                <w:color w:val="0000FF"/>
                <w:sz w:val="24"/>
                <w:lang w:bidi="en-US"/>
              </w:rPr>
              <w:t>PM</w:t>
            </w:r>
            <w:r>
              <w:rPr>
                <w:bCs/>
                <w:color w:val="0000FF"/>
                <w:sz w:val="24"/>
                <w:vertAlign w:val="subscript"/>
                <w:lang w:bidi="en-US"/>
              </w:rPr>
              <w:t>10</w:t>
            </w:r>
            <w:r>
              <w:rPr>
                <w:rFonts w:hint="eastAsia"/>
                <w:bCs/>
                <w:color w:val="0000FF"/>
                <w:sz w:val="24"/>
                <w:lang w:bidi="en-US"/>
              </w:rPr>
              <w:t>、PM</w:t>
            </w:r>
            <w:r>
              <w:rPr>
                <w:rFonts w:hint="eastAsia"/>
                <w:bCs/>
                <w:color w:val="0000FF"/>
                <w:sz w:val="24"/>
                <w:vertAlign w:val="subscript"/>
                <w:lang w:bidi="en-US"/>
              </w:rPr>
              <w:t>2.5</w:t>
            </w:r>
            <w:r>
              <w:rPr>
                <w:rFonts w:hint="eastAsia"/>
                <w:color w:val="0000FF"/>
                <w:sz w:val="24"/>
              </w:rPr>
              <w:t>执行《环境空气质量标准》</w:t>
            </w:r>
            <w:r>
              <w:rPr>
                <w:color w:val="0000FF"/>
                <w:sz w:val="24"/>
              </w:rPr>
              <w:t>(GB3095-2012)</w:t>
            </w:r>
            <w:r>
              <w:rPr>
                <w:rFonts w:hint="eastAsia"/>
                <w:color w:val="0000FF"/>
                <w:sz w:val="24"/>
              </w:rPr>
              <w:t>中二级标准，</w:t>
            </w:r>
            <w:r>
              <w:rPr>
                <w:color w:val="0000FF"/>
                <w:sz w:val="24"/>
                <w:szCs w:val="28"/>
              </w:rPr>
              <w:t>执行《环境空气质量标准》（GB3095-2012）中二级标准。</w:t>
            </w:r>
          </w:p>
          <w:p>
            <w:pPr>
              <w:spacing w:line="360" w:lineRule="auto"/>
              <w:jc w:val="center"/>
              <w:rPr>
                <w:b/>
                <w:color w:val="0000FF"/>
                <w:kern w:val="0"/>
                <w:sz w:val="24"/>
                <w:vertAlign w:val="superscript"/>
              </w:rPr>
            </w:pPr>
            <w:r>
              <w:rPr>
                <w:rFonts w:hint="eastAsia"/>
                <w:b/>
                <w:color w:val="0000FF"/>
                <w:kern w:val="0"/>
                <w:sz w:val="24"/>
              </w:rPr>
              <w:t>表13  《环境空气质量标准》（</w:t>
            </w:r>
            <w:r>
              <w:rPr>
                <w:b/>
                <w:color w:val="0000FF"/>
                <w:kern w:val="0"/>
                <w:sz w:val="24"/>
              </w:rPr>
              <w:t>GB3095-2012</w:t>
            </w:r>
            <w:r>
              <w:rPr>
                <w:rFonts w:hint="eastAsia"/>
                <w:b/>
                <w:color w:val="0000FF"/>
                <w:kern w:val="0"/>
                <w:sz w:val="24"/>
              </w:rPr>
              <w:t>）中二级浓度限值</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1209"/>
              <w:gridCol w:w="1991"/>
              <w:gridCol w:w="1501"/>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67" w:type="dxa"/>
                  <w:vMerge w:val="restart"/>
                  <w:tcBorders>
                    <w:top w:val="single" w:color="auto" w:sz="18" w:space="0"/>
                    <w:left w:val="nil"/>
                    <w:bottom w:val="single" w:color="auto" w:sz="4" w:space="0"/>
                    <w:right w:val="single" w:color="auto" w:sz="4" w:space="0"/>
                  </w:tcBorders>
                  <w:vAlign w:val="center"/>
                </w:tcPr>
                <w:p>
                  <w:pPr>
                    <w:widowControl/>
                    <w:adjustRightInd w:val="0"/>
                    <w:snapToGrid w:val="0"/>
                    <w:jc w:val="center"/>
                    <w:rPr>
                      <w:b/>
                      <w:color w:val="0000FF"/>
                      <w:szCs w:val="21"/>
                    </w:rPr>
                  </w:pPr>
                  <w:r>
                    <w:rPr>
                      <w:rFonts w:hint="eastAsia"/>
                      <w:b/>
                      <w:color w:val="0000FF"/>
                      <w:szCs w:val="21"/>
                    </w:rPr>
                    <w:t>标准名称及级</w:t>
                  </w:r>
                  <w:r>
                    <w:rPr>
                      <w:b/>
                      <w:color w:val="0000FF"/>
                      <w:szCs w:val="21"/>
                    </w:rPr>
                    <w:t>(</w:t>
                  </w:r>
                  <w:r>
                    <w:rPr>
                      <w:rFonts w:hint="eastAsia"/>
                      <w:b/>
                      <w:color w:val="0000FF"/>
                      <w:szCs w:val="21"/>
                    </w:rPr>
                    <w:t>类</w:t>
                  </w:r>
                  <w:r>
                    <w:rPr>
                      <w:b/>
                      <w:color w:val="0000FF"/>
                      <w:szCs w:val="21"/>
                    </w:rPr>
                    <w:t>)</w:t>
                  </w:r>
                  <w:r>
                    <w:rPr>
                      <w:rFonts w:hint="eastAsia"/>
                      <w:b/>
                      <w:color w:val="0000FF"/>
                      <w:szCs w:val="21"/>
                    </w:rPr>
                    <w:t>别</w:t>
                  </w:r>
                </w:p>
              </w:tc>
              <w:tc>
                <w:tcPr>
                  <w:tcW w:w="1209" w:type="dxa"/>
                  <w:vMerge w:val="restart"/>
                  <w:tcBorders>
                    <w:top w:val="single" w:color="auto" w:sz="18" w:space="0"/>
                    <w:left w:val="single" w:color="auto" w:sz="4" w:space="0"/>
                    <w:bottom w:val="single" w:color="auto" w:sz="4" w:space="0"/>
                    <w:right w:val="single" w:color="auto" w:sz="4" w:space="0"/>
                  </w:tcBorders>
                  <w:vAlign w:val="center"/>
                </w:tcPr>
                <w:p>
                  <w:pPr>
                    <w:widowControl/>
                    <w:adjustRightInd w:val="0"/>
                    <w:snapToGrid w:val="0"/>
                    <w:jc w:val="center"/>
                    <w:rPr>
                      <w:b/>
                      <w:color w:val="0000FF"/>
                      <w:szCs w:val="21"/>
                    </w:rPr>
                  </w:pPr>
                  <w:r>
                    <w:rPr>
                      <w:rFonts w:hint="eastAsia"/>
                      <w:b/>
                      <w:color w:val="0000FF"/>
                      <w:szCs w:val="21"/>
                    </w:rPr>
                    <w:t>污染因子</w:t>
                  </w:r>
                </w:p>
              </w:tc>
              <w:tc>
                <w:tcPr>
                  <w:tcW w:w="3492" w:type="dxa"/>
                  <w:gridSpan w:val="2"/>
                  <w:tcBorders>
                    <w:top w:val="single" w:color="auto" w:sz="18" w:space="0"/>
                    <w:left w:val="single" w:color="auto" w:sz="4" w:space="0"/>
                    <w:bottom w:val="single" w:color="auto" w:sz="4" w:space="0"/>
                    <w:right w:val="nil"/>
                  </w:tcBorders>
                  <w:vAlign w:val="center"/>
                </w:tcPr>
                <w:p>
                  <w:pPr>
                    <w:widowControl/>
                    <w:adjustRightInd w:val="0"/>
                    <w:snapToGrid w:val="0"/>
                    <w:jc w:val="center"/>
                    <w:rPr>
                      <w:b/>
                      <w:color w:val="0000FF"/>
                      <w:szCs w:val="21"/>
                    </w:rPr>
                  </w:pPr>
                  <w:r>
                    <w:rPr>
                      <w:rFonts w:hint="eastAsia"/>
                      <w:b/>
                      <w:color w:val="0000FF"/>
                      <w:szCs w:val="21"/>
                    </w:rPr>
                    <w:t>标准值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67" w:type="dxa"/>
                  <w:vMerge w:val="continue"/>
                  <w:tcBorders>
                    <w:top w:val="single" w:color="auto" w:sz="18" w:space="0"/>
                    <w:left w:val="nil"/>
                    <w:bottom w:val="single" w:color="auto" w:sz="4" w:space="0"/>
                    <w:right w:val="single" w:color="auto" w:sz="4" w:space="0"/>
                  </w:tcBorders>
                  <w:vAlign w:val="center"/>
                </w:tcPr>
                <w:p>
                  <w:pPr>
                    <w:widowControl/>
                    <w:jc w:val="left"/>
                    <w:rPr>
                      <w:b/>
                      <w:color w:val="0000FF"/>
                      <w:szCs w:val="21"/>
                    </w:rPr>
                  </w:pPr>
                </w:p>
              </w:tc>
              <w:tc>
                <w:tcPr>
                  <w:tcW w:w="1209" w:type="dxa"/>
                  <w:vMerge w:val="continue"/>
                  <w:tcBorders>
                    <w:top w:val="single" w:color="auto" w:sz="18" w:space="0"/>
                    <w:left w:val="single" w:color="auto" w:sz="4" w:space="0"/>
                    <w:bottom w:val="single" w:color="auto" w:sz="4" w:space="0"/>
                    <w:right w:val="single" w:color="auto" w:sz="4" w:space="0"/>
                  </w:tcBorders>
                  <w:vAlign w:val="center"/>
                </w:tcPr>
                <w:p>
                  <w:pPr>
                    <w:widowControl/>
                    <w:jc w:val="left"/>
                    <w:rPr>
                      <w:b/>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FF"/>
                      <w:szCs w:val="21"/>
                    </w:rPr>
                  </w:pPr>
                  <w:r>
                    <w:rPr>
                      <w:rFonts w:hint="eastAsia"/>
                      <w:b/>
                      <w:color w:val="0000FF"/>
                      <w:szCs w:val="21"/>
                    </w:rPr>
                    <w:t>单位</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b/>
                      <w:color w:val="0000FF"/>
                      <w:szCs w:val="21"/>
                    </w:rPr>
                  </w:pPr>
                  <w:r>
                    <w:rPr>
                      <w:rFonts w:hint="eastAsia"/>
                      <w:b/>
                      <w:color w:val="0000FF"/>
                      <w:szCs w:val="21"/>
                    </w:rPr>
                    <w:t>数值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restart"/>
                  <w:tcBorders>
                    <w:top w:val="single" w:color="auto" w:sz="4" w:space="0"/>
                    <w:left w:val="nil"/>
                    <w:right w:val="single" w:color="auto" w:sz="4" w:space="0"/>
                  </w:tcBorders>
                  <w:vAlign w:val="center"/>
                </w:tcPr>
                <w:p>
                  <w:pPr>
                    <w:jc w:val="center"/>
                    <w:rPr>
                      <w:color w:val="0000FF"/>
                      <w:szCs w:val="21"/>
                    </w:rPr>
                  </w:pPr>
                  <w:r>
                    <w:rPr>
                      <w:rFonts w:hint="eastAsia"/>
                      <w:color w:val="0000FF"/>
                      <w:szCs w:val="21"/>
                    </w:rPr>
                    <w:t>《环境空气质量标准》（</w:t>
                  </w:r>
                  <w:r>
                    <w:rPr>
                      <w:color w:val="0000FF"/>
                      <w:szCs w:val="21"/>
                    </w:rPr>
                    <w:t>GB3095-2012</w:t>
                  </w:r>
                  <w:r>
                    <w:rPr>
                      <w:rFonts w:hint="eastAsia"/>
                      <w:color w:val="0000FF"/>
                      <w:szCs w:val="21"/>
                    </w:rPr>
                    <w:t>）</w:t>
                  </w:r>
                </w:p>
                <w:p>
                  <w:pPr>
                    <w:widowControl/>
                    <w:spacing w:line="360" w:lineRule="auto"/>
                    <w:jc w:val="center"/>
                    <w:rPr>
                      <w:color w:val="0000FF"/>
                      <w:szCs w:val="21"/>
                    </w:rPr>
                  </w:pPr>
                  <w:r>
                    <w:rPr>
                      <w:color w:val="0000FF"/>
                      <w:szCs w:val="21"/>
                    </w:rPr>
                    <w:t>(</w:t>
                  </w:r>
                  <w:r>
                    <w:rPr>
                      <w:rFonts w:hint="eastAsia"/>
                      <w:color w:val="0000FF"/>
                      <w:szCs w:val="21"/>
                    </w:rPr>
                    <w:t>单位：</w:t>
                  </w:r>
                  <w:r>
                    <w:rPr>
                      <w:color w:val="0000FF"/>
                      <w:szCs w:val="21"/>
                    </w:rPr>
                    <w:t>μg/m</w:t>
                  </w:r>
                  <w:r>
                    <w:rPr>
                      <w:color w:val="0000FF"/>
                      <w:szCs w:val="21"/>
                      <w:vertAlign w:val="superscript"/>
                    </w:rPr>
                    <w:t>3</w:t>
                  </w:r>
                  <w:r>
                    <w:rPr>
                      <w:color w:val="0000FF"/>
                      <w:szCs w:val="21"/>
                    </w:rPr>
                    <w:t>)</w:t>
                  </w:r>
                </w:p>
              </w:tc>
              <w:tc>
                <w:tcPr>
                  <w:tcW w:w="12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color w:val="0000FF"/>
                      <w:szCs w:val="21"/>
                    </w:rPr>
                    <w:t>TSP</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日平均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300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年平均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200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color w:val="0000FF"/>
                      <w:szCs w:val="21"/>
                    </w:rPr>
                    <w:t>PM</w:t>
                  </w:r>
                  <w:r>
                    <w:rPr>
                      <w:color w:val="0000FF"/>
                      <w:szCs w:val="21"/>
                      <w:vertAlign w:val="subscript"/>
                    </w:rPr>
                    <w:t>10</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日平均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150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年平均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70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color w:val="0000FF"/>
                      <w:szCs w:val="21"/>
                    </w:rPr>
                    <w:t>SO</w:t>
                  </w:r>
                  <w:r>
                    <w:rPr>
                      <w:color w:val="0000FF"/>
                      <w:szCs w:val="21"/>
                      <w:vertAlign w:val="subscript"/>
                    </w:rPr>
                    <w:t>2</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小时平均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500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日平均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150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年平均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top w:val="single" w:color="auto" w:sz="4" w:space="0"/>
                    <w:left w:val="single" w:color="auto" w:sz="4" w:space="0"/>
                    <w:bottom w:val="single" w:color="auto" w:sz="18" w:space="0"/>
                    <w:right w:val="single" w:color="auto" w:sz="4" w:space="0"/>
                  </w:tcBorders>
                  <w:vAlign w:val="center"/>
                </w:tcPr>
                <w:p>
                  <w:pPr>
                    <w:widowControl/>
                    <w:adjustRightInd w:val="0"/>
                    <w:snapToGrid w:val="0"/>
                    <w:jc w:val="center"/>
                    <w:rPr>
                      <w:color w:val="0000FF"/>
                      <w:szCs w:val="21"/>
                    </w:rPr>
                  </w:pPr>
                  <w:r>
                    <w:rPr>
                      <w:color w:val="0000FF"/>
                      <w:szCs w:val="21"/>
                    </w:rPr>
                    <w:t>NO</w:t>
                  </w:r>
                  <w:r>
                    <w:rPr>
                      <w:color w:val="0000FF"/>
                      <w:szCs w:val="21"/>
                      <w:vertAlign w:val="subscript"/>
                    </w:rPr>
                    <w:t>2</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小时平均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200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18"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日平均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80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年平均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color w:val="0000FF"/>
                      <w:szCs w:val="21"/>
                    </w:rPr>
                    <w:t>40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top w:val="single" w:color="auto" w:sz="4" w:space="0"/>
                    <w:left w:val="single" w:color="auto" w:sz="4" w:space="0"/>
                    <w:right w:val="single" w:color="auto" w:sz="4" w:space="0"/>
                  </w:tcBorders>
                  <w:vAlign w:val="center"/>
                </w:tcPr>
                <w:p>
                  <w:pPr>
                    <w:widowControl/>
                    <w:jc w:val="center"/>
                    <w:rPr>
                      <w:color w:val="0000FF"/>
                      <w:szCs w:val="21"/>
                    </w:rPr>
                  </w:pPr>
                  <w:r>
                    <w:rPr>
                      <w:rFonts w:hint="eastAsia"/>
                      <w:color w:val="0000FF"/>
                      <w:szCs w:val="21"/>
                    </w:rPr>
                    <w:t>PM</w:t>
                  </w:r>
                  <w:r>
                    <w:rPr>
                      <w:rFonts w:hint="eastAsia"/>
                      <w:color w:val="0000FF"/>
                      <w:szCs w:val="21"/>
                      <w:vertAlign w:val="subscript"/>
                    </w:rPr>
                    <w:t>2.5</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日平均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rFonts w:hint="eastAsia"/>
                      <w:color w:val="0000FF"/>
                      <w:szCs w:val="21"/>
                    </w:rPr>
                    <w:t>75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left w:val="single" w:color="auto" w:sz="4" w:space="0"/>
                    <w:right w:val="single" w:color="auto" w:sz="4" w:space="0"/>
                  </w:tcBorders>
                  <w:vAlign w:val="center"/>
                </w:tcPr>
                <w:p>
                  <w:pPr>
                    <w:widowControl/>
                    <w:jc w:val="left"/>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FF"/>
                      <w:szCs w:val="21"/>
                    </w:rPr>
                  </w:pPr>
                  <w:r>
                    <w:rPr>
                      <w:rFonts w:hint="eastAsia"/>
                      <w:color w:val="0000FF"/>
                      <w:szCs w:val="21"/>
                    </w:rPr>
                    <w:t>年平均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color w:val="0000FF"/>
                      <w:szCs w:val="21"/>
                    </w:rPr>
                  </w:pPr>
                  <w:r>
                    <w:rPr>
                      <w:rFonts w:hint="eastAsia"/>
                      <w:color w:val="0000FF"/>
                      <w:szCs w:val="21"/>
                    </w:rPr>
                    <w:t>35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left w:val="single" w:color="auto" w:sz="4" w:space="0"/>
                    <w:right w:val="single" w:color="auto" w:sz="4" w:space="0"/>
                  </w:tcBorders>
                  <w:vAlign w:val="center"/>
                </w:tcPr>
                <w:p>
                  <w:pPr>
                    <w:widowControl/>
                    <w:jc w:val="center"/>
                    <w:rPr>
                      <w:color w:val="0000FF"/>
                      <w:szCs w:val="21"/>
                    </w:rPr>
                  </w:pPr>
                  <w:r>
                    <w:rPr>
                      <w:rFonts w:hint="eastAsia"/>
                      <w:color w:val="0000FF"/>
                      <w:szCs w:val="21"/>
                    </w:rPr>
                    <w:t>O</w:t>
                  </w:r>
                  <w:r>
                    <w:rPr>
                      <w:rFonts w:hint="eastAsia"/>
                      <w:color w:val="0000FF"/>
                      <w:szCs w:val="21"/>
                      <w:vertAlign w:val="subscript"/>
                    </w:rPr>
                    <w:t>3</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eastAsia"/>
                      <w:color w:val="0000FF"/>
                      <w:szCs w:val="21"/>
                    </w:rPr>
                  </w:pPr>
                  <w:r>
                    <w:rPr>
                      <w:rFonts w:hint="eastAsia"/>
                      <w:color w:val="0000FF"/>
                      <w:szCs w:val="21"/>
                    </w:rPr>
                    <w:t>日最大8小时平均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hint="eastAsia"/>
                      <w:color w:val="0000FF"/>
                      <w:szCs w:val="21"/>
                    </w:rPr>
                  </w:pPr>
                  <w:r>
                    <w:rPr>
                      <w:rFonts w:hint="eastAsia"/>
                      <w:color w:val="0000FF"/>
                      <w:szCs w:val="21"/>
                    </w:rPr>
                    <w:t>160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continue"/>
                  <w:tcBorders>
                    <w:left w:val="single" w:color="auto" w:sz="4" w:space="0"/>
                    <w:right w:val="single" w:color="auto" w:sz="4" w:space="0"/>
                  </w:tcBorders>
                  <w:vAlign w:val="center"/>
                </w:tcPr>
                <w:p>
                  <w:pPr>
                    <w:widowControl/>
                    <w:jc w:val="center"/>
                    <w:rPr>
                      <w:color w:val="0000FF"/>
                      <w:szCs w:val="21"/>
                    </w:rPr>
                  </w:pP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eastAsia"/>
                      <w:color w:val="0000FF"/>
                      <w:szCs w:val="21"/>
                    </w:rPr>
                  </w:pPr>
                  <w:r>
                    <w:rPr>
                      <w:rFonts w:hint="eastAsia"/>
                      <w:color w:val="0000FF"/>
                      <w:szCs w:val="21"/>
                    </w:rPr>
                    <w:t>1小时平均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hint="eastAsia"/>
                      <w:color w:val="0000FF"/>
                      <w:szCs w:val="21"/>
                    </w:rPr>
                  </w:pPr>
                  <w:r>
                    <w:rPr>
                      <w:rFonts w:hint="eastAsia"/>
                      <w:color w:val="0000FF"/>
                      <w:szCs w:val="21"/>
                    </w:rPr>
                    <w:t>200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right w:val="single" w:color="auto" w:sz="4" w:space="0"/>
                  </w:tcBorders>
                  <w:vAlign w:val="center"/>
                </w:tcPr>
                <w:p>
                  <w:pPr>
                    <w:widowControl/>
                    <w:jc w:val="left"/>
                    <w:rPr>
                      <w:color w:val="0000FF"/>
                      <w:szCs w:val="21"/>
                    </w:rPr>
                  </w:pPr>
                </w:p>
              </w:tc>
              <w:tc>
                <w:tcPr>
                  <w:tcW w:w="1209" w:type="dxa"/>
                  <w:vMerge w:val="restart"/>
                  <w:tcBorders>
                    <w:left w:val="single" w:color="auto" w:sz="4" w:space="0"/>
                    <w:right w:val="single" w:color="auto" w:sz="4" w:space="0"/>
                  </w:tcBorders>
                  <w:vAlign w:val="center"/>
                </w:tcPr>
                <w:p>
                  <w:pPr>
                    <w:widowControl/>
                    <w:jc w:val="center"/>
                    <w:rPr>
                      <w:color w:val="0000FF"/>
                      <w:szCs w:val="21"/>
                    </w:rPr>
                  </w:pPr>
                  <w:r>
                    <w:rPr>
                      <w:rFonts w:hint="eastAsia"/>
                      <w:color w:val="0000FF"/>
                      <w:szCs w:val="21"/>
                    </w:rPr>
                    <w:t>CO</w:t>
                  </w:r>
                </w:p>
              </w:tc>
              <w:tc>
                <w:tcPr>
                  <w:tcW w:w="19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eastAsia"/>
                      <w:color w:val="0000FF"/>
                      <w:szCs w:val="21"/>
                    </w:rPr>
                  </w:pPr>
                  <w:r>
                    <w:rPr>
                      <w:rFonts w:hint="eastAsia"/>
                      <w:color w:val="0000FF"/>
                      <w:szCs w:val="21"/>
                    </w:rPr>
                    <w:t>24小时平均</w:t>
                  </w:r>
                </w:p>
              </w:tc>
              <w:tc>
                <w:tcPr>
                  <w:tcW w:w="1501" w:type="dxa"/>
                  <w:tcBorders>
                    <w:top w:val="single" w:color="auto" w:sz="4" w:space="0"/>
                    <w:left w:val="single" w:color="auto" w:sz="4" w:space="0"/>
                    <w:bottom w:val="single" w:color="auto" w:sz="4" w:space="0"/>
                    <w:right w:val="nil"/>
                  </w:tcBorders>
                  <w:vAlign w:val="center"/>
                </w:tcPr>
                <w:p>
                  <w:pPr>
                    <w:widowControl/>
                    <w:adjustRightInd w:val="0"/>
                    <w:snapToGrid w:val="0"/>
                    <w:jc w:val="center"/>
                    <w:rPr>
                      <w:rFonts w:hint="eastAsia"/>
                      <w:color w:val="0000FF"/>
                      <w:szCs w:val="21"/>
                    </w:rPr>
                  </w:pPr>
                  <w:r>
                    <w:rPr>
                      <w:rFonts w:hint="eastAsia"/>
                      <w:color w:val="0000FF"/>
                      <w:szCs w:val="21"/>
                    </w:rPr>
                    <w:t>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7" w:type="dxa"/>
                  <w:vMerge w:val="continue"/>
                  <w:tcBorders>
                    <w:left w:val="nil"/>
                    <w:bottom w:val="single" w:color="auto" w:sz="18" w:space="0"/>
                    <w:right w:val="single" w:color="auto" w:sz="4" w:space="0"/>
                  </w:tcBorders>
                  <w:vAlign w:val="center"/>
                </w:tcPr>
                <w:p>
                  <w:pPr>
                    <w:widowControl/>
                    <w:jc w:val="left"/>
                    <w:rPr>
                      <w:color w:val="0000FF"/>
                      <w:szCs w:val="21"/>
                    </w:rPr>
                  </w:pPr>
                </w:p>
              </w:tc>
              <w:tc>
                <w:tcPr>
                  <w:tcW w:w="1209" w:type="dxa"/>
                  <w:vMerge w:val="continue"/>
                  <w:tcBorders>
                    <w:left w:val="single" w:color="auto" w:sz="4" w:space="0"/>
                    <w:bottom w:val="single" w:color="auto" w:sz="18" w:space="0"/>
                    <w:right w:val="single" w:color="auto" w:sz="4" w:space="0"/>
                  </w:tcBorders>
                  <w:vAlign w:val="center"/>
                </w:tcPr>
                <w:p>
                  <w:pPr>
                    <w:widowControl/>
                    <w:jc w:val="center"/>
                    <w:rPr>
                      <w:color w:val="0000FF"/>
                      <w:szCs w:val="21"/>
                    </w:rPr>
                  </w:pPr>
                </w:p>
              </w:tc>
              <w:tc>
                <w:tcPr>
                  <w:tcW w:w="1991" w:type="dxa"/>
                  <w:tcBorders>
                    <w:top w:val="single" w:color="auto" w:sz="4" w:space="0"/>
                    <w:left w:val="single" w:color="auto" w:sz="4" w:space="0"/>
                    <w:bottom w:val="single" w:color="auto" w:sz="18" w:space="0"/>
                    <w:right w:val="single" w:color="auto" w:sz="4" w:space="0"/>
                  </w:tcBorders>
                  <w:vAlign w:val="center"/>
                </w:tcPr>
                <w:p>
                  <w:pPr>
                    <w:widowControl/>
                    <w:adjustRightInd w:val="0"/>
                    <w:snapToGrid w:val="0"/>
                    <w:jc w:val="center"/>
                    <w:rPr>
                      <w:rFonts w:hint="eastAsia"/>
                      <w:color w:val="0000FF"/>
                      <w:szCs w:val="21"/>
                    </w:rPr>
                  </w:pPr>
                  <w:r>
                    <w:rPr>
                      <w:rFonts w:hint="eastAsia"/>
                      <w:color w:val="0000FF"/>
                      <w:szCs w:val="21"/>
                    </w:rPr>
                    <w:t>1小时平均</w:t>
                  </w:r>
                </w:p>
              </w:tc>
              <w:tc>
                <w:tcPr>
                  <w:tcW w:w="1501" w:type="dxa"/>
                  <w:tcBorders>
                    <w:top w:val="single" w:color="auto" w:sz="4" w:space="0"/>
                    <w:left w:val="single" w:color="auto" w:sz="4" w:space="0"/>
                    <w:bottom w:val="single" w:color="auto" w:sz="18" w:space="0"/>
                    <w:right w:val="nil"/>
                  </w:tcBorders>
                  <w:vAlign w:val="center"/>
                </w:tcPr>
                <w:p>
                  <w:pPr>
                    <w:widowControl/>
                    <w:adjustRightInd w:val="0"/>
                    <w:snapToGrid w:val="0"/>
                    <w:jc w:val="center"/>
                    <w:rPr>
                      <w:rFonts w:hint="eastAsia"/>
                      <w:color w:val="0000FF"/>
                      <w:szCs w:val="21"/>
                    </w:rPr>
                  </w:pPr>
                  <w:r>
                    <w:rPr>
                      <w:rFonts w:hint="eastAsia"/>
                      <w:color w:val="0000FF"/>
                      <w:szCs w:val="21"/>
                    </w:rPr>
                    <w:t>10</w:t>
                  </w:r>
                </w:p>
              </w:tc>
            </w:tr>
          </w:tbl>
          <w:p>
            <w:pPr>
              <w:pStyle w:val="94"/>
              <w:spacing w:beforeLines="50" w:line="360" w:lineRule="auto"/>
              <w:ind w:firstLine="0" w:firstLineChars="0"/>
              <w:rPr>
                <w:b/>
                <w:color w:val="0000FF"/>
                <w:spacing w:val="0"/>
                <w:sz w:val="24"/>
                <w:szCs w:val="28"/>
              </w:rPr>
            </w:pPr>
            <w:r>
              <w:rPr>
                <w:b/>
                <w:color w:val="0000FF"/>
                <w:spacing w:val="0"/>
                <w:sz w:val="24"/>
                <w:szCs w:val="28"/>
              </w:rPr>
              <w:t>2、声环境质量标准</w:t>
            </w:r>
          </w:p>
          <w:p>
            <w:pPr>
              <w:autoSpaceDE w:val="0"/>
              <w:autoSpaceDN w:val="0"/>
              <w:adjustRightInd w:val="0"/>
              <w:spacing w:line="360" w:lineRule="auto"/>
              <w:ind w:firstLine="480" w:firstLineChars="200"/>
              <w:textAlignment w:val="bottom"/>
              <w:rPr>
                <w:color w:val="0000FF"/>
                <w:kern w:val="0"/>
                <w:sz w:val="24"/>
              </w:rPr>
            </w:pPr>
            <w:r>
              <w:rPr>
                <w:color w:val="0000FF"/>
                <w:sz w:val="24"/>
                <w:szCs w:val="28"/>
              </w:rPr>
              <w:t>本项目声环境执行《声环境质量标准》（GB3096-2008）中的</w:t>
            </w:r>
            <w:r>
              <w:rPr>
                <w:rFonts w:hint="eastAsia"/>
                <w:color w:val="0000FF"/>
                <w:sz w:val="24"/>
                <w:szCs w:val="28"/>
              </w:rPr>
              <w:t>3</w:t>
            </w:r>
            <w:r>
              <w:rPr>
                <w:color w:val="0000FF"/>
                <w:sz w:val="24"/>
                <w:szCs w:val="28"/>
              </w:rPr>
              <w:t>类标准要求</w:t>
            </w:r>
            <w:r>
              <w:rPr>
                <w:color w:val="0000FF"/>
                <w:kern w:val="0"/>
                <w:sz w:val="24"/>
              </w:rPr>
              <w:t>。</w:t>
            </w:r>
            <w:r>
              <w:rPr>
                <w:color w:val="0000FF"/>
                <w:sz w:val="24"/>
                <w:szCs w:val="28"/>
              </w:rPr>
              <w:t>具体标准值见表</w:t>
            </w:r>
            <w:r>
              <w:rPr>
                <w:rFonts w:hint="eastAsia"/>
                <w:color w:val="0000FF"/>
                <w:sz w:val="24"/>
                <w:szCs w:val="28"/>
              </w:rPr>
              <w:t>14</w:t>
            </w:r>
            <w:r>
              <w:rPr>
                <w:color w:val="0000FF"/>
                <w:sz w:val="24"/>
                <w:szCs w:val="28"/>
              </w:rPr>
              <w:t>。</w:t>
            </w:r>
          </w:p>
          <w:p>
            <w:pPr>
              <w:spacing w:beforeLines="30" w:line="360" w:lineRule="auto"/>
              <w:ind w:right="480"/>
              <w:jc w:val="center"/>
              <w:rPr>
                <w:b/>
                <w:color w:val="0000FF"/>
                <w:sz w:val="24"/>
              </w:rPr>
            </w:pPr>
            <w:r>
              <w:rPr>
                <w:rFonts w:hint="eastAsia"/>
                <w:b/>
                <w:color w:val="0000FF"/>
                <w:sz w:val="24"/>
              </w:rPr>
              <w:t>表14</w:t>
            </w:r>
            <w:r>
              <w:rPr>
                <w:b/>
                <w:color w:val="0000FF"/>
                <w:sz w:val="24"/>
              </w:rPr>
              <w:t xml:space="preserve">  声环境质量标准 单位dB(A)</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7"/>
              <w:gridCol w:w="3396"/>
              <w:gridCol w:w="327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197" w:type="dxa"/>
                  <w:vAlign w:val="center"/>
                </w:tcPr>
                <w:p>
                  <w:pPr>
                    <w:adjustRightInd w:val="0"/>
                    <w:snapToGrid w:val="0"/>
                    <w:spacing w:line="400" w:lineRule="exact"/>
                    <w:jc w:val="center"/>
                    <w:rPr>
                      <w:color w:val="0000FF"/>
                    </w:rPr>
                  </w:pPr>
                  <w:r>
                    <w:rPr>
                      <w:rFonts w:hint="eastAsia"/>
                      <w:color w:val="0000FF"/>
                    </w:rPr>
                    <w:t>项目</w:t>
                  </w:r>
                </w:p>
              </w:tc>
              <w:tc>
                <w:tcPr>
                  <w:tcW w:w="3396" w:type="dxa"/>
                  <w:vAlign w:val="center"/>
                </w:tcPr>
                <w:p>
                  <w:pPr>
                    <w:adjustRightInd w:val="0"/>
                    <w:snapToGrid w:val="0"/>
                    <w:spacing w:line="400" w:lineRule="exact"/>
                    <w:jc w:val="center"/>
                    <w:rPr>
                      <w:color w:val="0000FF"/>
                    </w:rPr>
                  </w:pPr>
                  <w:r>
                    <w:rPr>
                      <w:color w:val="0000FF"/>
                    </w:rPr>
                    <w:t>昼间</w:t>
                  </w:r>
                </w:p>
              </w:tc>
              <w:tc>
                <w:tcPr>
                  <w:tcW w:w="3275" w:type="dxa"/>
                  <w:vAlign w:val="center"/>
                </w:tcPr>
                <w:p>
                  <w:pPr>
                    <w:adjustRightInd w:val="0"/>
                    <w:snapToGrid w:val="0"/>
                    <w:spacing w:line="400" w:lineRule="exact"/>
                    <w:jc w:val="center"/>
                    <w:rPr>
                      <w:color w:val="0000FF"/>
                    </w:rPr>
                  </w:pPr>
                  <w:r>
                    <w:rPr>
                      <w:color w:val="0000FF"/>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97" w:type="dxa"/>
                  <w:vAlign w:val="center"/>
                </w:tcPr>
                <w:p>
                  <w:pPr>
                    <w:adjustRightInd w:val="0"/>
                    <w:snapToGrid w:val="0"/>
                    <w:spacing w:line="400" w:lineRule="exact"/>
                    <w:jc w:val="center"/>
                    <w:rPr>
                      <w:color w:val="0000FF"/>
                    </w:rPr>
                  </w:pPr>
                  <w:r>
                    <w:rPr>
                      <w:rFonts w:hint="eastAsia"/>
                      <w:color w:val="0000FF"/>
                    </w:rPr>
                    <w:t>3</w:t>
                  </w:r>
                  <w:r>
                    <w:rPr>
                      <w:color w:val="0000FF"/>
                    </w:rPr>
                    <w:t>类</w:t>
                  </w:r>
                </w:p>
              </w:tc>
              <w:tc>
                <w:tcPr>
                  <w:tcW w:w="3396" w:type="dxa"/>
                  <w:vAlign w:val="center"/>
                </w:tcPr>
                <w:p>
                  <w:pPr>
                    <w:adjustRightInd w:val="0"/>
                    <w:snapToGrid w:val="0"/>
                    <w:spacing w:line="400" w:lineRule="exact"/>
                    <w:jc w:val="center"/>
                    <w:rPr>
                      <w:color w:val="0000FF"/>
                    </w:rPr>
                  </w:pPr>
                  <w:r>
                    <w:rPr>
                      <w:rFonts w:hint="eastAsia"/>
                      <w:color w:val="0000FF"/>
                    </w:rPr>
                    <w:t>65</w:t>
                  </w:r>
                </w:p>
              </w:tc>
              <w:tc>
                <w:tcPr>
                  <w:tcW w:w="3275" w:type="dxa"/>
                  <w:vAlign w:val="center"/>
                </w:tcPr>
                <w:p>
                  <w:pPr>
                    <w:adjustRightInd w:val="0"/>
                    <w:snapToGrid w:val="0"/>
                    <w:spacing w:line="400" w:lineRule="exact"/>
                    <w:jc w:val="center"/>
                    <w:rPr>
                      <w:color w:val="0000FF"/>
                    </w:rPr>
                  </w:pPr>
                  <w:r>
                    <w:rPr>
                      <w:rFonts w:hint="eastAsia"/>
                      <w:color w:val="0000FF"/>
                    </w:rPr>
                    <w:t>55</w:t>
                  </w:r>
                </w:p>
              </w:tc>
            </w:tr>
          </w:tbl>
          <w:p>
            <w:pPr>
              <w:pStyle w:val="94"/>
              <w:spacing w:beforeLines="50" w:line="360" w:lineRule="auto"/>
              <w:ind w:firstLine="0" w:firstLineChars="0"/>
              <w:rPr>
                <w:b/>
                <w:color w:val="0000FF"/>
                <w:spacing w:val="0"/>
                <w:sz w:val="24"/>
                <w:szCs w:val="28"/>
              </w:rPr>
            </w:pPr>
            <w:r>
              <w:rPr>
                <w:b/>
                <w:color w:val="0000FF"/>
                <w:spacing w:val="0"/>
                <w:sz w:val="24"/>
                <w:szCs w:val="28"/>
              </w:rPr>
              <w:t>3、地</w:t>
            </w:r>
            <w:r>
              <w:rPr>
                <w:rFonts w:hint="eastAsia"/>
                <w:b/>
                <w:color w:val="0000FF"/>
                <w:spacing w:val="0"/>
                <w:sz w:val="24"/>
                <w:szCs w:val="28"/>
              </w:rPr>
              <w:t>表</w:t>
            </w:r>
            <w:r>
              <w:rPr>
                <w:b/>
                <w:color w:val="0000FF"/>
                <w:spacing w:val="0"/>
                <w:sz w:val="24"/>
                <w:szCs w:val="28"/>
              </w:rPr>
              <w:t>水质量标准</w:t>
            </w:r>
          </w:p>
          <w:p>
            <w:pPr>
              <w:pStyle w:val="82"/>
              <w:spacing w:line="360" w:lineRule="auto"/>
              <w:ind w:firstLine="480" w:firstLineChars="200"/>
              <w:rPr>
                <w:rFonts w:ascii="Times New Roman"/>
                <w:color w:val="0000FF"/>
                <w:kern w:val="2"/>
              </w:rPr>
            </w:pPr>
            <w:r>
              <w:rPr>
                <w:rFonts w:ascii="Times New Roman"/>
                <w:color w:val="0000FF"/>
                <w:kern w:val="2"/>
              </w:rPr>
              <w:t>本项目位于庆阳市</w:t>
            </w:r>
            <w:r>
              <w:rPr>
                <w:rFonts w:ascii="Times New Roman"/>
                <w:color w:val="0000FF"/>
              </w:rPr>
              <w:t>宁县</w:t>
            </w:r>
            <w:r>
              <w:rPr>
                <w:rFonts w:hint="eastAsia" w:ascii="Times New Roman"/>
                <w:color w:val="0000FF"/>
              </w:rPr>
              <w:t>长庆桥镇</w:t>
            </w:r>
            <w:r>
              <w:rPr>
                <w:rFonts w:ascii="Times New Roman"/>
                <w:color w:val="0000FF"/>
                <w:kern w:val="2"/>
              </w:rPr>
              <w:t>，</w:t>
            </w:r>
            <w:r>
              <w:rPr>
                <w:rFonts w:hint="eastAsia" w:ascii="Times New Roman"/>
                <w:color w:val="0000FF"/>
                <w:kern w:val="2"/>
              </w:rPr>
              <w:t>泾河</w:t>
            </w:r>
            <w:r>
              <w:rPr>
                <w:rFonts w:ascii="Times New Roman"/>
                <w:color w:val="0000FF"/>
                <w:kern w:val="2"/>
              </w:rPr>
              <w:t>属</w:t>
            </w:r>
            <w:r>
              <w:rPr>
                <w:rFonts w:hAnsi="宋体" w:cs="宋体"/>
                <w:color w:val="0000FF"/>
              </w:rPr>
              <w:t>Ⅲ</w:t>
            </w:r>
            <w:r>
              <w:rPr>
                <w:rFonts w:ascii="Times New Roman"/>
                <w:color w:val="0000FF"/>
                <w:kern w:val="2"/>
              </w:rPr>
              <w:t>类水域。地表水环境质量执行《地表水环境质量》（GB3838-2002）</w:t>
            </w:r>
            <w:r>
              <w:rPr>
                <w:rFonts w:hAnsi="宋体" w:cs="宋体"/>
                <w:color w:val="0000FF"/>
              </w:rPr>
              <w:t>Ⅲ</w:t>
            </w:r>
            <w:r>
              <w:rPr>
                <w:rFonts w:ascii="Times New Roman"/>
                <w:color w:val="0000FF"/>
                <w:kern w:val="2"/>
              </w:rPr>
              <w:t>类标准</w:t>
            </w:r>
            <w:r>
              <w:rPr>
                <w:rFonts w:cs="宋体"/>
                <w:color w:val="0000FF"/>
                <w:szCs w:val="28"/>
              </w:rPr>
              <w:t>，具体限值见</w:t>
            </w:r>
            <w:r>
              <w:rPr>
                <w:rFonts w:ascii="Times New Roman"/>
                <w:color w:val="0000FF"/>
                <w:szCs w:val="28"/>
              </w:rPr>
              <w:t>表</w:t>
            </w:r>
            <w:r>
              <w:rPr>
                <w:rFonts w:hint="eastAsia" w:ascii="Times New Roman"/>
                <w:color w:val="0000FF"/>
                <w:szCs w:val="28"/>
              </w:rPr>
              <w:t>15</w:t>
            </w:r>
            <w:r>
              <w:rPr>
                <w:rFonts w:ascii="Times New Roman"/>
                <w:color w:val="0000FF"/>
                <w:szCs w:val="28"/>
              </w:rPr>
              <w:t>。</w:t>
            </w:r>
          </w:p>
          <w:p>
            <w:pPr>
              <w:widowControl/>
              <w:ind w:firstLine="600" w:firstLineChars="250"/>
              <w:jc w:val="left"/>
              <w:rPr>
                <w:b/>
                <w:color w:val="0000FF"/>
                <w:sz w:val="24"/>
              </w:rPr>
            </w:pPr>
            <w:r>
              <w:rPr>
                <w:b/>
                <w:color w:val="0000FF"/>
                <w:sz w:val="24"/>
              </w:rPr>
              <w:t xml:space="preserve">  表</w:t>
            </w:r>
            <w:r>
              <w:rPr>
                <w:rFonts w:hint="eastAsia"/>
                <w:b/>
                <w:color w:val="0000FF"/>
                <w:sz w:val="24"/>
              </w:rPr>
              <w:t>15</w:t>
            </w:r>
            <w:r>
              <w:rPr>
                <w:b/>
                <w:color w:val="0000FF"/>
                <w:sz w:val="24"/>
              </w:rPr>
              <w:t xml:space="preserve">     地</w:t>
            </w:r>
            <w:r>
              <w:rPr>
                <w:rFonts w:hint="eastAsia"/>
                <w:b/>
                <w:color w:val="0000FF"/>
                <w:sz w:val="24"/>
              </w:rPr>
              <w:t>表</w:t>
            </w:r>
            <w:r>
              <w:rPr>
                <w:b/>
                <w:color w:val="0000FF"/>
                <w:sz w:val="24"/>
              </w:rPr>
              <w:t>水环境质量标准     单位：mg/L</w:t>
            </w:r>
            <w:r>
              <w:rPr>
                <w:rFonts w:hint="eastAsia"/>
                <w:b/>
                <w:color w:val="0000FF"/>
                <w:sz w:val="24"/>
              </w:rPr>
              <w:t>（除pH）</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630"/>
              <w:gridCol w:w="1961"/>
              <w:gridCol w:w="2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项目</w:t>
                  </w:r>
                </w:p>
              </w:tc>
              <w:tc>
                <w:tcPr>
                  <w:tcW w:w="1630" w:type="dxa"/>
                  <w:vAlign w:val="center"/>
                </w:tcPr>
                <w:p>
                  <w:pPr>
                    <w:widowControl/>
                    <w:jc w:val="center"/>
                    <w:rPr>
                      <w:color w:val="0000FF"/>
                      <w:kern w:val="0"/>
                      <w:szCs w:val="21"/>
                    </w:rPr>
                  </w:pPr>
                  <w:r>
                    <w:rPr>
                      <w:rFonts w:hint="eastAsia"/>
                      <w:color w:val="0000FF"/>
                    </w:rPr>
                    <w:t>Ⅲ</w:t>
                  </w:r>
                  <w:r>
                    <w:rPr>
                      <w:color w:val="0000FF"/>
                      <w:kern w:val="0"/>
                      <w:szCs w:val="21"/>
                    </w:rPr>
                    <w:t>类</w:t>
                  </w:r>
                </w:p>
              </w:tc>
              <w:tc>
                <w:tcPr>
                  <w:tcW w:w="1961" w:type="dxa"/>
                  <w:vAlign w:val="center"/>
                </w:tcPr>
                <w:p>
                  <w:pPr>
                    <w:widowControl/>
                    <w:jc w:val="center"/>
                    <w:rPr>
                      <w:bCs/>
                      <w:color w:val="0000FF"/>
                      <w:kern w:val="0"/>
                      <w:szCs w:val="21"/>
                    </w:rPr>
                  </w:pPr>
                  <w:r>
                    <w:rPr>
                      <w:bCs/>
                      <w:color w:val="0000FF"/>
                      <w:kern w:val="0"/>
                      <w:szCs w:val="21"/>
                    </w:rPr>
                    <w:t>项目</w:t>
                  </w:r>
                </w:p>
              </w:tc>
              <w:tc>
                <w:tcPr>
                  <w:tcW w:w="2349" w:type="dxa"/>
                  <w:vAlign w:val="center"/>
                </w:tcPr>
                <w:p>
                  <w:pPr>
                    <w:widowControl/>
                    <w:jc w:val="center"/>
                    <w:rPr>
                      <w:color w:val="0000FF"/>
                      <w:kern w:val="0"/>
                      <w:szCs w:val="21"/>
                    </w:rPr>
                  </w:pPr>
                  <w:r>
                    <w:rPr>
                      <w:rFonts w:hint="eastAsia"/>
                      <w:color w:val="0000FF"/>
                    </w:rPr>
                    <w:t>Ⅲ</w:t>
                  </w:r>
                  <w:r>
                    <w:rPr>
                      <w:color w:val="0000FF"/>
                      <w:kern w:val="0"/>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pH</w:t>
                  </w:r>
                </w:p>
              </w:tc>
              <w:tc>
                <w:tcPr>
                  <w:tcW w:w="1630" w:type="dxa"/>
                  <w:vAlign w:val="center"/>
                </w:tcPr>
                <w:p>
                  <w:pPr>
                    <w:widowControl/>
                    <w:jc w:val="center"/>
                    <w:rPr>
                      <w:color w:val="0000FF"/>
                      <w:kern w:val="0"/>
                      <w:szCs w:val="21"/>
                    </w:rPr>
                  </w:pPr>
                  <w:r>
                    <w:rPr>
                      <w:color w:val="0000FF"/>
                      <w:kern w:val="0"/>
                      <w:szCs w:val="21"/>
                    </w:rPr>
                    <w:t>6～9</w:t>
                  </w:r>
                </w:p>
              </w:tc>
              <w:tc>
                <w:tcPr>
                  <w:tcW w:w="1961" w:type="dxa"/>
                  <w:vAlign w:val="center"/>
                </w:tcPr>
                <w:p>
                  <w:pPr>
                    <w:widowControl/>
                    <w:jc w:val="center"/>
                    <w:rPr>
                      <w:bCs/>
                      <w:color w:val="0000FF"/>
                      <w:kern w:val="0"/>
                      <w:szCs w:val="21"/>
                    </w:rPr>
                  </w:pPr>
                  <w:r>
                    <w:rPr>
                      <w:bCs/>
                      <w:color w:val="0000FF"/>
                      <w:kern w:val="0"/>
                      <w:szCs w:val="21"/>
                    </w:rPr>
                    <w:t>Cr</w:t>
                  </w:r>
                  <w:r>
                    <w:rPr>
                      <w:bCs/>
                      <w:color w:val="0000FF"/>
                      <w:kern w:val="0"/>
                      <w:szCs w:val="21"/>
                      <w:vertAlign w:val="superscript"/>
                    </w:rPr>
                    <w:t>6＋</w:t>
                  </w:r>
                </w:p>
              </w:tc>
              <w:tc>
                <w:tcPr>
                  <w:tcW w:w="2349" w:type="dxa"/>
                  <w:vAlign w:val="center"/>
                </w:tcPr>
                <w:p>
                  <w:pPr>
                    <w:widowControl/>
                    <w:jc w:val="center"/>
                    <w:rPr>
                      <w:color w:val="0000FF"/>
                      <w:kern w:val="0"/>
                      <w:szCs w:val="21"/>
                    </w:rPr>
                  </w:pPr>
                  <w:r>
                    <w:rPr>
                      <w:color w:val="0000FF"/>
                      <w:kern w:val="0"/>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总磷</w:t>
                  </w:r>
                </w:p>
              </w:tc>
              <w:tc>
                <w:tcPr>
                  <w:tcW w:w="1630" w:type="dxa"/>
                  <w:vAlign w:val="center"/>
                </w:tcPr>
                <w:p>
                  <w:pPr>
                    <w:widowControl/>
                    <w:jc w:val="center"/>
                    <w:rPr>
                      <w:color w:val="0000FF"/>
                      <w:kern w:val="0"/>
                      <w:szCs w:val="21"/>
                    </w:rPr>
                  </w:pPr>
                  <w:r>
                    <w:rPr>
                      <w:color w:val="0000FF"/>
                      <w:kern w:val="0"/>
                      <w:szCs w:val="21"/>
                    </w:rPr>
                    <w:t>≤0.2</w:t>
                  </w:r>
                </w:p>
              </w:tc>
              <w:tc>
                <w:tcPr>
                  <w:tcW w:w="1961" w:type="dxa"/>
                  <w:vAlign w:val="center"/>
                </w:tcPr>
                <w:p>
                  <w:pPr>
                    <w:widowControl/>
                    <w:jc w:val="center"/>
                    <w:rPr>
                      <w:bCs/>
                      <w:color w:val="0000FF"/>
                      <w:kern w:val="0"/>
                      <w:szCs w:val="21"/>
                    </w:rPr>
                  </w:pPr>
                  <w:r>
                    <w:rPr>
                      <w:bCs/>
                      <w:color w:val="0000FF"/>
                      <w:kern w:val="0"/>
                      <w:szCs w:val="21"/>
                    </w:rPr>
                    <w:t>石油类</w:t>
                  </w:r>
                </w:p>
              </w:tc>
              <w:tc>
                <w:tcPr>
                  <w:tcW w:w="2349" w:type="dxa"/>
                  <w:vAlign w:val="center"/>
                </w:tcPr>
                <w:p>
                  <w:pPr>
                    <w:widowControl/>
                    <w:jc w:val="center"/>
                    <w:rPr>
                      <w:color w:val="0000FF"/>
                      <w:kern w:val="0"/>
                      <w:szCs w:val="21"/>
                    </w:rPr>
                  </w:pPr>
                  <w:r>
                    <w:rPr>
                      <w:color w:val="0000FF"/>
                      <w:kern w:val="0"/>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COD</w:t>
                  </w:r>
                </w:p>
              </w:tc>
              <w:tc>
                <w:tcPr>
                  <w:tcW w:w="1630" w:type="dxa"/>
                  <w:vAlign w:val="center"/>
                </w:tcPr>
                <w:p>
                  <w:pPr>
                    <w:widowControl/>
                    <w:jc w:val="center"/>
                    <w:rPr>
                      <w:color w:val="0000FF"/>
                      <w:kern w:val="0"/>
                      <w:szCs w:val="21"/>
                    </w:rPr>
                  </w:pPr>
                  <w:r>
                    <w:rPr>
                      <w:color w:val="0000FF"/>
                      <w:kern w:val="0"/>
                      <w:szCs w:val="21"/>
                    </w:rPr>
                    <w:t>≤20</w:t>
                  </w:r>
                </w:p>
              </w:tc>
              <w:tc>
                <w:tcPr>
                  <w:tcW w:w="1961" w:type="dxa"/>
                  <w:vAlign w:val="center"/>
                </w:tcPr>
                <w:p>
                  <w:pPr>
                    <w:widowControl/>
                    <w:jc w:val="center"/>
                    <w:rPr>
                      <w:bCs/>
                      <w:color w:val="0000FF"/>
                      <w:kern w:val="0"/>
                      <w:szCs w:val="21"/>
                    </w:rPr>
                  </w:pPr>
                  <w:r>
                    <w:rPr>
                      <w:bCs/>
                      <w:color w:val="0000FF"/>
                      <w:kern w:val="0"/>
                      <w:szCs w:val="21"/>
                    </w:rPr>
                    <w:t>氟化物</w:t>
                  </w:r>
                </w:p>
              </w:tc>
              <w:tc>
                <w:tcPr>
                  <w:tcW w:w="2349" w:type="dxa"/>
                  <w:vAlign w:val="center"/>
                </w:tcPr>
                <w:p>
                  <w:pPr>
                    <w:widowControl/>
                    <w:jc w:val="center"/>
                    <w:rPr>
                      <w:color w:val="0000FF"/>
                      <w:kern w:val="0"/>
                      <w:szCs w:val="21"/>
                    </w:rPr>
                  </w:pPr>
                  <w:r>
                    <w:rPr>
                      <w:color w:val="0000FF"/>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阴离子表面活性剂</w:t>
                  </w:r>
                </w:p>
              </w:tc>
              <w:tc>
                <w:tcPr>
                  <w:tcW w:w="1630" w:type="dxa"/>
                  <w:vAlign w:val="center"/>
                </w:tcPr>
                <w:p>
                  <w:pPr>
                    <w:widowControl/>
                    <w:jc w:val="center"/>
                    <w:rPr>
                      <w:color w:val="0000FF"/>
                      <w:kern w:val="0"/>
                      <w:szCs w:val="21"/>
                    </w:rPr>
                  </w:pPr>
                  <w:r>
                    <w:rPr>
                      <w:color w:val="0000FF"/>
                      <w:kern w:val="0"/>
                      <w:szCs w:val="21"/>
                    </w:rPr>
                    <w:t>≤0.2</w:t>
                  </w:r>
                </w:p>
              </w:tc>
              <w:tc>
                <w:tcPr>
                  <w:tcW w:w="1961" w:type="dxa"/>
                  <w:vAlign w:val="center"/>
                </w:tcPr>
                <w:p>
                  <w:pPr>
                    <w:widowControl/>
                    <w:jc w:val="center"/>
                    <w:rPr>
                      <w:bCs/>
                      <w:color w:val="0000FF"/>
                      <w:kern w:val="0"/>
                      <w:szCs w:val="21"/>
                    </w:rPr>
                  </w:pPr>
                  <w:r>
                    <w:rPr>
                      <w:bCs/>
                      <w:color w:val="0000FF"/>
                      <w:kern w:val="0"/>
                      <w:szCs w:val="21"/>
                    </w:rPr>
                    <w:t>BOD</w:t>
                  </w:r>
                  <w:r>
                    <w:rPr>
                      <w:bCs/>
                      <w:color w:val="0000FF"/>
                      <w:kern w:val="0"/>
                      <w:szCs w:val="21"/>
                      <w:vertAlign w:val="subscript"/>
                    </w:rPr>
                    <w:t>5</w:t>
                  </w:r>
                </w:p>
              </w:tc>
              <w:tc>
                <w:tcPr>
                  <w:tcW w:w="2349" w:type="dxa"/>
                  <w:vAlign w:val="center"/>
                </w:tcPr>
                <w:p>
                  <w:pPr>
                    <w:widowControl/>
                    <w:jc w:val="center"/>
                    <w:rPr>
                      <w:color w:val="0000FF"/>
                      <w:kern w:val="0"/>
                      <w:szCs w:val="21"/>
                    </w:rPr>
                  </w:pPr>
                  <w:r>
                    <w:rPr>
                      <w:color w:val="0000FF"/>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氨氮</w:t>
                  </w:r>
                </w:p>
              </w:tc>
              <w:tc>
                <w:tcPr>
                  <w:tcW w:w="1630" w:type="dxa"/>
                  <w:vAlign w:val="center"/>
                </w:tcPr>
                <w:p>
                  <w:pPr>
                    <w:widowControl/>
                    <w:jc w:val="center"/>
                    <w:rPr>
                      <w:color w:val="0000FF"/>
                      <w:kern w:val="0"/>
                      <w:szCs w:val="21"/>
                    </w:rPr>
                  </w:pPr>
                  <w:r>
                    <w:rPr>
                      <w:color w:val="0000FF"/>
                      <w:kern w:val="0"/>
                      <w:szCs w:val="21"/>
                    </w:rPr>
                    <w:t>≤1.0</w:t>
                  </w:r>
                </w:p>
              </w:tc>
              <w:tc>
                <w:tcPr>
                  <w:tcW w:w="1961" w:type="dxa"/>
                  <w:vAlign w:val="center"/>
                </w:tcPr>
                <w:p>
                  <w:pPr>
                    <w:widowControl/>
                    <w:jc w:val="center"/>
                    <w:rPr>
                      <w:bCs/>
                      <w:color w:val="0000FF"/>
                      <w:kern w:val="0"/>
                      <w:szCs w:val="21"/>
                    </w:rPr>
                  </w:pPr>
                  <w:r>
                    <w:rPr>
                      <w:bCs/>
                      <w:color w:val="0000FF"/>
                      <w:kern w:val="0"/>
                      <w:szCs w:val="21"/>
                    </w:rPr>
                    <w:t>粪大肠菌群</w:t>
                  </w:r>
                </w:p>
              </w:tc>
              <w:tc>
                <w:tcPr>
                  <w:tcW w:w="2349" w:type="dxa"/>
                  <w:vAlign w:val="center"/>
                </w:tcPr>
                <w:p>
                  <w:pPr>
                    <w:widowControl/>
                    <w:jc w:val="center"/>
                    <w:rPr>
                      <w:color w:val="0000FF"/>
                      <w:kern w:val="0"/>
                      <w:szCs w:val="21"/>
                    </w:rPr>
                  </w:pPr>
                  <w:r>
                    <w:rPr>
                      <w:color w:val="0000FF"/>
                      <w:kern w:val="0"/>
                      <w:szCs w:val="21"/>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挥发酚</w:t>
                  </w:r>
                </w:p>
              </w:tc>
              <w:tc>
                <w:tcPr>
                  <w:tcW w:w="1630" w:type="dxa"/>
                  <w:vAlign w:val="center"/>
                </w:tcPr>
                <w:p>
                  <w:pPr>
                    <w:widowControl/>
                    <w:jc w:val="center"/>
                    <w:rPr>
                      <w:color w:val="0000FF"/>
                      <w:kern w:val="0"/>
                      <w:szCs w:val="21"/>
                    </w:rPr>
                  </w:pPr>
                  <w:r>
                    <w:rPr>
                      <w:color w:val="0000FF"/>
                      <w:kern w:val="0"/>
                      <w:szCs w:val="21"/>
                    </w:rPr>
                    <w:t>≤0.005</w:t>
                  </w:r>
                </w:p>
              </w:tc>
              <w:tc>
                <w:tcPr>
                  <w:tcW w:w="1961" w:type="dxa"/>
                  <w:vAlign w:val="center"/>
                </w:tcPr>
                <w:p>
                  <w:pPr>
                    <w:widowControl/>
                    <w:jc w:val="center"/>
                    <w:rPr>
                      <w:bCs/>
                      <w:color w:val="0000FF"/>
                      <w:kern w:val="0"/>
                      <w:szCs w:val="21"/>
                    </w:rPr>
                  </w:pPr>
                  <w:r>
                    <w:rPr>
                      <w:bCs/>
                      <w:color w:val="0000FF"/>
                      <w:kern w:val="0"/>
                      <w:szCs w:val="21"/>
                    </w:rPr>
                    <w:t>高锰酸盐指数</w:t>
                  </w:r>
                </w:p>
              </w:tc>
              <w:tc>
                <w:tcPr>
                  <w:tcW w:w="2349" w:type="dxa"/>
                  <w:vAlign w:val="center"/>
                </w:tcPr>
                <w:p>
                  <w:pPr>
                    <w:widowControl/>
                    <w:jc w:val="center"/>
                    <w:rPr>
                      <w:color w:val="0000FF"/>
                      <w:kern w:val="0"/>
                      <w:szCs w:val="21"/>
                    </w:rPr>
                  </w:pPr>
                  <w:r>
                    <w:rPr>
                      <w:color w:val="0000FF"/>
                      <w:kern w:val="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溶解氧</w:t>
                  </w:r>
                </w:p>
              </w:tc>
              <w:tc>
                <w:tcPr>
                  <w:tcW w:w="1630" w:type="dxa"/>
                  <w:vAlign w:val="center"/>
                </w:tcPr>
                <w:p>
                  <w:pPr>
                    <w:widowControl/>
                    <w:jc w:val="center"/>
                    <w:rPr>
                      <w:color w:val="0000FF"/>
                      <w:kern w:val="0"/>
                      <w:szCs w:val="21"/>
                    </w:rPr>
                  </w:pPr>
                  <w:r>
                    <w:rPr>
                      <w:color w:val="0000FF"/>
                      <w:kern w:val="0"/>
                      <w:szCs w:val="21"/>
                    </w:rPr>
                    <w:t>≥5</w:t>
                  </w:r>
                </w:p>
              </w:tc>
              <w:tc>
                <w:tcPr>
                  <w:tcW w:w="1961" w:type="dxa"/>
                  <w:vAlign w:val="center"/>
                </w:tcPr>
                <w:p>
                  <w:pPr>
                    <w:widowControl/>
                    <w:jc w:val="center"/>
                    <w:rPr>
                      <w:bCs/>
                      <w:color w:val="0000FF"/>
                      <w:kern w:val="0"/>
                      <w:szCs w:val="21"/>
                    </w:rPr>
                  </w:pPr>
                  <w:r>
                    <w:rPr>
                      <w:bCs/>
                      <w:color w:val="0000FF"/>
                      <w:kern w:val="0"/>
                      <w:szCs w:val="21"/>
                    </w:rPr>
                    <w:t>铅</w:t>
                  </w:r>
                </w:p>
              </w:tc>
              <w:tc>
                <w:tcPr>
                  <w:tcW w:w="2349" w:type="dxa"/>
                  <w:vAlign w:val="center"/>
                </w:tcPr>
                <w:p>
                  <w:pPr>
                    <w:widowControl/>
                    <w:jc w:val="center"/>
                    <w:rPr>
                      <w:color w:val="0000FF"/>
                      <w:kern w:val="0"/>
                      <w:szCs w:val="21"/>
                    </w:rPr>
                  </w:pPr>
                  <w:r>
                    <w:rPr>
                      <w:color w:val="0000FF"/>
                      <w:kern w:val="0"/>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铜</w:t>
                  </w:r>
                </w:p>
              </w:tc>
              <w:tc>
                <w:tcPr>
                  <w:tcW w:w="1630" w:type="dxa"/>
                  <w:vAlign w:val="center"/>
                </w:tcPr>
                <w:p>
                  <w:pPr>
                    <w:widowControl/>
                    <w:jc w:val="center"/>
                    <w:rPr>
                      <w:color w:val="0000FF"/>
                      <w:kern w:val="0"/>
                      <w:szCs w:val="21"/>
                    </w:rPr>
                  </w:pPr>
                  <w:r>
                    <w:rPr>
                      <w:color w:val="0000FF"/>
                      <w:kern w:val="0"/>
                      <w:szCs w:val="21"/>
                    </w:rPr>
                    <w:t>≤1.0</w:t>
                  </w:r>
                </w:p>
              </w:tc>
              <w:tc>
                <w:tcPr>
                  <w:tcW w:w="1961" w:type="dxa"/>
                  <w:vAlign w:val="center"/>
                </w:tcPr>
                <w:p>
                  <w:pPr>
                    <w:widowControl/>
                    <w:jc w:val="center"/>
                    <w:rPr>
                      <w:bCs/>
                      <w:color w:val="0000FF"/>
                      <w:kern w:val="0"/>
                      <w:szCs w:val="21"/>
                    </w:rPr>
                  </w:pPr>
                  <w:r>
                    <w:rPr>
                      <w:bCs/>
                      <w:color w:val="0000FF"/>
                      <w:kern w:val="0"/>
                      <w:szCs w:val="21"/>
                    </w:rPr>
                    <w:t>氰化物</w:t>
                  </w:r>
                </w:p>
              </w:tc>
              <w:tc>
                <w:tcPr>
                  <w:tcW w:w="2349" w:type="dxa"/>
                  <w:vAlign w:val="center"/>
                </w:tcPr>
                <w:p>
                  <w:pPr>
                    <w:widowControl/>
                    <w:jc w:val="center"/>
                    <w:rPr>
                      <w:color w:val="0000FF"/>
                      <w:kern w:val="0"/>
                      <w:szCs w:val="21"/>
                    </w:rPr>
                  </w:pPr>
                  <w:r>
                    <w:rPr>
                      <w:color w:val="0000FF"/>
                      <w:kern w:val="0"/>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砷</w:t>
                  </w:r>
                </w:p>
              </w:tc>
              <w:tc>
                <w:tcPr>
                  <w:tcW w:w="1630" w:type="dxa"/>
                  <w:vAlign w:val="center"/>
                </w:tcPr>
                <w:p>
                  <w:pPr>
                    <w:widowControl/>
                    <w:jc w:val="center"/>
                    <w:rPr>
                      <w:color w:val="0000FF"/>
                      <w:kern w:val="0"/>
                      <w:szCs w:val="21"/>
                    </w:rPr>
                  </w:pPr>
                  <w:r>
                    <w:rPr>
                      <w:color w:val="0000FF"/>
                      <w:kern w:val="0"/>
                      <w:szCs w:val="21"/>
                    </w:rPr>
                    <w:t>≤0.05</w:t>
                  </w:r>
                </w:p>
              </w:tc>
              <w:tc>
                <w:tcPr>
                  <w:tcW w:w="1961" w:type="dxa"/>
                  <w:vAlign w:val="center"/>
                </w:tcPr>
                <w:p>
                  <w:pPr>
                    <w:widowControl/>
                    <w:jc w:val="center"/>
                    <w:rPr>
                      <w:bCs/>
                      <w:color w:val="0000FF"/>
                      <w:kern w:val="0"/>
                      <w:szCs w:val="21"/>
                    </w:rPr>
                  </w:pPr>
                  <w:r>
                    <w:rPr>
                      <w:bCs/>
                      <w:color w:val="0000FF"/>
                      <w:kern w:val="0"/>
                      <w:szCs w:val="21"/>
                    </w:rPr>
                    <w:t>硫化物</w:t>
                  </w:r>
                </w:p>
              </w:tc>
              <w:tc>
                <w:tcPr>
                  <w:tcW w:w="2349" w:type="dxa"/>
                  <w:vAlign w:val="center"/>
                </w:tcPr>
                <w:p>
                  <w:pPr>
                    <w:widowControl/>
                    <w:jc w:val="center"/>
                    <w:rPr>
                      <w:color w:val="0000FF"/>
                      <w:kern w:val="0"/>
                      <w:szCs w:val="21"/>
                    </w:rPr>
                  </w:pPr>
                  <w:r>
                    <w:rPr>
                      <w:color w:val="0000FF"/>
                      <w:kern w:val="0"/>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汞</w:t>
                  </w:r>
                </w:p>
              </w:tc>
              <w:tc>
                <w:tcPr>
                  <w:tcW w:w="1630" w:type="dxa"/>
                  <w:vAlign w:val="center"/>
                </w:tcPr>
                <w:p>
                  <w:pPr>
                    <w:widowControl/>
                    <w:jc w:val="center"/>
                    <w:rPr>
                      <w:color w:val="0000FF"/>
                      <w:kern w:val="0"/>
                      <w:szCs w:val="21"/>
                    </w:rPr>
                  </w:pPr>
                  <w:r>
                    <w:rPr>
                      <w:color w:val="0000FF"/>
                      <w:kern w:val="0"/>
                      <w:szCs w:val="21"/>
                    </w:rPr>
                    <w:t>≤0.0001</w:t>
                  </w:r>
                </w:p>
              </w:tc>
              <w:tc>
                <w:tcPr>
                  <w:tcW w:w="1961" w:type="dxa"/>
                  <w:vAlign w:val="center"/>
                </w:tcPr>
                <w:p>
                  <w:pPr>
                    <w:widowControl/>
                    <w:jc w:val="center"/>
                    <w:rPr>
                      <w:bCs/>
                      <w:color w:val="0000FF"/>
                      <w:kern w:val="0"/>
                      <w:szCs w:val="21"/>
                    </w:rPr>
                  </w:pPr>
                  <w:r>
                    <w:rPr>
                      <w:bCs/>
                      <w:color w:val="0000FF"/>
                      <w:kern w:val="0"/>
                      <w:szCs w:val="21"/>
                    </w:rPr>
                    <w:t>镉</w:t>
                  </w:r>
                </w:p>
              </w:tc>
              <w:tc>
                <w:tcPr>
                  <w:tcW w:w="2349" w:type="dxa"/>
                  <w:vAlign w:val="center"/>
                </w:tcPr>
                <w:p>
                  <w:pPr>
                    <w:widowControl/>
                    <w:jc w:val="center"/>
                    <w:rPr>
                      <w:color w:val="0000FF"/>
                      <w:kern w:val="0"/>
                      <w:szCs w:val="21"/>
                    </w:rPr>
                  </w:pPr>
                  <w:r>
                    <w:rPr>
                      <w:color w:val="0000FF"/>
                      <w:kern w:val="0"/>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总氮</w:t>
                  </w:r>
                </w:p>
              </w:tc>
              <w:tc>
                <w:tcPr>
                  <w:tcW w:w="1630" w:type="dxa"/>
                  <w:vAlign w:val="center"/>
                </w:tcPr>
                <w:p>
                  <w:pPr>
                    <w:widowControl/>
                    <w:jc w:val="center"/>
                    <w:rPr>
                      <w:color w:val="0000FF"/>
                      <w:kern w:val="0"/>
                      <w:szCs w:val="21"/>
                    </w:rPr>
                  </w:pPr>
                  <w:r>
                    <w:rPr>
                      <w:color w:val="0000FF"/>
                      <w:kern w:val="0"/>
                      <w:szCs w:val="21"/>
                    </w:rPr>
                    <w:t>≤1.0</w:t>
                  </w:r>
                </w:p>
              </w:tc>
              <w:tc>
                <w:tcPr>
                  <w:tcW w:w="1961" w:type="dxa"/>
                  <w:vAlign w:val="center"/>
                </w:tcPr>
                <w:p>
                  <w:pPr>
                    <w:widowControl/>
                    <w:jc w:val="center"/>
                    <w:rPr>
                      <w:bCs/>
                      <w:color w:val="0000FF"/>
                      <w:kern w:val="0"/>
                      <w:szCs w:val="21"/>
                    </w:rPr>
                  </w:pPr>
                  <w:r>
                    <w:rPr>
                      <w:bCs/>
                      <w:color w:val="0000FF"/>
                      <w:kern w:val="0"/>
                      <w:szCs w:val="21"/>
                    </w:rPr>
                    <w:t>锌</w:t>
                  </w:r>
                </w:p>
              </w:tc>
              <w:tc>
                <w:tcPr>
                  <w:tcW w:w="2349" w:type="dxa"/>
                  <w:vAlign w:val="center"/>
                </w:tcPr>
                <w:p>
                  <w:pPr>
                    <w:widowControl/>
                    <w:jc w:val="center"/>
                    <w:rPr>
                      <w:color w:val="0000FF"/>
                      <w:kern w:val="0"/>
                      <w:szCs w:val="21"/>
                    </w:rPr>
                  </w:pPr>
                  <w:r>
                    <w:rPr>
                      <w:color w:val="0000FF"/>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pPr>
                    <w:widowControl/>
                    <w:jc w:val="center"/>
                    <w:rPr>
                      <w:bCs/>
                      <w:color w:val="0000FF"/>
                      <w:kern w:val="0"/>
                      <w:szCs w:val="21"/>
                    </w:rPr>
                  </w:pPr>
                  <w:r>
                    <w:rPr>
                      <w:bCs/>
                      <w:color w:val="0000FF"/>
                      <w:kern w:val="0"/>
                      <w:szCs w:val="21"/>
                    </w:rPr>
                    <w:t>硒</w:t>
                  </w:r>
                </w:p>
              </w:tc>
              <w:tc>
                <w:tcPr>
                  <w:tcW w:w="1630" w:type="dxa"/>
                  <w:vAlign w:val="center"/>
                </w:tcPr>
                <w:p>
                  <w:pPr>
                    <w:widowControl/>
                    <w:jc w:val="center"/>
                    <w:rPr>
                      <w:color w:val="0000FF"/>
                      <w:kern w:val="0"/>
                      <w:szCs w:val="21"/>
                    </w:rPr>
                  </w:pPr>
                  <w:r>
                    <w:rPr>
                      <w:color w:val="0000FF"/>
                      <w:kern w:val="0"/>
                      <w:szCs w:val="21"/>
                    </w:rPr>
                    <w:t>≤0.01</w:t>
                  </w:r>
                </w:p>
              </w:tc>
              <w:tc>
                <w:tcPr>
                  <w:tcW w:w="1961" w:type="dxa"/>
                  <w:vAlign w:val="center"/>
                </w:tcPr>
                <w:p>
                  <w:pPr>
                    <w:widowControl/>
                    <w:jc w:val="center"/>
                    <w:rPr>
                      <w:bCs/>
                      <w:color w:val="0000FF"/>
                      <w:kern w:val="0"/>
                      <w:szCs w:val="21"/>
                    </w:rPr>
                  </w:pPr>
                  <w:r>
                    <w:rPr>
                      <w:rFonts w:hint="eastAsia"/>
                      <w:bCs/>
                      <w:color w:val="0000FF"/>
                      <w:kern w:val="0"/>
                      <w:szCs w:val="21"/>
                    </w:rPr>
                    <w:t>余氯</w:t>
                  </w:r>
                </w:p>
              </w:tc>
              <w:tc>
                <w:tcPr>
                  <w:tcW w:w="2349" w:type="dxa"/>
                  <w:vAlign w:val="center"/>
                </w:tcPr>
                <w:p>
                  <w:pPr>
                    <w:widowControl/>
                    <w:jc w:val="center"/>
                    <w:rPr>
                      <w:color w:val="0000FF"/>
                      <w:kern w:val="0"/>
                      <w:szCs w:val="21"/>
                    </w:rPr>
                  </w:pPr>
                  <w:r>
                    <w:rPr>
                      <w:color w:val="0000FF"/>
                      <w:kern w:val="0"/>
                      <w:szCs w:val="21"/>
                    </w:rPr>
                    <w:t>≤0.5</w:t>
                  </w:r>
                </w:p>
              </w:tc>
            </w:tr>
          </w:tbl>
          <w:p>
            <w:pPr>
              <w:spacing w:line="360" w:lineRule="auto"/>
              <w:rPr>
                <w:rFonts w:hint="eastAsia"/>
                <w:b/>
                <w:color w:val="0000FF"/>
                <w:sz w:val="24"/>
                <w:szCs w:val="28"/>
              </w:rPr>
            </w:pPr>
            <w:r>
              <w:rPr>
                <w:rFonts w:hint="eastAsia"/>
                <w:b/>
                <w:color w:val="0000FF"/>
                <w:sz w:val="24"/>
                <w:szCs w:val="28"/>
              </w:rPr>
              <w:t>4、地下水质量标准</w:t>
            </w:r>
          </w:p>
          <w:p>
            <w:pPr>
              <w:pStyle w:val="82"/>
              <w:spacing w:line="360" w:lineRule="auto"/>
              <w:ind w:firstLine="480" w:firstLineChars="200"/>
              <w:rPr>
                <w:rFonts w:hint="eastAsia" w:ascii="Times New Roman"/>
                <w:color w:val="0000FF"/>
                <w:kern w:val="2"/>
              </w:rPr>
            </w:pPr>
            <w:r>
              <w:rPr>
                <w:rFonts w:hint="eastAsia" w:ascii="Times New Roman"/>
                <w:color w:val="0000FF"/>
                <w:kern w:val="2"/>
              </w:rPr>
              <w:t>根据《地下水质量标准》（GB/T14848-2017），本项目所在地地下水属于Ⅲ类，执行《地下水质量标准》（GB/T14848-2017）Ⅲ类标准。</w:t>
            </w:r>
          </w:p>
          <w:p>
            <w:pPr>
              <w:spacing w:line="360" w:lineRule="auto"/>
              <w:ind w:firstLine="480" w:firstLineChars="200"/>
              <w:jc w:val="center"/>
              <w:rPr>
                <w:rFonts w:hint="eastAsia"/>
                <w:b/>
                <w:color w:val="0000FF"/>
                <w:sz w:val="24"/>
              </w:rPr>
            </w:pPr>
            <w:r>
              <w:rPr>
                <w:rFonts w:hint="eastAsia"/>
                <w:b/>
                <w:color w:val="0000FF"/>
                <w:sz w:val="24"/>
              </w:rPr>
              <w:t>表16  地下水环境质量标准   单位：mg/L，pH除外</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7"/>
              <w:gridCol w:w="700"/>
              <w:gridCol w:w="601"/>
              <w:gridCol w:w="472"/>
              <w:gridCol w:w="558"/>
              <w:gridCol w:w="729"/>
              <w:gridCol w:w="795"/>
              <w:gridCol w:w="738"/>
              <w:gridCol w:w="767"/>
              <w:gridCol w:w="850"/>
              <w:gridCol w:w="1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Align w:val="center"/>
                </w:tcPr>
                <w:p>
                  <w:pPr>
                    <w:jc w:val="center"/>
                    <w:rPr>
                      <w:color w:val="0000FF"/>
                      <w:szCs w:val="21"/>
                    </w:rPr>
                  </w:pPr>
                  <w:r>
                    <w:rPr>
                      <w:color w:val="0000FF"/>
                      <w:szCs w:val="21"/>
                    </w:rPr>
                    <w:t>项目</w:t>
                  </w:r>
                </w:p>
              </w:tc>
              <w:tc>
                <w:tcPr>
                  <w:tcW w:w="700" w:type="dxa"/>
                  <w:vAlign w:val="center"/>
                </w:tcPr>
                <w:p>
                  <w:pPr>
                    <w:jc w:val="center"/>
                    <w:rPr>
                      <w:color w:val="0000FF"/>
                      <w:szCs w:val="21"/>
                    </w:rPr>
                  </w:pPr>
                  <w:r>
                    <w:rPr>
                      <w:color w:val="0000FF"/>
                      <w:szCs w:val="21"/>
                    </w:rPr>
                    <w:t>pH</w:t>
                  </w:r>
                </w:p>
              </w:tc>
              <w:tc>
                <w:tcPr>
                  <w:tcW w:w="601" w:type="dxa"/>
                  <w:vAlign w:val="center"/>
                </w:tcPr>
                <w:p>
                  <w:pPr>
                    <w:jc w:val="center"/>
                    <w:rPr>
                      <w:color w:val="0000FF"/>
                      <w:szCs w:val="21"/>
                    </w:rPr>
                  </w:pPr>
                  <w:r>
                    <w:rPr>
                      <w:color w:val="0000FF"/>
                      <w:szCs w:val="21"/>
                    </w:rPr>
                    <w:t>总硬度</w:t>
                  </w:r>
                </w:p>
              </w:tc>
              <w:tc>
                <w:tcPr>
                  <w:tcW w:w="472" w:type="dxa"/>
                  <w:vAlign w:val="center"/>
                </w:tcPr>
                <w:p>
                  <w:pPr>
                    <w:jc w:val="center"/>
                    <w:rPr>
                      <w:color w:val="0000FF"/>
                      <w:szCs w:val="21"/>
                    </w:rPr>
                  </w:pPr>
                  <w:r>
                    <w:rPr>
                      <w:color w:val="0000FF"/>
                      <w:szCs w:val="21"/>
                    </w:rPr>
                    <w:t>硫酸盐</w:t>
                  </w:r>
                </w:p>
              </w:tc>
              <w:tc>
                <w:tcPr>
                  <w:tcW w:w="558" w:type="dxa"/>
                  <w:vAlign w:val="center"/>
                </w:tcPr>
                <w:p>
                  <w:pPr>
                    <w:jc w:val="center"/>
                    <w:rPr>
                      <w:color w:val="0000FF"/>
                      <w:szCs w:val="21"/>
                    </w:rPr>
                  </w:pPr>
                  <w:r>
                    <w:rPr>
                      <w:color w:val="0000FF"/>
                      <w:szCs w:val="21"/>
                    </w:rPr>
                    <w:t>氯化物</w:t>
                  </w:r>
                </w:p>
              </w:tc>
              <w:tc>
                <w:tcPr>
                  <w:tcW w:w="729" w:type="dxa"/>
                  <w:vAlign w:val="center"/>
                </w:tcPr>
                <w:p>
                  <w:pPr>
                    <w:jc w:val="center"/>
                    <w:rPr>
                      <w:color w:val="0000FF"/>
                      <w:szCs w:val="21"/>
                    </w:rPr>
                  </w:pPr>
                  <w:r>
                    <w:rPr>
                      <w:color w:val="0000FF"/>
                      <w:szCs w:val="21"/>
                    </w:rPr>
                    <w:t>铁（Fe）</w:t>
                  </w:r>
                </w:p>
              </w:tc>
              <w:tc>
                <w:tcPr>
                  <w:tcW w:w="795" w:type="dxa"/>
                  <w:vAlign w:val="center"/>
                </w:tcPr>
                <w:p>
                  <w:pPr>
                    <w:jc w:val="center"/>
                    <w:rPr>
                      <w:color w:val="0000FF"/>
                      <w:szCs w:val="21"/>
                    </w:rPr>
                  </w:pPr>
                  <w:r>
                    <w:rPr>
                      <w:color w:val="0000FF"/>
                      <w:szCs w:val="21"/>
                    </w:rPr>
                    <w:t>锰（Mn）</w:t>
                  </w:r>
                </w:p>
              </w:tc>
              <w:tc>
                <w:tcPr>
                  <w:tcW w:w="738" w:type="dxa"/>
                  <w:vAlign w:val="center"/>
                </w:tcPr>
                <w:p>
                  <w:pPr>
                    <w:jc w:val="center"/>
                    <w:rPr>
                      <w:color w:val="0000FF"/>
                      <w:szCs w:val="21"/>
                    </w:rPr>
                  </w:pPr>
                  <w:r>
                    <w:rPr>
                      <w:color w:val="0000FF"/>
                      <w:szCs w:val="21"/>
                    </w:rPr>
                    <w:t>铅（Pb）</w:t>
                  </w:r>
                </w:p>
              </w:tc>
              <w:tc>
                <w:tcPr>
                  <w:tcW w:w="767" w:type="dxa"/>
                  <w:vAlign w:val="center"/>
                </w:tcPr>
                <w:p>
                  <w:pPr>
                    <w:jc w:val="center"/>
                    <w:rPr>
                      <w:color w:val="0000FF"/>
                      <w:szCs w:val="21"/>
                    </w:rPr>
                  </w:pPr>
                  <w:r>
                    <w:rPr>
                      <w:color w:val="0000FF"/>
                      <w:szCs w:val="21"/>
                    </w:rPr>
                    <w:t>汞</w:t>
                  </w:r>
                </w:p>
                <w:p>
                  <w:pPr>
                    <w:jc w:val="center"/>
                    <w:rPr>
                      <w:color w:val="0000FF"/>
                      <w:szCs w:val="21"/>
                    </w:rPr>
                  </w:pPr>
                  <w:r>
                    <w:rPr>
                      <w:color w:val="0000FF"/>
                      <w:szCs w:val="21"/>
                    </w:rPr>
                    <w:t>（Hg）</w:t>
                  </w:r>
                </w:p>
              </w:tc>
              <w:tc>
                <w:tcPr>
                  <w:tcW w:w="850" w:type="dxa"/>
                  <w:vAlign w:val="center"/>
                </w:tcPr>
                <w:p>
                  <w:pPr>
                    <w:jc w:val="center"/>
                    <w:rPr>
                      <w:color w:val="0000FF"/>
                      <w:szCs w:val="21"/>
                    </w:rPr>
                  </w:pPr>
                  <w:r>
                    <w:rPr>
                      <w:color w:val="0000FF"/>
                      <w:szCs w:val="21"/>
                    </w:rPr>
                    <w:t>砷（As）</w:t>
                  </w:r>
                </w:p>
              </w:tc>
              <w:tc>
                <w:tcPr>
                  <w:tcW w:w="1271" w:type="dxa"/>
                  <w:vAlign w:val="center"/>
                </w:tcPr>
                <w:p>
                  <w:pPr>
                    <w:jc w:val="center"/>
                    <w:rPr>
                      <w:color w:val="0000FF"/>
                      <w:szCs w:val="21"/>
                    </w:rPr>
                  </w:pPr>
                  <w:r>
                    <w:rPr>
                      <w:color w:val="0000FF"/>
                      <w:szCs w:val="21"/>
                    </w:rPr>
                    <w:t>总大肠菌群（</w:t>
                  </w:r>
                  <w:r>
                    <w:rPr>
                      <w:rFonts w:hint="eastAsia"/>
                      <w:color w:val="0000FF"/>
                      <w:szCs w:val="21"/>
                    </w:rPr>
                    <w:t>MPN</w:t>
                  </w:r>
                  <w:r>
                    <w:rPr>
                      <w:rFonts w:hint="eastAsia"/>
                      <w:color w:val="0000FF"/>
                      <w:szCs w:val="21"/>
                      <w:vertAlign w:val="superscript"/>
                    </w:rPr>
                    <w:t>b</w:t>
                  </w:r>
                  <w:r>
                    <w:rPr>
                      <w:color w:val="0000FF"/>
                      <w:szCs w:val="21"/>
                    </w:rPr>
                    <w:t>/</w:t>
                  </w:r>
                  <w:r>
                    <w:rPr>
                      <w:rFonts w:hint="eastAsia"/>
                      <w:color w:val="0000FF"/>
                      <w:szCs w:val="21"/>
                    </w:rPr>
                    <w:t>mL</w:t>
                  </w: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Align w:val="center"/>
                </w:tcPr>
                <w:p>
                  <w:pPr>
                    <w:jc w:val="center"/>
                    <w:rPr>
                      <w:color w:val="0000FF"/>
                      <w:szCs w:val="21"/>
                    </w:rPr>
                  </w:pPr>
                  <w:r>
                    <w:rPr>
                      <w:color w:val="0000FF"/>
                      <w:szCs w:val="21"/>
                    </w:rPr>
                    <w:t>标准值</w:t>
                  </w:r>
                </w:p>
              </w:tc>
              <w:tc>
                <w:tcPr>
                  <w:tcW w:w="700" w:type="dxa"/>
                  <w:vAlign w:val="center"/>
                </w:tcPr>
                <w:p>
                  <w:pPr>
                    <w:jc w:val="center"/>
                    <w:rPr>
                      <w:color w:val="0000FF"/>
                      <w:szCs w:val="21"/>
                    </w:rPr>
                  </w:pPr>
                  <w:r>
                    <w:rPr>
                      <w:color w:val="0000FF"/>
                      <w:szCs w:val="21"/>
                    </w:rPr>
                    <w:t>6.5-8.5</w:t>
                  </w:r>
                </w:p>
              </w:tc>
              <w:tc>
                <w:tcPr>
                  <w:tcW w:w="601" w:type="dxa"/>
                  <w:vAlign w:val="center"/>
                </w:tcPr>
                <w:p>
                  <w:pPr>
                    <w:jc w:val="center"/>
                    <w:rPr>
                      <w:color w:val="0000FF"/>
                      <w:szCs w:val="21"/>
                    </w:rPr>
                  </w:pPr>
                  <w:r>
                    <w:rPr>
                      <w:rFonts w:hint="eastAsia"/>
                      <w:color w:val="0000FF"/>
                      <w:szCs w:val="21"/>
                    </w:rPr>
                    <w:t>450</w:t>
                  </w:r>
                </w:p>
              </w:tc>
              <w:tc>
                <w:tcPr>
                  <w:tcW w:w="472" w:type="dxa"/>
                  <w:vAlign w:val="center"/>
                </w:tcPr>
                <w:p>
                  <w:pPr>
                    <w:jc w:val="center"/>
                    <w:rPr>
                      <w:color w:val="0000FF"/>
                      <w:szCs w:val="21"/>
                    </w:rPr>
                  </w:pPr>
                  <w:r>
                    <w:rPr>
                      <w:rFonts w:hint="eastAsia"/>
                      <w:color w:val="0000FF"/>
                      <w:szCs w:val="21"/>
                    </w:rPr>
                    <w:t>250</w:t>
                  </w:r>
                </w:p>
              </w:tc>
              <w:tc>
                <w:tcPr>
                  <w:tcW w:w="558" w:type="dxa"/>
                  <w:vAlign w:val="center"/>
                </w:tcPr>
                <w:p>
                  <w:pPr>
                    <w:jc w:val="center"/>
                    <w:rPr>
                      <w:color w:val="0000FF"/>
                      <w:szCs w:val="21"/>
                    </w:rPr>
                  </w:pPr>
                  <w:r>
                    <w:rPr>
                      <w:rFonts w:hint="eastAsia"/>
                      <w:color w:val="0000FF"/>
                      <w:szCs w:val="21"/>
                    </w:rPr>
                    <w:t>250</w:t>
                  </w:r>
                </w:p>
              </w:tc>
              <w:tc>
                <w:tcPr>
                  <w:tcW w:w="729" w:type="dxa"/>
                  <w:vAlign w:val="center"/>
                </w:tcPr>
                <w:p>
                  <w:pPr>
                    <w:jc w:val="center"/>
                    <w:rPr>
                      <w:color w:val="0000FF"/>
                      <w:szCs w:val="21"/>
                    </w:rPr>
                  </w:pPr>
                  <w:r>
                    <w:rPr>
                      <w:rFonts w:hint="eastAsia"/>
                      <w:color w:val="0000FF"/>
                      <w:szCs w:val="21"/>
                    </w:rPr>
                    <w:t>0.3</w:t>
                  </w:r>
                </w:p>
              </w:tc>
              <w:tc>
                <w:tcPr>
                  <w:tcW w:w="795" w:type="dxa"/>
                  <w:vAlign w:val="center"/>
                </w:tcPr>
                <w:p>
                  <w:pPr>
                    <w:jc w:val="center"/>
                    <w:rPr>
                      <w:color w:val="0000FF"/>
                      <w:szCs w:val="21"/>
                    </w:rPr>
                  </w:pPr>
                  <w:r>
                    <w:rPr>
                      <w:rFonts w:hint="eastAsia"/>
                      <w:color w:val="0000FF"/>
                      <w:szCs w:val="21"/>
                    </w:rPr>
                    <w:t>0.1</w:t>
                  </w:r>
                </w:p>
              </w:tc>
              <w:tc>
                <w:tcPr>
                  <w:tcW w:w="738" w:type="dxa"/>
                  <w:vAlign w:val="center"/>
                </w:tcPr>
                <w:p>
                  <w:pPr>
                    <w:jc w:val="center"/>
                    <w:rPr>
                      <w:color w:val="0000FF"/>
                      <w:szCs w:val="21"/>
                    </w:rPr>
                  </w:pPr>
                  <w:r>
                    <w:rPr>
                      <w:rFonts w:hint="eastAsia"/>
                      <w:color w:val="0000FF"/>
                      <w:szCs w:val="21"/>
                    </w:rPr>
                    <w:t>0.01</w:t>
                  </w:r>
                </w:p>
              </w:tc>
              <w:tc>
                <w:tcPr>
                  <w:tcW w:w="767" w:type="dxa"/>
                  <w:vAlign w:val="center"/>
                </w:tcPr>
                <w:p>
                  <w:pPr>
                    <w:jc w:val="center"/>
                    <w:rPr>
                      <w:color w:val="0000FF"/>
                      <w:szCs w:val="21"/>
                    </w:rPr>
                  </w:pPr>
                  <w:r>
                    <w:rPr>
                      <w:rFonts w:hint="eastAsia"/>
                      <w:color w:val="0000FF"/>
                      <w:szCs w:val="21"/>
                    </w:rPr>
                    <w:t>0.001</w:t>
                  </w:r>
                </w:p>
              </w:tc>
              <w:tc>
                <w:tcPr>
                  <w:tcW w:w="850" w:type="dxa"/>
                  <w:vAlign w:val="center"/>
                </w:tcPr>
                <w:p>
                  <w:pPr>
                    <w:jc w:val="center"/>
                    <w:rPr>
                      <w:color w:val="0000FF"/>
                      <w:szCs w:val="21"/>
                    </w:rPr>
                  </w:pPr>
                  <w:r>
                    <w:rPr>
                      <w:rFonts w:hint="eastAsia"/>
                      <w:color w:val="0000FF"/>
                      <w:szCs w:val="21"/>
                    </w:rPr>
                    <w:t>0.01</w:t>
                  </w:r>
                </w:p>
              </w:tc>
              <w:tc>
                <w:tcPr>
                  <w:tcW w:w="1271" w:type="dxa"/>
                  <w:vAlign w:val="center"/>
                </w:tcPr>
                <w:p>
                  <w:pPr>
                    <w:jc w:val="center"/>
                    <w:rPr>
                      <w:color w:val="0000FF"/>
                      <w:szCs w:val="21"/>
                    </w:rPr>
                  </w:pPr>
                  <w:r>
                    <w:rPr>
                      <w:rFonts w:hint="eastAsia"/>
                      <w:color w:val="0000FF"/>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Align w:val="center"/>
                </w:tcPr>
                <w:p>
                  <w:pPr>
                    <w:jc w:val="center"/>
                    <w:rPr>
                      <w:color w:val="0000FF"/>
                      <w:szCs w:val="21"/>
                    </w:rPr>
                  </w:pPr>
                  <w:r>
                    <w:rPr>
                      <w:color w:val="0000FF"/>
                      <w:szCs w:val="21"/>
                    </w:rPr>
                    <w:t>项目</w:t>
                  </w:r>
                </w:p>
              </w:tc>
              <w:tc>
                <w:tcPr>
                  <w:tcW w:w="700" w:type="dxa"/>
                  <w:vAlign w:val="center"/>
                </w:tcPr>
                <w:p>
                  <w:pPr>
                    <w:jc w:val="center"/>
                    <w:rPr>
                      <w:color w:val="0000FF"/>
                      <w:szCs w:val="21"/>
                    </w:rPr>
                  </w:pPr>
                  <w:r>
                    <w:rPr>
                      <w:color w:val="0000FF"/>
                      <w:szCs w:val="21"/>
                    </w:rPr>
                    <w:t>溶解性固体</w:t>
                  </w:r>
                </w:p>
              </w:tc>
              <w:tc>
                <w:tcPr>
                  <w:tcW w:w="601" w:type="dxa"/>
                  <w:vAlign w:val="center"/>
                </w:tcPr>
                <w:p>
                  <w:pPr>
                    <w:jc w:val="center"/>
                    <w:rPr>
                      <w:color w:val="0000FF"/>
                      <w:szCs w:val="21"/>
                    </w:rPr>
                  </w:pPr>
                  <w:r>
                    <w:rPr>
                      <w:color w:val="0000FF"/>
                      <w:szCs w:val="21"/>
                    </w:rPr>
                    <w:t>挥发酚</w:t>
                  </w:r>
                </w:p>
              </w:tc>
              <w:tc>
                <w:tcPr>
                  <w:tcW w:w="472" w:type="dxa"/>
                  <w:vAlign w:val="center"/>
                </w:tcPr>
                <w:p>
                  <w:pPr>
                    <w:jc w:val="center"/>
                    <w:rPr>
                      <w:color w:val="0000FF"/>
                      <w:szCs w:val="21"/>
                    </w:rPr>
                  </w:pPr>
                  <w:r>
                    <w:rPr>
                      <w:rFonts w:hint="eastAsia"/>
                      <w:color w:val="0000FF"/>
                      <w:szCs w:val="21"/>
                    </w:rPr>
                    <w:t>耗氧量</w:t>
                  </w:r>
                </w:p>
              </w:tc>
              <w:tc>
                <w:tcPr>
                  <w:tcW w:w="558" w:type="dxa"/>
                  <w:vAlign w:val="center"/>
                </w:tcPr>
                <w:p>
                  <w:pPr>
                    <w:jc w:val="center"/>
                    <w:rPr>
                      <w:color w:val="0000FF"/>
                      <w:szCs w:val="21"/>
                    </w:rPr>
                  </w:pPr>
                  <w:r>
                    <w:rPr>
                      <w:color w:val="0000FF"/>
                      <w:szCs w:val="21"/>
                    </w:rPr>
                    <w:t>硝酸盐（以N计）</w:t>
                  </w:r>
                </w:p>
              </w:tc>
              <w:tc>
                <w:tcPr>
                  <w:tcW w:w="729" w:type="dxa"/>
                  <w:vAlign w:val="center"/>
                </w:tcPr>
                <w:p>
                  <w:pPr>
                    <w:jc w:val="center"/>
                    <w:rPr>
                      <w:color w:val="0000FF"/>
                      <w:szCs w:val="21"/>
                    </w:rPr>
                  </w:pPr>
                  <w:r>
                    <w:rPr>
                      <w:color w:val="0000FF"/>
                      <w:szCs w:val="21"/>
                    </w:rPr>
                    <w:t>亚硝酸盐（以N计）</w:t>
                  </w:r>
                </w:p>
              </w:tc>
              <w:tc>
                <w:tcPr>
                  <w:tcW w:w="795" w:type="dxa"/>
                  <w:vAlign w:val="center"/>
                </w:tcPr>
                <w:p>
                  <w:pPr>
                    <w:jc w:val="center"/>
                    <w:rPr>
                      <w:color w:val="0000FF"/>
                      <w:szCs w:val="21"/>
                    </w:rPr>
                  </w:pPr>
                  <w:r>
                    <w:rPr>
                      <w:color w:val="0000FF"/>
                      <w:szCs w:val="21"/>
                    </w:rPr>
                    <w:t>氟化物</w:t>
                  </w:r>
                </w:p>
              </w:tc>
              <w:tc>
                <w:tcPr>
                  <w:tcW w:w="738" w:type="dxa"/>
                  <w:vAlign w:val="center"/>
                </w:tcPr>
                <w:p>
                  <w:pPr>
                    <w:jc w:val="center"/>
                    <w:rPr>
                      <w:color w:val="0000FF"/>
                      <w:szCs w:val="21"/>
                    </w:rPr>
                  </w:pPr>
                  <w:r>
                    <w:rPr>
                      <w:color w:val="0000FF"/>
                      <w:szCs w:val="21"/>
                    </w:rPr>
                    <w:t>氰化物</w:t>
                  </w:r>
                </w:p>
              </w:tc>
              <w:tc>
                <w:tcPr>
                  <w:tcW w:w="767" w:type="dxa"/>
                  <w:vAlign w:val="center"/>
                </w:tcPr>
                <w:p>
                  <w:pPr>
                    <w:jc w:val="center"/>
                    <w:rPr>
                      <w:color w:val="0000FF"/>
                      <w:szCs w:val="21"/>
                    </w:rPr>
                  </w:pPr>
                  <w:r>
                    <w:rPr>
                      <w:color w:val="0000FF"/>
                      <w:szCs w:val="21"/>
                    </w:rPr>
                    <w:t>镉（Cd）</w:t>
                  </w:r>
                </w:p>
              </w:tc>
              <w:tc>
                <w:tcPr>
                  <w:tcW w:w="850" w:type="dxa"/>
                  <w:vAlign w:val="center"/>
                </w:tcPr>
                <w:p>
                  <w:pPr>
                    <w:jc w:val="center"/>
                    <w:rPr>
                      <w:color w:val="0000FF"/>
                      <w:szCs w:val="21"/>
                    </w:rPr>
                  </w:pPr>
                  <w:r>
                    <w:rPr>
                      <w:color w:val="0000FF"/>
                      <w:szCs w:val="21"/>
                    </w:rPr>
                    <w:t>铬（Cr</w:t>
                  </w:r>
                  <w:r>
                    <w:rPr>
                      <w:color w:val="0000FF"/>
                      <w:szCs w:val="21"/>
                      <w:vertAlign w:val="superscript"/>
                    </w:rPr>
                    <w:t>6+</w:t>
                  </w:r>
                  <w:r>
                    <w:rPr>
                      <w:color w:val="0000FF"/>
                      <w:szCs w:val="21"/>
                    </w:rPr>
                    <w:t>）</w:t>
                  </w:r>
                </w:p>
              </w:tc>
              <w:tc>
                <w:tcPr>
                  <w:tcW w:w="1271" w:type="dxa"/>
                  <w:vAlign w:val="center"/>
                </w:tcPr>
                <w:p>
                  <w:pPr>
                    <w:jc w:val="center"/>
                    <w:rPr>
                      <w:color w:val="0000FF"/>
                      <w:szCs w:val="21"/>
                    </w:rPr>
                  </w:pPr>
                  <w:r>
                    <w:rPr>
                      <w:color w:val="0000FF"/>
                      <w:szCs w:val="21"/>
                    </w:rPr>
                    <w:t>细菌总数（</w:t>
                  </w:r>
                  <w:r>
                    <w:rPr>
                      <w:rFonts w:hint="eastAsia"/>
                      <w:color w:val="0000FF"/>
                      <w:szCs w:val="21"/>
                    </w:rPr>
                    <w:t>CFU</w:t>
                  </w:r>
                  <w:r>
                    <w:rPr>
                      <w:color w:val="0000FF"/>
                      <w:szCs w:val="21"/>
                    </w:rPr>
                    <w:t>/mL）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dxa"/>
                  <w:vAlign w:val="center"/>
                </w:tcPr>
                <w:p>
                  <w:pPr>
                    <w:jc w:val="center"/>
                    <w:rPr>
                      <w:color w:val="0000FF"/>
                      <w:szCs w:val="21"/>
                    </w:rPr>
                  </w:pPr>
                  <w:r>
                    <w:rPr>
                      <w:color w:val="0000FF"/>
                      <w:szCs w:val="21"/>
                    </w:rPr>
                    <w:t>标准值</w:t>
                  </w:r>
                </w:p>
              </w:tc>
              <w:tc>
                <w:tcPr>
                  <w:tcW w:w="700" w:type="dxa"/>
                  <w:vAlign w:val="center"/>
                </w:tcPr>
                <w:p>
                  <w:pPr>
                    <w:jc w:val="center"/>
                    <w:rPr>
                      <w:color w:val="0000FF"/>
                      <w:szCs w:val="21"/>
                    </w:rPr>
                  </w:pPr>
                  <w:r>
                    <w:rPr>
                      <w:rFonts w:hint="eastAsia"/>
                      <w:color w:val="0000FF"/>
                      <w:szCs w:val="21"/>
                    </w:rPr>
                    <w:t>1000</w:t>
                  </w:r>
                </w:p>
              </w:tc>
              <w:tc>
                <w:tcPr>
                  <w:tcW w:w="601" w:type="dxa"/>
                  <w:vAlign w:val="center"/>
                </w:tcPr>
                <w:p>
                  <w:pPr>
                    <w:jc w:val="center"/>
                    <w:rPr>
                      <w:color w:val="0000FF"/>
                      <w:szCs w:val="21"/>
                    </w:rPr>
                  </w:pPr>
                  <w:r>
                    <w:rPr>
                      <w:rFonts w:hint="eastAsia"/>
                      <w:color w:val="0000FF"/>
                      <w:szCs w:val="21"/>
                    </w:rPr>
                    <w:t>0.002</w:t>
                  </w:r>
                </w:p>
              </w:tc>
              <w:tc>
                <w:tcPr>
                  <w:tcW w:w="472" w:type="dxa"/>
                  <w:vAlign w:val="center"/>
                </w:tcPr>
                <w:p>
                  <w:pPr>
                    <w:jc w:val="center"/>
                    <w:rPr>
                      <w:color w:val="0000FF"/>
                      <w:szCs w:val="21"/>
                    </w:rPr>
                  </w:pPr>
                  <w:r>
                    <w:rPr>
                      <w:rFonts w:hint="eastAsia"/>
                      <w:color w:val="0000FF"/>
                      <w:szCs w:val="21"/>
                    </w:rPr>
                    <w:t>3.0</w:t>
                  </w:r>
                </w:p>
              </w:tc>
              <w:tc>
                <w:tcPr>
                  <w:tcW w:w="558" w:type="dxa"/>
                  <w:vAlign w:val="center"/>
                </w:tcPr>
                <w:p>
                  <w:pPr>
                    <w:jc w:val="center"/>
                    <w:rPr>
                      <w:color w:val="0000FF"/>
                      <w:szCs w:val="21"/>
                    </w:rPr>
                  </w:pPr>
                  <w:r>
                    <w:rPr>
                      <w:rFonts w:hint="eastAsia"/>
                      <w:color w:val="0000FF"/>
                      <w:szCs w:val="21"/>
                    </w:rPr>
                    <w:t>20.0</w:t>
                  </w:r>
                </w:p>
              </w:tc>
              <w:tc>
                <w:tcPr>
                  <w:tcW w:w="729" w:type="dxa"/>
                  <w:vAlign w:val="center"/>
                </w:tcPr>
                <w:p>
                  <w:pPr>
                    <w:jc w:val="center"/>
                    <w:rPr>
                      <w:color w:val="0000FF"/>
                      <w:szCs w:val="21"/>
                    </w:rPr>
                  </w:pPr>
                  <w:r>
                    <w:rPr>
                      <w:rFonts w:hint="eastAsia"/>
                      <w:color w:val="0000FF"/>
                      <w:szCs w:val="21"/>
                    </w:rPr>
                    <w:t>1.0</w:t>
                  </w:r>
                </w:p>
              </w:tc>
              <w:tc>
                <w:tcPr>
                  <w:tcW w:w="795" w:type="dxa"/>
                  <w:vAlign w:val="center"/>
                </w:tcPr>
                <w:p>
                  <w:pPr>
                    <w:jc w:val="center"/>
                    <w:rPr>
                      <w:color w:val="0000FF"/>
                      <w:szCs w:val="21"/>
                    </w:rPr>
                  </w:pPr>
                  <w:r>
                    <w:rPr>
                      <w:rFonts w:hint="eastAsia"/>
                      <w:color w:val="0000FF"/>
                      <w:szCs w:val="21"/>
                    </w:rPr>
                    <w:t>1.0</w:t>
                  </w:r>
                </w:p>
              </w:tc>
              <w:tc>
                <w:tcPr>
                  <w:tcW w:w="738" w:type="dxa"/>
                  <w:vAlign w:val="center"/>
                </w:tcPr>
                <w:p>
                  <w:pPr>
                    <w:jc w:val="center"/>
                    <w:rPr>
                      <w:color w:val="0000FF"/>
                      <w:szCs w:val="21"/>
                    </w:rPr>
                  </w:pPr>
                  <w:r>
                    <w:rPr>
                      <w:rFonts w:hint="eastAsia"/>
                      <w:color w:val="0000FF"/>
                      <w:szCs w:val="21"/>
                    </w:rPr>
                    <w:t>0.05</w:t>
                  </w:r>
                </w:p>
              </w:tc>
              <w:tc>
                <w:tcPr>
                  <w:tcW w:w="767" w:type="dxa"/>
                  <w:vAlign w:val="center"/>
                </w:tcPr>
                <w:p>
                  <w:pPr>
                    <w:jc w:val="center"/>
                    <w:rPr>
                      <w:color w:val="0000FF"/>
                      <w:szCs w:val="21"/>
                    </w:rPr>
                  </w:pPr>
                  <w:r>
                    <w:rPr>
                      <w:rFonts w:hint="eastAsia"/>
                      <w:color w:val="0000FF"/>
                      <w:szCs w:val="21"/>
                    </w:rPr>
                    <w:t>0.005</w:t>
                  </w:r>
                </w:p>
              </w:tc>
              <w:tc>
                <w:tcPr>
                  <w:tcW w:w="850" w:type="dxa"/>
                  <w:vAlign w:val="center"/>
                </w:tcPr>
                <w:p>
                  <w:pPr>
                    <w:jc w:val="center"/>
                    <w:rPr>
                      <w:color w:val="0000FF"/>
                      <w:szCs w:val="21"/>
                    </w:rPr>
                  </w:pPr>
                  <w:r>
                    <w:rPr>
                      <w:rFonts w:hint="eastAsia"/>
                      <w:color w:val="0000FF"/>
                      <w:szCs w:val="21"/>
                    </w:rPr>
                    <w:t>0.05</w:t>
                  </w:r>
                </w:p>
              </w:tc>
              <w:tc>
                <w:tcPr>
                  <w:tcW w:w="1271" w:type="dxa"/>
                  <w:vAlign w:val="center"/>
                </w:tcPr>
                <w:p>
                  <w:pPr>
                    <w:jc w:val="center"/>
                    <w:rPr>
                      <w:color w:val="0000FF"/>
                      <w:szCs w:val="21"/>
                    </w:rPr>
                  </w:pPr>
                  <w:r>
                    <w:rPr>
                      <w:rFonts w:hint="eastAsia"/>
                      <w:color w:val="0000FF"/>
                      <w:szCs w:val="21"/>
                    </w:rPr>
                    <w:t>100</w:t>
                  </w:r>
                </w:p>
              </w:tc>
            </w:tr>
          </w:tbl>
          <w:p>
            <w:pPr>
              <w:spacing w:line="360" w:lineRule="auto"/>
              <w:rPr>
                <w:b/>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trPr>
        <w:tc>
          <w:tcPr>
            <w:tcW w:w="445" w:type="dxa"/>
            <w:vAlign w:val="center"/>
          </w:tcPr>
          <w:p>
            <w:pPr>
              <w:spacing w:line="360" w:lineRule="auto"/>
              <w:jc w:val="center"/>
              <w:rPr>
                <w:b/>
                <w:bCs/>
                <w:sz w:val="28"/>
              </w:rPr>
            </w:pPr>
            <w:r>
              <w:rPr>
                <w:b/>
                <w:bCs/>
                <w:sz w:val="28"/>
              </w:rPr>
              <w:t>污染物排放标准</w:t>
            </w:r>
          </w:p>
        </w:tc>
        <w:tc>
          <w:tcPr>
            <w:tcW w:w="8084" w:type="dxa"/>
            <w:vAlign w:val="center"/>
          </w:tcPr>
          <w:p>
            <w:pPr>
              <w:pStyle w:val="94"/>
              <w:spacing w:beforeLines="50" w:line="360" w:lineRule="auto"/>
              <w:ind w:firstLine="0" w:firstLineChars="0"/>
              <w:rPr>
                <w:b/>
                <w:color w:val="0000FF"/>
                <w:spacing w:val="0"/>
                <w:sz w:val="24"/>
                <w:szCs w:val="28"/>
              </w:rPr>
            </w:pPr>
            <w:r>
              <w:rPr>
                <w:b/>
                <w:color w:val="0000FF"/>
                <w:spacing w:val="0"/>
                <w:sz w:val="24"/>
                <w:szCs w:val="28"/>
              </w:rPr>
              <w:t>1、噪声</w:t>
            </w:r>
          </w:p>
          <w:p>
            <w:pPr>
              <w:tabs>
                <w:tab w:val="left" w:pos="612"/>
              </w:tabs>
              <w:spacing w:line="360" w:lineRule="auto"/>
              <w:ind w:firstLine="480" w:firstLineChars="200"/>
              <w:rPr>
                <w:color w:val="0000FF"/>
                <w:sz w:val="24"/>
                <w:szCs w:val="28"/>
              </w:rPr>
            </w:pPr>
            <w:r>
              <w:rPr>
                <w:color w:val="0000FF"/>
                <w:sz w:val="24"/>
                <w:szCs w:val="28"/>
              </w:rPr>
              <w:t>施工噪声执行《建筑施工场界环境噪声排放标准》（GB12523-2011），指标见表</w:t>
            </w:r>
            <w:r>
              <w:rPr>
                <w:rFonts w:hint="eastAsia"/>
                <w:color w:val="0000FF"/>
                <w:sz w:val="24"/>
                <w:szCs w:val="28"/>
              </w:rPr>
              <w:t>17</w:t>
            </w:r>
            <w:r>
              <w:rPr>
                <w:color w:val="0000FF"/>
                <w:sz w:val="24"/>
                <w:szCs w:val="28"/>
              </w:rPr>
              <w:t>。</w:t>
            </w:r>
          </w:p>
          <w:p>
            <w:pPr>
              <w:widowControl/>
              <w:ind w:firstLine="600" w:firstLineChars="250"/>
              <w:jc w:val="center"/>
              <w:rPr>
                <w:b/>
                <w:color w:val="0000FF"/>
                <w:sz w:val="24"/>
              </w:rPr>
            </w:pPr>
            <w:r>
              <w:rPr>
                <w:b/>
                <w:color w:val="0000FF"/>
                <w:sz w:val="24"/>
              </w:rPr>
              <w:t>表</w:t>
            </w:r>
            <w:r>
              <w:rPr>
                <w:rFonts w:hint="eastAsia"/>
                <w:b/>
                <w:color w:val="0000FF"/>
                <w:sz w:val="24"/>
              </w:rPr>
              <w:t xml:space="preserve">17 </w:t>
            </w:r>
            <w:r>
              <w:rPr>
                <w:b/>
                <w:color w:val="0000FF"/>
                <w:sz w:val="24"/>
              </w:rPr>
              <w:t xml:space="preserve"> 建筑施工场界环境噪声排放标准  单位： dB(A)</w:t>
            </w:r>
          </w:p>
          <w:tbl>
            <w:tblPr>
              <w:tblStyle w:val="24"/>
              <w:tblW w:w="0" w:type="auto"/>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8"/>
              <w:gridCol w:w="392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48" w:type="dxa"/>
                </w:tcPr>
                <w:p>
                  <w:pPr>
                    <w:tabs>
                      <w:tab w:val="left" w:pos="612"/>
                    </w:tabs>
                    <w:jc w:val="center"/>
                    <w:rPr>
                      <w:color w:val="0000FF"/>
                      <w:szCs w:val="21"/>
                    </w:rPr>
                  </w:pPr>
                  <w:r>
                    <w:rPr>
                      <w:color w:val="0000FF"/>
                      <w:szCs w:val="21"/>
                    </w:rPr>
                    <w:t>昼间</w:t>
                  </w:r>
                </w:p>
              </w:tc>
              <w:tc>
                <w:tcPr>
                  <w:tcW w:w="3920" w:type="dxa"/>
                </w:tcPr>
                <w:p>
                  <w:pPr>
                    <w:tabs>
                      <w:tab w:val="left" w:pos="612"/>
                    </w:tabs>
                    <w:jc w:val="center"/>
                    <w:rPr>
                      <w:color w:val="0000FF"/>
                      <w:szCs w:val="21"/>
                    </w:rPr>
                  </w:pPr>
                  <w:r>
                    <w:rPr>
                      <w:color w:val="0000FF"/>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48" w:type="dxa"/>
                </w:tcPr>
                <w:p>
                  <w:pPr>
                    <w:tabs>
                      <w:tab w:val="left" w:pos="612"/>
                    </w:tabs>
                    <w:jc w:val="center"/>
                    <w:rPr>
                      <w:color w:val="0000FF"/>
                      <w:szCs w:val="21"/>
                    </w:rPr>
                  </w:pPr>
                  <w:r>
                    <w:rPr>
                      <w:color w:val="0000FF"/>
                      <w:szCs w:val="21"/>
                    </w:rPr>
                    <w:t>70</w:t>
                  </w:r>
                </w:p>
              </w:tc>
              <w:tc>
                <w:tcPr>
                  <w:tcW w:w="3920" w:type="dxa"/>
                </w:tcPr>
                <w:p>
                  <w:pPr>
                    <w:tabs>
                      <w:tab w:val="left" w:pos="612"/>
                    </w:tabs>
                    <w:jc w:val="center"/>
                    <w:rPr>
                      <w:color w:val="0000FF"/>
                      <w:szCs w:val="21"/>
                    </w:rPr>
                  </w:pPr>
                  <w:r>
                    <w:rPr>
                      <w:color w:val="0000FF"/>
                      <w:szCs w:val="21"/>
                    </w:rPr>
                    <w:t>55</w:t>
                  </w:r>
                </w:p>
              </w:tc>
            </w:tr>
          </w:tbl>
          <w:p>
            <w:pPr>
              <w:autoSpaceDE w:val="0"/>
              <w:autoSpaceDN w:val="0"/>
              <w:adjustRightInd w:val="0"/>
              <w:spacing w:line="360" w:lineRule="auto"/>
              <w:ind w:firstLine="480" w:firstLineChars="200"/>
              <w:textAlignment w:val="bottom"/>
              <w:rPr>
                <w:color w:val="0000FF"/>
                <w:kern w:val="0"/>
                <w:sz w:val="24"/>
              </w:rPr>
            </w:pPr>
            <w:r>
              <w:rPr>
                <w:color w:val="0000FF"/>
                <w:kern w:val="0"/>
                <w:sz w:val="24"/>
              </w:rPr>
              <w:t>项目运营期厂界噪声执行《工业企业厂界环境噪声排放标准》（GB12348-2008）中的</w:t>
            </w:r>
            <w:r>
              <w:rPr>
                <w:rFonts w:hint="eastAsia"/>
                <w:color w:val="0000FF"/>
                <w:kern w:val="0"/>
                <w:sz w:val="24"/>
              </w:rPr>
              <w:t>3</w:t>
            </w:r>
            <w:r>
              <w:rPr>
                <w:color w:val="0000FF"/>
                <w:kern w:val="0"/>
                <w:sz w:val="24"/>
              </w:rPr>
              <w:t>类标准，如表</w:t>
            </w:r>
            <w:r>
              <w:rPr>
                <w:rFonts w:hint="eastAsia"/>
                <w:color w:val="0000FF"/>
                <w:kern w:val="0"/>
                <w:sz w:val="24"/>
              </w:rPr>
              <w:t>18</w:t>
            </w:r>
            <w:r>
              <w:rPr>
                <w:color w:val="0000FF"/>
                <w:kern w:val="0"/>
                <w:sz w:val="24"/>
              </w:rPr>
              <w:t>所示。</w:t>
            </w:r>
          </w:p>
          <w:p>
            <w:pPr>
              <w:spacing w:beforeLines="30" w:line="360" w:lineRule="auto"/>
              <w:ind w:right="480"/>
              <w:jc w:val="center"/>
              <w:rPr>
                <w:b/>
                <w:color w:val="0000FF"/>
                <w:sz w:val="24"/>
              </w:rPr>
            </w:pPr>
            <w:r>
              <w:rPr>
                <w:b/>
                <w:color w:val="0000FF"/>
                <w:sz w:val="24"/>
              </w:rPr>
              <w:t>表</w:t>
            </w:r>
            <w:r>
              <w:rPr>
                <w:rFonts w:hint="eastAsia"/>
                <w:b/>
                <w:color w:val="0000FF"/>
                <w:sz w:val="24"/>
              </w:rPr>
              <w:t>18</w:t>
            </w:r>
            <w:r>
              <w:rPr>
                <w:b/>
                <w:color w:val="0000FF"/>
                <w:sz w:val="24"/>
              </w:rPr>
              <w:t xml:space="preserve"> </w:t>
            </w:r>
            <w:r>
              <w:rPr>
                <w:rFonts w:hint="eastAsia"/>
                <w:b/>
                <w:color w:val="0000FF"/>
                <w:sz w:val="24"/>
              </w:rPr>
              <w:t xml:space="preserve">  </w:t>
            </w:r>
            <w:r>
              <w:rPr>
                <w:b/>
                <w:color w:val="0000FF"/>
                <w:sz w:val="24"/>
              </w:rPr>
              <w:t>工业企业厂界噪声标准（摘录）单位：dB(A)</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34"/>
              <w:gridCol w:w="2567"/>
              <w:gridCol w:w="256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4" w:type="dxa"/>
                  <w:vAlign w:val="center"/>
                </w:tcPr>
                <w:p>
                  <w:pPr>
                    <w:autoSpaceDE w:val="0"/>
                    <w:autoSpaceDN w:val="0"/>
                    <w:adjustRightInd w:val="0"/>
                    <w:snapToGrid w:val="0"/>
                    <w:jc w:val="center"/>
                    <w:rPr>
                      <w:b/>
                      <w:color w:val="0000FF"/>
                      <w:szCs w:val="21"/>
                      <w:lang w:val="zh-CN"/>
                    </w:rPr>
                  </w:pPr>
                  <w:r>
                    <w:rPr>
                      <w:b/>
                      <w:color w:val="0000FF"/>
                      <w:szCs w:val="21"/>
                      <w:lang w:val="zh-CN"/>
                    </w:rPr>
                    <w:t>类别</w:t>
                  </w:r>
                </w:p>
              </w:tc>
              <w:tc>
                <w:tcPr>
                  <w:tcW w:w="2567" w:type="dxa"/>
                  <w:vAlign w:val="center"/>
                </w:tcPr>
                <w:p>
                  <w:pPr>
                    <w:autoSpaceDE w:val="0"/>
                    <w:autoSpaceDN w:val="0"/>
                    <w:adjustRightInd w:val="0"/>
                    <w:snapToGrid w:val="0"/>
                    <w:jc w:val="center"/>
                    <w:rPr>
                      <w:b/>
                      <w:color w:val="0000FF"/>
                      <w:szCs w:val="21"/>
                      <w:lang w:val="zh-CN"/>
                    </w:rPr>
                  </w:pPr>
                  <w:r>
                    <w:rPr>
                      <w:b/>
                      <w:color w:val="0000FF"/>
                      <w:szCs w:val="21"/>
                      <w:lang w:val="zh-CN"/>
                    </w:rPr>
                    <w:t>昼间</w:t>
                  </w:r>
                </w:p>
              </w:tc>
              <w:tc>
                <w:tcPr>
                  <w:tcW w:w="2567" w:type="dxa"/>
                  <w:vAlign w:val="center"/>
                </w:tcPr>
                <w:p>
                  <w:pPr>
                    <w:autoSpaceDE w:val="0"/>
                    <w:autoSpaceDN w:val="0"/>
                    <w:adjustRightInd w:val="0"/>
                    <w:snapToGrid w:val="0"/>
                    <w:jc w:val="center"/>
                    <w:rPr>
                      <w:b/>
                      <w:color w:val="0000FF"/>
                      <w:szCs w:val="21"/>
                      <w:lang w:val="zh-CN"/>
                    </w:rPr>
                  </w:pPr>
                  <w:r>
                    <w:rPr>
                      <w:b/>
                      <w:color w:val="0000FF"/>
                      <w:szCs w:val="21"/>
                      <w:lang w:val="zh-CN"/>
                    </w:rPr>
                    <w:t>夜间</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340" w:hRule="atLeast"/>
                <w:jc w:val="center"/>
              </w:trPr>
              <w:tc>
                <w:tcPr>
                  <w:tcW w:w="2734" w:type="dxa"/>
                  <w:vAlign w:val="center"/>
                </w:tcPr>
                <w:p>
                  <w:pPr>
                    <w:autoSpaceDE w:val="0"/>
                    <w:autoSpaceDN w:val="0"/>
                    <w:adjustRightInd w:val="0"/>
                    <w:snapToGrid w:val="0"/>
                    <w:jc w:val="center"/>
                    <w:rPr>
                      <w:color w:val="0000FF"/>
                      <w:szCs w:val="21"/>
                      <w:lang w:val="zh-CN"/>
                    </w:rPr>
                  </w:pPr>
                  <w:r>
                    <w:rPr>
                      <w:rFonts w:hint="eastAsia"/>
                      <w:color w:val="0000FF"/>
                      <w:szCs w:val="21"/>
                      <w:lang w:val="zh-CN"/>
                    </w:rPr>
                    <w:t>3</w:t>
                  </w:r>
                  <w:r>
                    <w:rPr>
                      <w:color w:val="0000FF"/>
                      <w:kern w:val="0"/>
                      <w:szCs w:val="21"/>
                    </w:rPr>
                    <w:t>类</w:t>
                  </w:r>
                </w:p>
              </w:tc>
              <w:tc>
                <w:tcPr>
                  <w:tcW w:w="2567" w:type="dxa"/>
                  <w:vAlign w:val="center"/>
                </w:tcPr>
                <w:p>
                  <w:pPr>
                    <w:autoSpaceDE w:val="0"/>
                    <w:autoSpaceDN w:val="0"/>
                    <w:adjustRightInd w:val="0"/>
                    <w:snapToGrid w:val="0"/>
                    <w:jc w:val="center"/>
                    <w:rPr>
                      <w:color w:val="0000FF"/>
                      <w:szCs w:val="21"/>
                      <w:lang w:val="zh-CN"/>
                    </w:rPr>
                  </w:pPr>
                  <w:r>
                    <w:rPr>
                      <w:color w:val="0000FF"/>
                      <w:szCs w:val="21"/>
                      <w:lang w:val="zh-CN"/>
                    </w:rPr>
                    <w:t>6</w:t>
                  </w:r>
                  <w:r>
                    <w:rPr>
                      <w:rFonts w:hint="eastAsia"/>
                      <w:color w:val="0000FF"/>
                      <w:szCs w:val="21"/>
                      <w:lang w:val="zh-CN"/>
                    </w:rPr>
                    <w:t>5</w:t>
                  </w:r>
                </w:p>
              </w:tc>
              <w:tc>
                <w:tcPr>
                  <w:tcW w:w="2567" w:type="dxa"/>
                  <w:vAlign w:val="center"/>
                </w:tcPr>
                <w:p>
                  <w:pPr>
                    <w:autoSpaceDE w:val="0"/>
                    <w:autoSpaceDN w:val="0"/>
                    <w:adjustRightInd w:val="0"/>
                    <w:snapToGrid w:val="0"/>
                    <w:jc w:val="center"/>
                    <w:rPr>
                      <w:color w:val="0000FF"/>
                      <w:szCs w:val="21"/>
                      <w:lang w:val="zh-CN"/>
                    </w:rPr>
                  </w:pPr>
                  <w:r>
                    <w:rPr>
                      <w:color w:val="0000FF"/>
                      <w:szCs w:val="21"/>
                      <w:lang w:val="zh-CN"/>
                    </w:rPr>
                    <w:t>5</w:t>
                  </w:r>
                  <w:r>
                    <w:rPr>
                      <w:rFonts w:hint="eastAsia"/>
                      <w:color w:val="0000FF"/>
                      <w:szCs w:val="21"/>
                      <w:lang w:val="zh-CN"/>
                    </w:rPr>
                    <w:t>5</w:t>
                  </w:r>
                </w:p>
              </w:tc>
            </w:tr>
          </w:tbl>
          <w:p>
            <w:pPr>
              <w:pStyle w:val="94"/>
              <w:spacing w:beforeLines="50" w:line="360" w:lineRule="auto"/>
              <w:ind w:firstLine="0" w:firstLineChars="0"/>
              <w:rPr>
                <w:b/>
                <w:color w:val="0000FF"/>
                <w:spacing w:val="0"/>
                <w:sz w:val="24"/>
                <w:szCs w:val="28"/>
              </w:rPr>
            </w:pPr>
            <w:r>
              <w:rPr>
                <w:rFonts w:hint="eastAsia"/>
                <w:b/>
                <w:color w:val="0000FF"/>
                <w:spacing w:val="0"/>
                <w:sz w:val="24"/>
                <w:szCs w:val="28"/>
              </w:rPr>
              <w:t>2</w:t>
            </w:r>
            <w:r>
              <w:rPr>
                <w:b/>
                <w:color w:val="0000FF"/>
                <w:spacing w:val="0"/>
                <w:sz w:val="24"/>
                <w:szCs w:val="28"/>
              </w:rPr>
              <w:t>、固废</w:t>
            </w:r>
          </w:p>
          <w:p>
            <w:pPr>
              <w:spacing w:line="360" w:lineRule="auto"/>
              <w:ind w:firstLine="480" w:firstLineChars="200"/>
              <w:rPr>
                <w:color w:val="0000FF"/>
                <w:sz w:val="24"/>
              </w:rPr>
            </w:pPr>
            <w:r>
              <w:rPr>
                <w:color w:val="0000FF"/>
                <w:sz w:val="24"/>
              </w:rPr>
              <w:t>项目固体废物排放执行《一般工业固体废物贮存、处置场污染控制标准》（GB18599-2001）及2013年修订版标准。</w:t>
            </w:r>
          </w:p>
          <w:p>
            <w:pPr>
              <w:pStyle w:val="94"/>
              <w:spacing w:beforeLines="50" w:line="360" w:lineRule="auto"/>
              <w:ind w:firstLine="0" w:firstLineChars="0"/>
              <w:rPr>
                <w:b/>
                <w:color w:val="0000FF"/>
                <w:spacing w:val="0"/>
                <w:sz w:val="24"/>
                <w:szCs w:val="28"/>
              </w:rPr>
            </w:pPr>
            <w:r>
              <w:rPr>
                <w:rFonts w:hint="eastAsia"/>
                <w:b/>
                <w:color w:val="0000FF"/>
                <w:spacing w:val="0"/>
                <w:sz w:val="24"/>
                <w:szCs w:val="28"/>
              </w:rPr>
              <w:t>3</w:t>
            </w:r>
            <w:r>
              <w:rPr>
                <w:b/>
                <w:color w:val="0000FF"/>
                <w:spacing w:val="0"/>
                <w:sz w:val="24"/>
                <w:szCs w:val="28"/>
              </w:rPr>
              <w:t>、废气</w:t>
            </w:r>
          </w:p>
          <w:p>
            <w:pPr>
              <w:spacing w:line="360" w:lineRule="auto"/>
              <w:ind w:firstLine="480" w:firstLineChars="200"/>
              <w:rPr>
                <w:rFonts w:hint="eastAsia"/>
                <w:color w:val="0000FF"/>
                <w:sz w:val="24"/>
              </w:rPr>
            </w:pPr>
            <w:r>
              <w:rPr>
                <w:color w:val="0000FF"/>
                <w:sz w:val="24"/>
              </w:rPr>
              <w:t>本项目运营期</w:t>
            </w:r>
            <w:r>
              <w:rPr>
                <w:rFonts w:hint="eastAsia"/>
                <w:color w:val="0000FF"/>
                <w:sz w:val="24"/>
              </w:rPr>
              <w:t>粉尘执行</w:t>
            </w:r>
            <w:r>
              <w:rPr>
                <w:color w:val="0000FF"/>
                <w:sz w:val="24"/>
              </w:rPr>
              <w:t>《</w:t>
            </w:r>
            <w:r>
              <w:rPr>
                <w:rFonts w:hint="eastAsia"/>
                <w:color w:val="0000FF"/>
                <w:sz w:val="24"/>
              </w:rPr>
              <w:t>煤炭工业污染物排放标准</w:t>
            </w:r>
            <w:r>
              <w:rPr>
                <w:color w:val="0000FF"/>
                <w:sz w:val="24"/>
              </w:rPr>
              <w:t>》（</w:t>
            </w:r>
            <w:r>
              <w:rPr>
                <w:rFonts w:hint="eastAsia"/>
                <w:color w:val="0000FF"/>
                <w:sz w:val="24"/>
              </w:rPr>
              <w:t>GB20426-2006</w:t>
            </w:r>
            <w:r>
              <w:rPr>
                <w:color w:val="0000FF"/>
                <w:sz w:val="24"/>
              </w:rPr>
              <w:t>）</w:t>
            </w:r>
            <w:r>
              <w:rPr>
                <w:rFonts w:hint="eastAsia"/>
                <w:color w:val="0000FF"/>
                <w:sz w:val="24"/>
              </w:rPr>
              <w:t>中表4和表5排放限值要求。</w:t>
            </w:r>
          </w:p>
          <w:p>
            <w:pPr>
              <w:spacing w:beforeLines="30" w:line="360" w:lineRule="auto"/>
              <w:ind w:right="480"/>
              <w:jc w:val="center"/>
              <w:rPr>
                <w:b/>
                <w:color w:val="0000FF"/>
                <w:sz w:val="24"/>
              </w:rPr>
            </w:pPr>
            <w:r>
              <w:rPr>
                <w:b/>
                <w:color w:val="0000FF"/>
                <w:sz w:val="24"/>
              </w:rPr>
              <w:t>表</w:t>
            </w:r>
            <w:r>
              <w:rPr>
                <w:rFonts w:hint="eastAsia"/>
                <w:b/>
                <w:color w:val="0000FF"/>
                <w:sz w:val="24"/>
              </w:rPr>
              <w:t>19 煤炭工业大气污染物排放标准</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3107"/>
              <w:gridCol w:w="3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1" w:type="dxa"/>
                  <w:vMerge w:val="restart"/>
                  <w:vAlign w:val="center"/>
                </w:tcPr>
                <w:p>
                  <w:pPr>
                    <w:autoSpaceDE w:val="0"/>
                    <w:autoSpaceDN w:val="0"/>
                    <w:spacing w:line="240" w:lineRule="atLeast"/>
                    <w:jc w:val="center"/>
                    <w:rPr>
                      <w:color w:val="0000FF"/>
                      <w:szCs w:val="21"/>
                    </w:rPr>
                  </w:pPr>
                  <w:r>
                    <w:rPr>
                      <w:color w:val="0000FF"/>
                      <w:szCs w:val="21"/>
                    </w:rPr>
                    <w:t>污染物</w:t>
                  </w:r>
                </w:p>
              </w:tc>
              <w:tc>
                <w:tcPr>
                  <w:tcW w:w="6623" w:type="dxa"/>
                  <w:gridSpan w:val="2"/>
                  <w:vAlign w:val="center"/>
                </w:tcPr>
                <w:p>
                  <w:pPr>
                    <w:autoSpaceDE w:val="0"/>
                    <w:autoSpaceDN w:val="0"/>
                    <w:spacing w:line="240" w:lineRule="atLeast"/>
                    <w:jc w:val="center"/>
                    <w:rPr>
                      <w:color w:val="0000FF"/>
                      <w:szCs w:val="21"/>
                    </w:rPr>
                  </w:pPr>
                  <w:r>
                    <w:rPr>
                      <w:color w:val="0000FF"/>
                      <w:szCs w:val="21"/>
                    </w:rPr>
                    <w:t>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1" w:type="dxa"/>
                  <w:vMerge w:val="continue"/>
                  <w:vAlign w:val="center"/>
                </w:tcPr>
                <w:p>
                  <w:pPr>
                    <w:autoSpaceDE w:val="0"/>
                    <w:autoSpaceDN w:val="0"/>
                    <w:spacing w:line="240" w:lineRule="atLeast"/>
                    <w:jc w:val="center"/>
                    <w:rPr>
                      <w:color w:val="0000FF"/>
                      <w:szCs w:val="21"/>
                    </w:rPr>
                  </w:pPr>
                </w:p>
              </w:tc>
              <w:tc>
                <w:tcPr>
                  <w:tcW w:w="3107" w:type="dxa"/>
                  <w:vAlign w:val="center"/>
                </w:tcPr>
                <w:p>
                  <w:pPr>
                    <w:autoSpaceDE w:val="0"/>
                    <w:autoSpaceDN w:val="0"/>
                    <w:spacing w:line="240" w:lineRule="atLeast"/>
                    <w:jc w:val="center"/>
                    <w:rPr>
                      <w:color w:val="0000FF"/>
                      <w:szCs w:val="21"/>
                    </w:rPr>
                  </w:pPr>
                  <w:r>
                    <w:rPr>
                      <w:color w:val="0000FF"/>
                      <w:szCs w:val="21"/>
                    </w:rPr>
                    <w:t>煤炭筛分、破碎、转载点等除尘设备</w:t>
                  </w:r>
                </w:p>
              </w:tc>
              <w:tc>
                <w:tcPr>
                  <w:tcW w:w="3516" w:type="dxa"/>
                  <w:vAlign w:val="center"/>
                </w:tcPr>
                <w:p>
                  <w:pPr>
                    <w:autoSpaceDE w:val="0"/>
                    <w:autoSpaceDN w:val="0"/>
                    <w:spacing w:line="240" w:lineRule="atLeast"/>
                    <w:jc w:val="center"/>
                    <w:rPr>
                      <w:color w:val="0000FF"/>
                      <w:szCs w:val="21"/>
                    </w:rPr>
                  </w:pPr>
                  <w:r>
                    <w:rPr>
                      <w:color w:val="0000FF"/>
                      <w:szCs w:val="21"/>
                    </w:rPr>
                    <w:t>煤炭风选设备通风管道、筛面、转载点等除尘设备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1" w:type="dxa"/>
                  <w:vAlign w:val="center"/>
                </w:tcPr>
                <w:p>
                  <w:pPr>
                    <w:autoSpaceDE w:val="0"/>
                    <w:autoSpaceDN w:val="0"/>
                    <w:spacing w:line="240" w:lineRule="atLeast"/>
                    <w:jc w:val="center"/>
                    <w:rPr>
                      <w:color w:val="0000FF"/>
                      <w:szCs w:val="21"/>
                    </w:rPr>
                  </w:pPr>
                  <w:r>
                    <w:rPr>
                      <w:color w:val="0000FF"/>
                      <w:szCs w:val="21"/>
                    </w:rPr>
                    <w:t>颗粒物</w:t>
                  </w:r>
                </w:p>
              </w:tc>
              <w:tc>
                <w:tcPr>
                  <w:tcW w:w="3107" w:type="dxa"/>
                  <w:vAlign w:val="center"/>
                </w:tcPr>
                <w:p>
                  <w:pPr>
                    <w:autoSpaceDE w:val="0"/>
                    <w:autoSpaceDN w:val="0"/>
                    <w:spacing w:line="240" w:lineRule="atLeast"/>
                    <w:jc w:val="center"/>
                    <w:rPr>
                      <w:color w:val="0000FF"/>
                      <w:szCs w:val="21"/>
                    </w:rPr>
                  </w:pPr>
                  <w:r>
                    <w:rPr>
                      <w:color w:val="0000FF"/>
                      <w:szCs w:val="21"/>
                    </w:rPr>
                    <w:t>80mg/m</w:t>
                  </w:r>
                  <w:r>
                    <w:rPr>
                      <w:color w:val="0000FF"/>
                      <w:szCs w:val="21"/>
                      <w:vertAlign w:val="superscript"/>
                    </w:rPr>
                    <w:t>3</w:t>
                  </w:r>
                  <w:r>
                    <w:rPr>
                      <w:color w:val="0000FF"/>
                      <w:szCs w:val="21"/>
                    </w:rPr>
                    <w:t>或设备去除效率&gt;98%</w:t>
                  </w:r>
                </w:p>
              </w:tc>
              <w:tc>
                <w:tcPr>
                  <w:tcW w:w="3516" w:type="dxa"/>
                  <w:vAlign w:val="center"/>
                </w:tcPr>
                <w:p>
                  <w:pPr>
                    <w:autoSpaceDE w:val="0"/>
                    <w:autoSpaceDN w:val="0"/>
                    <w:spacing w:line="240" w:lineRule="atLeast"/>
                    <w:jc w:val="center"/>
                    <w:rPr>
                      <w:color w:val="0000FF"/>
                      <w:szCs w:val="21"/>
                    </w:rPr>
                  </w:pPr>
                  <w:r>
                    <w:rPr>
                      <w:color w:val="0000FF"/>
                      <w:szCs w:val="21"/>
                    </w:rPr>
                    <w:t>80mg/m</w:t>
                  </w:r>
                  <w:r>
                    <w:rPr>
                      <w:color w:val="0000FF"/>
                      <w:szCs w:val="21"/>
                      <w:vertAlign w:val="superscript"/>
                    </w:rPr>
                    <w:t>3</w:t>
                  </w:r>
                  <w:r>
                    <w:rPr>
                      <w:color w:val="0000FF"/>
                      <w:szCs w:val="21"/>
                    </w:rPr>
                    <w:t>或设备去除效率&gt;98%</w:t>
                  </w:r>
                </w:p>
              </w:tc>
            </w:tr>
          </w:tbl>
          <w:p>
            <w:pPr>
              <w:pStyle w:val="94"/>
              <w:spacing w:line="360" w:lineRule="auto"/>
              <w:ind w:firstLine="522"/>
              <w:jc w:val="center"/>
              <w:rPr>
                <w:rFonts w:hint="eastAsia"/>
                <w:b/>
                <w:color w:val="0000FF"/>
                <w:sz w:val="24"/>
              </w:rPr>
            </w:pPr>
            <w:r>
              <w:rPr>
                <w:rFonts w:hint="eastAsia"/>
                <w:b/>
                <w:color w:val="0000FF"/>
                <w:sz w:val="24"/>
              </w:rPr>
              <w:t>表20  煤炭工业无组织排放限值</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76"/>
              <w:gridCol w:w="2552"/>
              <w:gridCol w:w="33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污染物</w:t>
                  </w:r>
                </w:p>
              </w:tc>
              <w:tc>
                <w:tcPr>
                  <w:tcW w:w="1276" w:type="dxa"/>
                  <w:vMerge w:val="restart"/>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监控点</w:t>
                  </w:r>
                </w:p>
              </w:tc>
              <w:tc>
                <w:tcPr>
                  <w:tcW w:w="5895" w:type="dxa"/>
                  <w:gridSpan w:val="2"/>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作业场所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pStyle w:val="94"/>
                    <w:spacing w:line="240" w:lineRule="auto"/>
                    <w:ind w:firstLine="0" w:firstLineChars="0"/>
                    <w:jc w:val="center"/>
                    <w:rPr>
                      <w:rFonts w:hint="eastAsia"/>
                      <w:color w:val="0000FF"/>
                      <w:sz w:val="21"/>
                      <w:szCs w:val="21"/>
                    </w:rPr>
                  </w:pPr>
                </w:p>
              </w:tc>
              <w:tc>
                <w:tcPr>
                  <w:tcW w:w="1276" w:type="dxa"/>
                  <w:vMerge w:val="continue"/>
                  <w:vAlign w:val="center"/>
                </w:tcPr>
                <w:p>
                  <w:pPr>
                    <w:pStyle w:val="94"/>
                    <w:spacing w:line="240" w:lineRule="auto"/>
                    <w:ind w:firstLine="0" w:firstLineChars="0"/>
                    <w:jc w:val="center"/>
                    <w:rPr>
                      <w:rFonts w:hint="eastAsia"/>
                      <w:color w:val="0000FF"/>
                      <w:sz w:val="21"/>
                      <w:szCs w:val="21"/>
                    </w:rPr>
                  </w:pPr>
                </w:p>
              </w:tc>
              <w:tc>
                <w:tcPr>
                  <w:tcW w:w="2552"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煤炭工业所属装卸场所</w:t>
                  </w:r>
                </w:p>
              </w:tc>
              <w:tc>
                <w:tcPr>
                  <w:tcW w:w="3343"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煤炭贮存场所、煤矸石堆置场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pStyle w:val="94"/>
                    <w:spacing w:line="240" w:lineRule="auto"/>
                    <w:ind w:firstLine="0" w:firstLineChars="0"/>
                    <w:jc w:val="center"/>
                    <w:rPr>
                      <w:rFonts w:hint="eastAsia"/>
                      <w:color w:val="0000FF"/>
                      <w:sz w:val="21"/>
                      <w:szCs w:val="21"/>
                    </w:rPr>
                  </w:pPr>
                </w:p>
              </w:tc>
              <w:tc>
                <w:tcPr>
                  <w:tcW w:w="1276" w:type="dxa"/>
                  <w:vMerge w:val="continue"/>
                  <w:vAlign w:val="center"/>
                </w:tcPr>
                <w:p>
                  <w:pPr>
                    <w:pStyle w:val="94"/>
                    <w:spacing w:line="240" w:lineRule="auto"/>
                    <w:ind w:firstLine="0" w:firstLineChars="0"/>
                    <w:jc w:val="center"/>
                    <w:rPr>
                      <w:rFonts w:hint="eastAsia"/>
                      <w:color w:val="0000FF"/>
                      <w:sz w:val="21"/>
                      <w:szCs w:val="21"/>
                    </w:rPr>
                  </w:pPr>
                </w:p>
              </w:tc>
              <w:tc>
                <w:tcPr>
                  <w:tcW w:w="2552"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无组织排放限值/（mg/m</w:t>
                  </w:r>
                  <w:r>
                    <w:rPr>
                      <w:rFonts w:hint="eastAsia"/>
                      <w:color w:val="0000FF"/>
                      <w:sz w:val="21"/>
                      <w:szCs w:val="21"/>
                      <w:vertAlign w:val="superscript"/>
                    </w:rPr>
                    <w:t>3</w:t>
                  </w:r>
                  <w:r>
                    <w:rPr>
                      <w:rFonts w:hint="eastAsia"/>
                      <w:color w:val="0000FF"/>
                      <w:sz w:val="21"/>
                      <w:szCs w:val="21"/>
                    </w:rPr>
                    <w:t>）（监控点与参考点浓度差值）</w:t>
                  </w:r>
                </w:p>
              </w:tc>
              <w:tc>
                <w:tcPr>
                  <w:tcW w:w="3343"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无组织排放限值/（mg/m</w:t>
                  </w:r>
                  <w:r>
                    <w:rPr>
                      <w:rFonts w:hint="eastAsia"/>
                      <w:color w:val="0000FF"/>
                      <w:sz w:val="21"/>
                      <w:szCs w:val="21"/>
                      <w:vertAlign w:val="superscript"/>
                    </w:rPr>
                    <w:t>3</w:t>
                  </w:r>
                  <w:r>
                    <w:rPr>
                      <w:rFonts w:hint="eastAsia"/>
                      <w:color w:val="0000FF"/>
                      <w:sz w:val="21"/>
                      <w:szCs w:val="21"/>
                    </w:rPr>
                    <w:t>）（监控点与参考点浓度差值）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颗粒物</w:t>
                  </w:r>
                </w:p>
              </w:tc>
              <w:tc>
                <w:tcPr>
                  <w:tcW w:w="1276"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周界外质量浓度最高点</w:t>
                  </w:r>
                  <w:r>
                    <w:rPr>
                      <w:rFonts w:hint="eastAsia"/>
                      <w:color w:val="0000FF"/>
                      <w:sz w:val="21"/>
                      <w:szCs w:val="21"/>
                      <w:vertAlign w:val="superscript"/>
                    </w:rPr>
                    <w:t>(1)</w:t>
                  </w:r>
                </w:p>
              </w:tc>
              <w:tc>
                <w:tcPr>
                  <w:tcW w:w="2552"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1.0</w:t>
                  </w:r>
                </w:p>
              </w:tc>
              <w:tc>
                <w:tcPr>
                  <w:tcW w:w="3343" w:type="dxa"/>
                  <w:vAlign w:val="center"/>
                </w:tcPr>
                <w:p>
                  <w:pPr>
                    <w:pStyle w:val="94"/>
                    <w:spacing w:line="240" w:lineRule="auto"/>
                    <w:ind w:firstLine="0" w:firstLineChars="0"/>
                    <w:jc w:val="center"/>
                    <w:rPr>
                      <w:rFonts w:hint="eastAsia"/>
                      <w:color w:val="0000FF"/>
                      <w:sz w:val="21"/>
                      <w:szCs w:val="21"/>
                    </w:rPr>
                  </w:pPr>
                  <w:r>
                    <w:rPr>
                      <w:rFonts w:hint="eastAsia"/>
                      <w:color w:val="0000FF"/>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53" w:type="dxa"/>
                  <w:gridSpan w:val="4"/>
                  <w:vAlign w:val="center"/>
                </w:tcPr>
                <w:p>
                  <w:pPr>
                    <w:pStyle w:val="94"/>
                    <w:spacing w:line="240" w:lineRule="auto"/>
                    <w:ind w:firstLine="0" w:firstLineChars="0"/>
                    <w:jc w:val="left"/>
                    <w:rPr>
                      <w:rFonts w:hint="eastAsia"/>
                      <w:color w:val="0000FF"/>
                      <w:sz w:val="21"/>
                      <w:szCs w:val="21"/>
                    </w:rPr>
                  </w:pPr>
                  <w:r>
                    <w:rPr>
                      <w:rFonts w:hint="eastAsia"/>
                      <w:color w:val="0000FF"/>
                      <w:sz w:val="21"/>
                      <w:szCs w:val="21"/>
                    </w:rPr>
                    <w:t>注（1）：周界外质量浓度最高点一般应设置于无组织排放源下风向的单位周界外10m范围内，若预计无组织排放的最大落地质量浓度点月出10m范围，可将监控点移至该预计质量浓度最高点</w:t>
                  </w:r>
                </w:p>
              </w:tc>
            </w:tr>
          </w:tbl>
          <w:p>
            <w:pPr>
              <w:pStyle w:val="94"/>
              <w:spacing w:line="360" w:lineRule="auto"/>
              <w:ind w:firstLine="52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45" w:type="dxa"/>
            <w:vAlign w:val="center"/>
          </w:tcPr>
          <w:p>
            <w:pPr>
              <w:spacing w:line="360" w:lineRule="auto"/>
              <w:jc w:val="center"/>
              <w:rPr>
                <w:b/>
                <w:bCs/>
                <w:color w:val="0000FF"/>
                <w:sz w:val="28"/>
              </w:rPr>
            </w:pPr>
            <w:r>
              <w:rPr>
                <w:b/>
                <w:bCs/>
                <w:color w:val="0000FF"/>
                <w:sz w:val="28"/>
              </w:rPr>
              <w:t>总量控制</w:t>
            </w:r>
          </w:p>
        </w:tc>
        <w:tc>
          <w:tcPr>
            <w:tcW w:w="8084" w:type="dxa"/>
            <w:vAlign w:val="center"/>
          </w:tcPr>
          <w:p>
            <w:pPr>
              <w:spacing w:line="360" w:lineRule="auto"/>
              <w:ind w:firstLine="560" w:firstLineChars="200"/>
              <w:rPr>
                <w:color w:val="0000FF"/>
                <w:sz w:val="28"/>
                <w:lang w:val="en-US" w:eastAsia="zh-CN"/>
              </w:rPr>
            </w:pPr>
            <w:r>
              <w:rPr>
                <w:rFonts w:hint="eastAsia"/>
                <w:color w:val="0000FF"/>
                <w:sz w:val="28"/>
                <w:lang w:val="en-US" w:eastAsia="zh-CN"/>
              </w:rPr>
              <w:t>本项目不设总量控制指标。</w:t>
            </w:r>
          </w:p>
        </w:tc>
      </w:tr>
    </w:tbl>
    <w:p>
      <w:pPr>
        <w:widowControl/>
        <w:spacing w:line="360" w:lineRule="auto"/>
        <w:ind w:firstLine="560"/>
        <w:rPr>
          <w:rFonts w:hint="eastAsia"/>
          <w:sz w:val="24"/>
        </w:r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建设项目工程分析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8529" w:type="dxa"/>
          </w:tcPr>
          <w:p>
            <w:pPr>
              <w:spacing w:line="360" w:lineRule="auto"/>
              <w:rPr>
                <w:sz w:val="24"/>
              </w:rPr>
            </w:pPr>
            <w:r>
              <w:rPr>
                <w:b/>
                <w:sz w:val="24"/>
              </w:rPr>
              <w:t>工艺流程简述</w:t>
            </w:r>
            <w:r>
              <w:rPr>
                <w:sz w:val="24"/>
              </w:rPr>
              <w:t>：</w:t>
            </w:r>
          </w:p>
          <w:p>
            <w:pPr>
              <w:pStyle w:val="94"/>
              <w:spacing w:beforeLines="50" w:line="360" w:lineRule="auto"/>
              <w:ind w:firstLine="0" w:firstLineChars="0"/>
              <w:rPr>
                <w:b/>
                <w:spacing w:val="0"/>
                <w:sz w:val="24"/>
                <w:szCs w:val="28"/>
              </w:rPr>
            </w:pPr>
            <w:r>
              <w:rPr>
                <w:b/>
                <w:spacing w:val="0"/>
                <w:sz w:val="24"/>
                <w:szCs w:val="28"/>
              </w:rPr>
              <w:t>1、施工期</w:t>
            </w:r>
          </w:p>
          <w:p>
            <w:pPr>
              <w:widowControl/>
              <w:spacing w:line="360" w:lineRule="auto"/>
              <w:jc w:val="center"/>
              <w:rPr>
                <w:rFonts w:hint="eastAsia"/>
              </w:rPr>
            </w:pPr>
            <w:r>
              <w:object>
                <v:shape id="_x0000_i1026" o:spt="75" type="#_x0000_t75" style="height:64.5pt;width:336pt;" o:ole="t" filled="f" o:preferrelative="t" stroked="f" coordsize="21600,21600">
                  <v:path/>
                  <v:fill on="f" focussize="0,0"/>
                  <v:stroke on="f" joinstyle="miter"/>
                  <v:imagedata r:id="rId18" o:title=""/>
                  <o:lock v:ext="edit" aspectratio="t"/>
                  <w10:wrap type="none"/>
                  <w10:anchorlock/>
                </v:shape>
                <o:OLEObject Type="Embed" ProgID="Visio.Drawing.11" ShapeID="_x0000_i1026" DrawAspect="Content" ObjectID="_1468075726" r:id="rId17">
                  <o:LockedField>false</o:LockedField>
                </o:OLEObject>
              </w:object>
            </w:r>
          </w:p>
          <w:p>
            <w:pPr>
              <w:widowControl/>
              <w:spacing w:line="360" w:lineRule="auto"/>
              <w:jc w:val="center"/>
              <w:rPr>
                <w:b/>
                <w:color w:val="0000FF"/>
                <w:sz w:val="24"/>
              </w:rPr>
            </w:pPr>
            <w:r>
              <w:rPr>
                <w:b/>
                <w:color w:val="0000FF"/>
                <w:sz w:val="24"/>
              </w:rPr>
              <w:t>图</w:t>
            </w:r>
            <w:r>
              <w:rPr>
                <w:rFonts w:hint="eastAsia"/>
                <w:b/>
                <w:color w:val="0000FF"/>
                <w:sz w:val="24"/>
              </w:rPr>
              <w:t xml:space="preserve">7 </w:t>
            </w:r>
            <w:r>
              <w:rPr>
                <w:b/>
                <w:color w:val="0000FF"/>
                <w:sz w:val="24"/>
              </w:rPr>
              <w:t xml:space="preserve"> 施工建设流程及污染物产生环节</w:t>
            </w:r>
          </w:p>
          <w:p>
            <w:pPr>
              <w:widowControl/>
              <w:spacing w:line="360" w:lineRule="auto"/>
              <w:ind w:firstLine="560"/>
              <w:rPr>
                <w:color w:val="0000FF"/>
                <w:sz w:val="24"/>
              </w:rPr>
            </w:pPr>
            <w:r>
              <w:rPr>
                <w:color w:val="0000FF"/>
                <w:sz w:val="24"/>
              </w:rPr>
              <w:t>本项目</w:t>
            </w:r>
            <w:r>
              <w:rPr>
                <w:rFonts w:hint="eastAsia"/>
                <w:color w:val="0000FF"/>
                <w:sz w:val="24"/>
              </w:rPr>
              <w:t>利用庆阳亿信肥业有限公司现有1跨厂房作为储煤库，并于预留用地上新建1座储煤库。</w:t>
            </w:r>
            <w:r>
              <w:rPr>
                <w:color w:val="0000FF"/>
                <w:sz w:val="24"/>
              </w:rPr>
              <w:t>施工主要流程有以下几个阶段：前期准备阶段、主体施工阶段、设备安装</w:t>
            </w:r>
            <w:r>
              <w:rPr>
                <w:rFonts w:hint="eastAsia"/>
                <w:color w:val="0000FF"/>
                <w:sz w:val="24"/>
              </w:rPr>
              <w:t>调试</w:t>
            </w:r>
            <w:r>
              <w:rPr>
                <w:color w:val="0000FF"/>
                <w:sz w:val="24"/>
              </w:rPr>
              <w:t>直至投入使用。</w:t>
            </w:r>
            <w:r>
              <w:rPr>
                <w:rFonts w:hint="eastAsia"/>
                <w:color w:val="0000FF"/>
                <w:sz w:val="24"/>
              </w:rPr>
              <w:t>目前项目已完成主体施工阶段，生产设备、环保设备尚未安装。因此本报告对项目施工期环境影响进行回顾性分析。</w:t>
            </w:r>
          </w:p>
          <w:p>
            <w:pPr>
              <w:widowControl/>
              <w:spacing w:line="360" w:lineRule="auto"/>
              <w:ind w:firstLine="560"/>
              <w:rPr>
                <w:color w:val="0000FF"/>
                <w:sz w:val="24"/>
              </w:rPr>
            </w:pPr>
            <w:r>
              <w:rPr>
                <w:color w:val="0000FF"/>
                <w:sz w:val="24"/>
              </w:rPr>
              <w:t>施工建设流程及污染物产生环节见图</w:t>
            </w:r>
            <w:r>
              <w:rPr>
                <w:rFonts w:hint="eastAsia"/>
                <w:color w:val="0000FF"/>
                <w:sz w:val="24"/>
              </w:rPr>
              <w:t>9</w:t>
            </w:r>
            <w:r>
              <w:rPr>
                <w:color w:val="0000FF"/>
                <w:sz w:val="24"/>
              </w:rPr>
              <w:t>。</w:t>
            </w:r>
          </w:p>
          <w:p>
            <w:pPr>
              <w:pStyle w:val="94"/>
              <w:spacing w:beforeLines="50" w:line="360" w:lineRule="auto"/>
              <w:ind w:firstLine="0" w:firstLineChars="0"/>
              <w:rPr>
                <w:b/>
                <w:color w:val="0000FF"/>
                <w:spacing w:val="0"/>
                <w:sz w:val="24"/>
                <w:szCs w:val="28"/>
              </w:rPr>
            </w:pPr>
            <w:r>
              <w:rPr>
                <w:b/>
                <w:color w:val="0000FF"/>
                <w:spacing w:val="0"/>
                <w:sz w:val="24"/>
                <w:szCs w:val="28"/>
              </w:rPr>
              <w:t>2、运营期</w:t>
            </w:r>
          </w:p>
          <w:p>
            <w:pPr>
              <w:spacing w:line="360" w:lineRule="auto"/>
              <w:ind w:firstLine="480" w:firstLineChars="200"/>
              <w:rPr>
                <w:rFonts w:hint="eastAsia"/>
                <w:color w:val="0000FF"/>
                <w:sz w:val="24"/>
              </w:rPr>
            </w:pPr>
            <w:r>
              <w:rPr>
                <w:color w:val="0000FF"/>
                <w:sz w:val="24"/>
              </w:rPr>
              <w:t>本项目</w:t>
            </w:r>
            <w:r>
              <w:rPr>
                <w:rFonts w:hint="eastAsia"/>
                <w:color w:val="0000FF"/>
                <w:sz w:val="24"/>
              </w:rPr>
              <w:t>自煤矿拉运煤炭至场区后主要进行筛分和装车，</w:t>
            </w:r>
            <w:r>
              <w:rPr>
                <w:color w:val="0000FF"/>
                <w:sz w:val="24"/>
              </w:rPr>
              <w:t>其工艺过程</w:t>
            </w:r>
            <w:r>
              <w:rPr>
                <w:rFonts w:hint="eastAsia"/>
                <w:color w:val="0000FF"/>
                <w:sz w:val="24"/>
              </w:rPr>
              <w:t>如下。</w:t>
            </w:r>
          </w:p>
          <w:p>
            <w:pPr>
              <w:spacing w:line="360" w:lineRule="auto"/>
              <w:jc w:val="center"/>
              <w:rPr>
                <w:sz w:val="24"/>
              </w:rPr>
            </w:pPr>
            <w:r>
              <w:object>
                <v:shape id="_x0000_i1027" o:spt="75" type="#_x0000_t75" style="height:59.25pt;width:415.5pt;" o:ole="t" filled="f" o:preferrelative="t" stroked="f" coordsize="21600,21600">
                  <v:path/>
                  <v:fill on="f" focussize="0,0"/>
                  <v:stroke on="f" joinstyle="miter"/>
                  <v:imagedata r:id="rId20" o:title=""/>
                  <o:lock v:ext="edit" aspectratio="t"/>
                  <w10:wrap type="none"/>
                  <w10:anchorlock/>
                </v:shape>
                <o:OLEObject Type="Embed" ProgID="Visio.Drawing.11" ShapeID="_x0000_i1027" DrawAspect="Content" ObjectID="_1468075727" r:id="rId19">
                  <o:LockedField>false</o:LockedField>
                </o:OLEObject>
              </w:object>
            </w:r>
          </w:p>
          <w:p>
            <w:pPr>
              <w:jc w:val="center"/>
              <w:rPr>
                <w:color w:val="0000FF"/>
                <w:sz w:val="28"/>
              </w:rPr>
            </w:pPr>
            <w:r>
              <w:rPr>
                <w:b/>
                <w:color w:val="0000FF"/>
                <w:sz w:val="24"/>
              </w:rPr>
              <w:t>图</w:t>
            </w:r>
            <w:r>
              <w:rPr>
                <w:rFonts w:hint="eastAsia"/>
                <w:b/>
                <w:color w:val="0000FF"/>
                <w:sz w:val="24"/>
              </w:rPr>
              <w:t>8</w:t>
            </w:r>
            <w:r>
              <w:rPr>
                <w:b/>
                <w:color w:val="0000FF"/>
                <w:sz w:val="24"/>
              </w:rPr>
              <w:t xml:space="preserve">  </w:t>
            </w:r>
            <w:r>
              <w:rPr>
                <w:rFonts w:hint="eastAsia"/>
                <w:b/>
                <w:color w:val="0000FF"/>
                <w:sz w:val="24"/>
              </w:rPr>
              <w:t>煤炭加工</w:t>
            </w:r>
            <w:r>
              <w:rPr>
                <w:b/>
                <w:color w:val="0000FF"/>
                <w:sz w:val="24"/>
              </w:rPr>
              <w:t>工艺</w:t>
            </w:r>
            <w:r>
              <w:rPr>
                <w:rFonts w:hint="eastAsia"/>
                <w:b/>
                <w:color w:val="0000FF"/>
                <w:sz w:val="24"/>
              </w:rPr>
              <w:t>及产污节点</w:t>
            </w:r>
            <w:r>
              <w:rPr>
                <w:b/>
                <w:color w:val="0000FF"/>
                <w:sz w:val="24"/>
              </w:rPr>
              <w:t>图</w:t>
            </w:r>
          </w:p>
          <w:p>
            <w:pPr>
              <w:spacing w:line="360" w:lineRule="auto"/>
              <w:ind w:firstLine="480" w:firstLineChars="200"/>
              <w:rPr>
                <w:rFonts w:hint="eastAsia"/>
                <w:bCs/>
                <w:color w:val="0000FF"/>
                <w:sz w:val="24"/>
              </w:rPr>
            </w:pPr>
            <w:r>
              <w:rPr>
                <w:rFonts w:hint="eastAsia"/>
                <w:bCs/>
                <w:color w:val="0000FF"/>
                <w:sz w:val="24"/>
              </w:rPr>
              <w:t>（1）煤炭入库：本项目为煤炭筛选加工项目，煤炭由运输车辆运进厂区，然后将煤炭卸入储煤仓库，卸车前洒水车向煤堆洒水，减少粉尘的产生与排放；储煤仓库全封闭，设喷淋洒水设施，加盖篷布。</w:t>
            </w:r>
          </w:p>
          <w:p>
            <w:pPr>
              <w:spacing w:line="360" w:lineRule="auto"/>
              <w:ind w:firstLine="480" w:firstLineChars="200"/>
              <w:rPr>
                <w:rFonts w:hint="eastAsia"/>
                <w:bCs/>
                <w:color w:val="0000FF"/>
                <w:sz w:val="24"/>
              </w:rPr>
            </w:pPr>
            <w:r>
              <w:rPr>
                <w:rFonts w:hint="eastAsia"/>
                <w:bCs/>
                <w:color w:val="0000FF"/>
                <w:sz w:val="24"/>
              </w:rPr>
              <w:t>（2）煤炭贮存、筛分：根据厂家要求，部分煤炭不进行筛分，直接装箱出厂即可。需筛分煤炭经皮带将煤炭运至筛分系统进行筛分，筛出不同粒径的产品由皮带运至成品区进行储存，用铲车将成品煤装入集装箱内，装车前洒水车同样对煤堆洒水，来减少粉尘的产生与排放。煤炭由厂区运出销售。</w:t>
            </w:r>
          </w:p>
          <w:p>
            <w:pPr>
              <w:pStyle w:val="94"/>
              <w:spacing w:beforeLines="50" w:line="360" w:lineRule="auto"/>
              <w:ind w:firstLine="0" w:firstLineChars="0"/>
              <w:rPr>
                <w:b/>
                <w:color w:val="0000FF"/>
                <w:spacing w:val="0"/>
                <w:sz w:val="24"/>
                <w:szCs w:val="28"/>
              </w:rPr>
            </w:pPr>
            <w:r>
              <w:rPr>
                <w:b/>
                <w:color w:val="0000FF"/>
                <w:spacing w:val="0"/>
                <w:sz w:val="24"/>
                <w:szCs w:val="28"/>
              </w:rPr>
              <w:t>3、主要污染工序</w:t>
            </w:r>
          </w:p>
          <w:p>
            <w:pPr>
              <w:pStyle w:val="104"/>
              <w:spacing w:line="360" w:lineRule="auto"/>
              <w:ind w:firstLine="480"/>
              <w:rPr>
                <w:rFonts w:eastAsia="宋体"/>
                <w:bCs/>
                <w:color w:val="0000FF"/>
                <w:spacing w:val="0"/>
                <w:sz w:val="24"/>
                <w:szCs w:val="28"/>
              </w:rPr>
            </w:pPr>
            <w:r>
              <w:rPr>
                <w:rFonts w:eastAsia="宋体"/>
                <w:bCs/>
                <w:color w:val="0000FF"/>
                <w:spacing w:val="0"/>
                <w:sz w:val="24"/>
                <w:szCs w:val="28"/>
              </w:rPr>
              <w:t>3.1施工期“三废”产生及排放</w:t>
            </w:r>
          </w:p>
          <w:p>
            <w:pPr>
              <w:pStyle w:val="104"/>
              <w:spacing w:line="360" w:lineRule="auto"/>
              <w:ind w:firstLine="480"/>
              <w:rPr>
                <w:rFonts w:eastAsia="宋体"/>
                <w:bCs/>
                <w:color w:val="0000FF"/>
                <w:spacing w:val="0"/>
                <w:sz w:val="24"/>
                <w:szCs w:val="28"/>
              </w:rPr>
            </w:pPr>
            <w:r>
              <w:rPr>
                <w:rFonts w:eastAsia="宋体"/>
                <w:bCs/>
                <w:color w:val="0000FF"/>
                <w:spacing w:val="0"/>
                <w:sz w:val="24"/>
                <w:szCs w:val="28"/>
              </w:rPr>
              <w:t>施工期主要污染工序见表</w:t>
            </w:r>
            <w:r>
              <w:rPr>
                <w:rFonts w:hint="eastAsia" w:eastAsia="宋体"/>
                <w:bCs/>
                <w:color w:val="0000FF"/>
                <w:spacing w:val="0"/>
                <w:sz w:val="24"/>
                <w:szCs w:val="28"/>
              </w:rPr>
              <w:t>21</w:t>
            </w:r>
            <w:r>
              <w:rPr>
                <w:rFonts w:eastAsia="宋体"/>
                <w:bCs/>
                <w:color w:val="0000FF"/>
                <w:spacing w:val="0"/>
                <w:sz w:val="24"/>
                <w:szCs w:val="28"/>
              </w:rPr>
              <w:t>。</w:t>
            </w:r>
          </w:p>
          <w:p>
            <w:pPr>
              <w:widowControl/>
              <w:ind w:firstLine="600" w:firstLineChars="250"/>
              <w:jc w:val="center"/>
              <w:rPr>
                <w:b/>
                <w:color w:val="0000FF"/>
                <w:sz w:val="24"/>
              </w:rPr>
            </w:pPr>
            <w:r>
              <w:rPr>
                <w:b/>
                <w:color w:val="0000FF"/>
                <w:sz w:val="24"/>
              </w:rPr>
              <w:t>表2</w:t>
            </w:r>
            <w:r>
              <w:rPr>
                <w:rFonts w:hint="eastAsia"/>
                <w:b/>
                <w:color w:val="0000FF"/>
                <w:sz w:val="24"/>
              </w:rPr>
              <w:t>1</w:t>
            </w:r>
            <w:r>
              <w:rPr>
                <w:b/>
                <w:color w:val="0000FF"/>
                <w:sz w:val="24"/>
              </w:rPr>
              <w:t xml:space="preserve">   施工期主要污染工序一览表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2148"/>
              <w:gridCol w:w="1962"/>
              <w:gridCol w:w="2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Align w:val="center"/>
                </w:tcPr>
                <w:p>
                  <w:pPr>
                    <w:jc w:val="center"/>
                    <w:rPr>
                      <w:bCs/>
                      <w:color w:val="0000FF"/>
                      <w:szCs w:val="21"/>
                      <w:lang w:val="en-US" w:eastAsia="zh-CN"/>
                    </w:rPr>
                  </w:pPr>
                  <w:r>
                    <w:rPr>
                      <w:bCs/>
                      <w:color w:val="0000FF"/>
                      <w:szCs w:val="21"/>
                      <w:lang w:val="en-US" w:eastAsia="zh-CN"/>
                    </w:rPr>
                    <w:t>污染类别</w:t>
                  </w:r>
                </w:p>
              </w:tc>
              <w:tc>
                <w:tcPr>
                  <w:tcW w:w="2148" w:type="dxa"/>
                  <w:vAlign w:val="center"/>
                </w:tcPr>
                <w:p>
                  <w:pPr>
                    <w:jc w:val="center"/>
                    <w:rPr>
                      <w:bCs/>
                      <w:color w:val="0000FF"/>
                      <w:szCs w:val="21"/>
                      <w:lang w:val="en-US" w:eastAsia="zh-CN"/>
                    </w:rPr>
                  </w:pPr>
                  <w:r>
                    <w:rPr>
                      <w:bCs/>
                      <w:color w:val="0000FF"/>
                      <w:szCs w:val="21"/>
                      <w:lang w:val="en-US" w:eastAsia="zh-CN"/>
                    </w:rPr>
                    <w:t>污染源名称</w:t>
                  </w:r>
                </w:p>
              </w:tc>
              <w:tc>
                <w:tcPr>
                  <w:tcW w:w="1962" w:type="dxa"/>
                  <w:vAlign w:val="center"/>
                </w:tcPr>
                <w:p>
                  <w:pPr>
                    <w:jc w:val="center"/>
                    <w:rPr>
                      <w:bCs/>
                      <w:color w:val="0000FF"/>
                      <w:szCs w:val="21"/>
                      <w:lang w:val="en-US" w:eastAsia="zh-CN"/>
                    </w:rPr>
                  </w:pPr>
                  <w:r>
                    <w:rPr>
                      <w:bCs/>
                      <w:color w:val="0000FF"/>
                      <w:szCs w:val="21"/>
                      <w:lang w:val="en-US" w:eastAsia="zh-CN"/>
                    </w:rPr>
                    <w:t>产生工序</w:t>
                  </w:r>
                </w:p>
              </w:tc>
              <w:tc>
                <w:tcPr>
                  <w:tcW w:w="2946" w:type="dxa"/>
                  <w:vAlign w:val="center"/>
                </w:tcPr>
                <w:p>
                  <w:pPr>
                    <w:jc w:val="center"/>
                    <w:rPr>
                      <w:bCs/>
                      <w:color w:val="0000FF"/>
                      <w:szCs w:val="21"/>
                      <w:lang w:val="en-US" w:eastAsia="zh-CN"/>
                    </w:rPr>
                  </w:pPr>
                  <w:r>
                    <w:rPr>
                      <w:bCs/>
                      <w:color w:val="0000FF"/>
                      <w:szCs w:val="21"/>
                      <w:lang w:val="en-US" w:eastAsia="zh-CN"/>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restart"/>
                  <w:vAlign w:val="center"/>
                </w:tcPr>
                <w:p>
                  <w:pPr>
                    <w:jc w:val="center"/>
                    <w:rPr>
                      <w:bCs/>
                      <w:color w:val="0000FF"/>
                      <w:szCs w:val="21"/>
                      <w:lang w:val="en-US" w:eastAsia="zh-CN"/>
                    </w:rPr>
                  </w:pPr>
                  <w:r>
                    <w:rPr>
                      <w:bCs/>
                      <w:color w:val="0000FF"/>
                      <w:szCs w:val="21"/>
                      <w:lang w:val="en-US" w:eastAsia="zh-CN"/>
                    </w:rPr>
                    <w:t>废气</w:t>
                  </w:r>
                </w:p>
              </w:tc>
              <w:tc>
                <w:tcPr>
                  <w:tcW w:w="2148" w:type="dxa"/>
                  <w:vAlign w:val="center"/>
                </w:tcPr>
                <w:p>
                  <w:pPr>
                    <w:jc w:val="center"/>
                    <w:rPr>
                      <w:bCs/>
                      <w:color w:val="0000FF"/>
                      <w:szCs w:val="21"/>
                      <w:lang w:val="en-US" w:eastAsia="zh-CN"/>
                    </w:rPr>
                  </w:pPr>
                  <w:r>
                    <w:rPr>
                      <w:color w:val="0000FF"/>
                      <w:szCs w:val="21"/>
                    </w:rPr>
                    <w:t>施工扬尘</w:t>
                  </w:r>
                </w:p>
              </w:tc>
              <w:tc>
                <w:tcPr>
                  <w:tcW w:w="1962" w:type="dxa"/>
                  <w:vAlign w:val="center"/>
                </w:tcPr>
                <w:p>
                  <w:pPr>
                    <w:jc w:val="center"/>
                    <w:rPr>
                      <w:bCs/>
                      <w:color w:val="0000FF"/>
                      <w:szCs w:val="21"/>
                      <w:lang w:val="en-US" w:eastAsia="zh-CN"/>
                    </w:rPr>
                  </w:pPr>
                  <w:r>
                    <w:rPr>
                      <w:bCs/>
                      <w:color w:val="0000FF"/>
                      <w:szCs w:val="21"/>
                      <w:lang w:val="en-US" w:eastAsia="zh-CN"/>
                    </w:rPr>
                    <w:t>施工过程</w:t>
                  </w:r>
                </w:p>
              </w:tc>
              <w:tc>
                <w:tcPr>
                  <w:tcW w:w="2946" w:type="dxa"/>
                  <w:vAlign w:val="center"/>
                </w:tcPr>
                <w:p>
                  <w:pPr>
                    <w:jc w:val="center"/>
                    <w:rPr>
                      <w:bCs/>
                      <w:color w:val="0000FF"/>
                      <w:szCs w:val="21"/>
                      <w:lang w:val="en-US" w:eastAsia="zh-CN"/>
                    </w:rPr>
                  </w:pPr>
                  <w:r>
                    <w:rPr>
                      <w:bCs/>
                      <w:color w:val="0000FF"/>
                      <w:szCs w:val="21"/>
                      <w:lang w:val="en-US" w:eastAsia="zh-CN"/>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continue"/>
                  <w:vAlign w:val="center"/>
                </w:tcPr>
                <w:p>
                  <w:pPr>
                    <w:jc w:val="center"/>
                    <w:rPr>
                      <w:bCs/>
                      <w:color w:val="0000FF"/>
                      <w:szCs w:val="21"/>
                      <w:lang w:val="en-US" w:eastAsia="zh-CN"/>
                    </w:rPr>
                  </w:pPr>
                </w:p>
              </w:tc>
              <w:tc>
                <w:tcPr>
                  <w:tcW w:w="2148" w:type="dxa"/>
                  <w:vAlign w:val="center"/>
                </w:tcPr>
                <w:p>
                  <w:pPr>
                    <w:jc w:val="center"/>
                    <w:rPr>
                      <w:color w:val="0000FF"/>
                      <w:szCs w:val="21"/>
                    </w:rPr>
                  </w:pPr>
                  <w:r>
                    <w:rPr>
                      <w:color w:val="0000FF"/>
                      <w:szCs w:val="21"/>
                    </w:rPr>
                    <w:t>机械燃油废气</w:t>
                  </w:r>
                </w:p>
              </w:tc>
              <w:tc>
                <w:tcPr>
                  <w:tcW w:w="1962" w:type="dxa"/>
                  <w:vAlign w:val="center"/>
                </w:tcPr>
                <w:p>
                  <w:pPr>
                    <w:jc w:val="center"/>
                    <w:rPr>
                      <w:bCs/>
                      <w:color w:val="0000FF"/>
                      <w:szCs w:val="21"/>
                      <w:lang w:val="en-US" w:eastAsia="zh-CN"/>
                    </w:rPr>
                  </w:pPr>
                  <w:r>
                    <w:rPr>
                      <w:bCs/>
                      <w:color w:val="0000FF"/>
                      <w:szCs w:val="21"/>
                      <w:lang w:val="en-US" w:eastAsia="zh-CN"/>
                    </w:rPr>
                    <w:t>施工过程</w:t>
                  </w:r>
                </w:p>
              </w:tc>
              <w:tc>
                <w:tcPr>
                  <w:tcW w:w="2946" w:type="dxa"/>
                  <w:vAlign w:val="center"/>
                </w:tcPr>
                <w:p>
                  <w:pPr>
                    <w:jc w:val="center"/>
                    <w:rPr>
                      <w:bCs/>
                      <w:color w:val="0000FF"/>
                      <w:szCs w:val="21"/>
                      <w:lang w:val="en-US" w:eastAsia="zh-CN"/>
                    </w:rPr>
                  </w:pPr>
                  <w:r>
                    <w:rPr>
                      <w:color w:val="0000FF"/>
                      <w:szCs w:val="28"/>
                    </w:rPr>
                    <w:t>SO</w:t>
                  </w:r>
                  <w:r>
                    <w:rPr>
                      <w:color w:val="0000FF"/>
                      <w:szCs w:val="28"/>
                      <w:vertAlign w:val="subscript"/>
                    </w:rPr>
                    <w:t>2</w:t>
                  </w:r>
                  <w:r>
                    <w:rPr>
                      <w:color w:val="0000FF"/>
                      <w:szCs w:val="28"/>
                    </w:rPr>
                    <w:t>、CO、NO</w:t>
                  </w:r>
                  <w:r>
                    <w:rPr>
                      <w:color w:val="0000FF"/>
                      <w:szCs w:val="28"/>
                      <w:vertAlign w:val="subscript"/>
                    </w:rPr>
                    <w:t>2</w:t>
                  </w:r>
                  <w:r>
                    <w:rPr>
                      <w:color w:val="0000FF"/>
                      <w:szCs w:val="28"/>
                    </w:rPr>
                    <w:t>、TSP、总烃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restart"/>
                  <w:vAlign w:val="center"/>
                </w:tcPr>
                <w:p>
                  <w:pPr>
                    <w:jc w:val="center"/>
                    <w:rPr>
                      <w:bCs/>
                      <w:color w:val="0000FF"/>
                      <w:szCs w:val="21"/>
                      <w:lang w:val="en-US" w:eastAsia="zh-CN"/>
                    </w:rPr>
                  </w:pPr>
                  <w:r>
                    <w:rPr>
                      <w:bCs/>
                      <w:color w:val="0000FF"/>
                      <w:szCs w:val="21"/>
                      <w:lang w:val="en-US" w:eastAsia="zh-CN"/>
                    </w:rPr>
                    <w:t>废水</w:t>
                  </w:r>
                </w:p>
              </w:tc>
              <w:tc>
                <w:tcPr>
                  <w:tcW w:w="2148" w:type="dxa"/>
                  <w:vAlign w:val="center"/>
                </w:tcPr>
                <w:p>
                  <w:pPr>
                    <w:jc w:val="center"/>
                    <w:rPr>
                      <w:bCs/>
                      <w:color w:val="0000FF"/>
                      <w:szCs w:val="21"/>
                      <w:lang w:val="en-US" w:eastAsia="zh-CN"/>
                    </w:rPr>
                  </w:pPr>
                  <w:r>
                    <w:rPr>
                      <w:bCs/>
                      <w:color w:val="0000FF"/>
                      <w:szCs w:val="21"/>
                      <w:lang w:val="en-US" w:eastAsia="zh-CN"/>
                    </w:rPr>
                    <w:t>生活污水</w:t>
                  </w:r>
                </w:p>
              </w:tc>
              <w:tc>
                <w:tcPr>
                  <w:tcW w:w="1962" w:type="dxa"/>
                  <w:vAlign w:val="center"/>
                </w:tcPr>
                <w:p>
                  <w:pPr>
                    <w:jc w:val="center"/>
                    <w:rPr>
                      <w:bCs/>
                      <w:color w:val="0000FF"/>
                      <w:szCs w:val="21"/>
                      <w:lang w:val="en-US" w:eastAsia="zh-CN"/>
                    </w:rPr>
                  </w:pPr>
                  <w:r>
                    <w:rPr>
                      <w:bCs/>
                      <w:color w:val="0000FF"/>
                      <w:szCs w:val="21"/>
                      <w:lang w:val="en-US" w:eastAsia="zh-CN"/>
                    </w:rPr>
                    <w:t>施工人员生活</w:t>
                  </w:r>
                </w:p>
              </w:tc>
              <w:tc>
                <w:tcPr>
                  <w:tcW w:w="2946" w:type="dxa"/>
                  <w:vAlign w:val="center"/>
                </w:tcPr>
                <w:p>
                  <w:pPr>
                    <w:jc w:val="center"/>
                    <w:rPr>
                      <w:bCs/>
                      <w:color w:val="0000FF"/>
                      <w:szCs w:val="21"/>
                      <w:lang w:val="en-US" w:eastAsia="zh-CN"/>
                    </w:rPr>
                  </w:pPr>
                  <w:r>
                    <w:rPr>
                      <w:bCs/>
                      <w:color w:val="0000FF"/>
                      <w:szCs w:val="21"/>
                      <w:lang w:val="en-US" w:eastAsia="zh-CN"/>
                    </w:rPr>
                    <w:t>SS、COD、BOD</w:t>
                  </w:r>
                  <w:r>
                    <w:rPr>
                      <w:bCs/>
                      <w:color w:val="0000FF"/>
                      <w:szCs w:val="21"/>
                      <w:vertAlign w:val="subscript"/>
                      <w:lang w:val="en-US" w:eastAsia="zh-CN"/>
                    </w:rPr>
                    <w:t>5</w:t>
                  </w:r>
                  <w:r>
                    <w:rPr>
                      <w:bCs/>
                      <w:color w:val="0000FF"/>
                      <w:szCs w:val="21"/>
                      <w:lang w:val="en-US" w:eastAsia="zh-CN"/>
                    </w:rPr>
                    <w:t>、NH</w:t>
                  </w:r>
                  <w:r>
                    <w:rPr>
                      <w:bCs/>
                      <w:color w:val="0000FF"/>
                      <w:szCs w:val="21"/>
                      <w:vertAlign w:val="subscript"/>
                      <w:lang w:val="en-US" w:eastAsia="zh-CN"/>
                    </w:rPr>
                    <w:t>3</w:t>
                  </w:r>
                  <w:r>
                    <w:rPr>
                      <w:rFonts w:hint="eastAsia"/>
                      <w:bCs/>
                      <w:color w:val="0000FF"/>
                      <w:szCs w:val="21"/>
                      <w:lang w:val="en-US" w:eastAsia="zh-CN"/>
                    </w:rPr>
                    <w:t>-</w:t>
                  </w:r>
                  <w:r>
                    <w:rPr>
                      <w:bCs/>
                      <w:color w:val="0000FF"/>
                      <w:szCs w:val="21"/>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continue"/>
                  <w:vAlign w:val="center"/>
                </w:tcPr>
                <w:p>
                  <w:pPr>
                    <w:jc w:val="center"/>
                    <w:rPr>
                      <w:bCs/>
                      <w:color w:val="0000FF"/>
                      <w:szCs w:val="21"/>
                      <w:lang w:val="en-US" w:eastAsia="zh-CN"/>
                    </w:rPr>
                  </w:pPr>
                </w:p>
              </w:tc>
              <w:tc>
                <w:tcPr>
                  <w:tcW w:w="2148" w:type="dxa"/>
                  <w:vAlign w:val="center"/>
                </w:tcPr>
                <w:p>
                  <w:pPr>
                    <w:jc w:val="center"/>
                    <w:rPr>
                      <w:bCs/>
                      <w:color w:val="0000FF"/>
                      <w:szCs w:val="21"/>
                      <w:lang w:val="en-US" w:eastAsia="zh-CN"/>
                    </w:rPr>
                  </w:pPr>
                  <w:r>
                    <w:rPr>
                      <w:bCs/>
                      <w:color w:val="0000FF"/>
                      <w:szCs w:val="21"/>
                      <w:lang w:val="en-US" w:eastAsia="zh-CN"/>
                    </w:rPr>
                    <w:t>施工废水</w:t>
                  </w:r>
                </w:p>
              </w:tc>
              <w:tc>
                <w:tcPr>
                  <w:tcW w:w="1962" w:type="dxa"/>
                  <w:vAlign w:val="center"/>
                </w:tcPr>
                <w:p>
                  <w:pPr>
                    <w:jc w:val="center"/>
                    <w:rPr>
                      <w:bCs/>
                      <w:color w:val="0000FF"/>
                      <w:szCs w:val="21"/>
                      <w:lang w:val="en-US" w:eastAsia="zh-CN"/>
                    </w:rPr>
                  </w:pPr>
                  <w:r>
                    <w:rPr>
                      <w:bCs/>
                      <w:color w:val="0000FF"/>
                      <w:szCs w:val="21"/>
                      <w:lang w:val="en-US" w:eastAsia="zh-CN"/>
                    </w:rPr>
                    <w:t>施工过程</w:t>
                  </w:r>
                </w:p>
              </w:tc>
              <w:tc>
                <w:tcPr>
                  <w:tcW w:w="2946" w:type="dxa"/>
                  <w:vAlign w:val="center"/>
                </w:tcPr>
                <w:p>
                  <w:pPr>
                    <w:jc w:val="center"/>
                    <w:rPr>
                      <w:bCs/>
                      <w:color w:val="0000FF"/>
                      <w:szCs w:val="21"/>
                      <w:lang w:val="en-US" w:eastAsia="zh-CN"/>
                    </w:rPr>
                  </w:pPr>
                  <w:r>
                    <w:rPr>
                      <w:bCs/>
                      <w:color w:val="0000FF"/>
                      <w:szCs w:val="21"/>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Align w:val="center"/>
                </w:tcPr>
                <w:p>
                  <w:pPr>
                    <w:jc w:val="center"/>
                    <w:rPr>
                      <w:bCs/>
                      <w:color w:val="0000FF"/>
                      <w:szCs w:val="21"/>
                      <w:lang w:val="en-US" w:eastAsia="zh-CN"/>
                    </w:rPr>
                  </w:pPr>
                  <w:r>
                    <w:rPr>
                      <w:bCs/>
                      <w:color w:val="0000FF"/>
                      <w:szCs w:val="21"/>
                      <w:lang w:val="en-US" w:eastAsia="zh-CN"/>
                    </w:rPr>
                    <w:t>噪声</w:t>
                  </w:r>
                </w:p>
              </w:tc>
              <w:tc>
                <w:tcPr>
                  <w:tcW w:w="2148" w:type="dxa"/>
                  <w:vAlign w:val="center"/>
                </w:tcPr>
                <w:p>
                  <w:pPr>
                    <w:jc w:val="center"/>
                    <w:rPr>
                      <w:bCs/>
                      <w:color w:val="0000FF"/>
                      <w:szCs w:val="21"/>
                      <w:lang w:val="en-US" w:eastAsia="zh-CN"/>
                    </w:rPr>
                  </w:pPr>
                  <w:r>
                    <w:rPr>
                      <w:bCs/>
                      <w:color w:val="0000FF"/>
                      <w:szCs w:val="21"/>
                      <w:lang w:val="en-US" w:eastAsia="zh-CN"/>
                    </w:rPr>
                    <w:t>生产设备噪声</w:t>
                  </w:r>
                </w:p>
              </w:tc>
              <w:tc>
                <w:tcPr>
                  <w:tcW w:w="1962" w:type="dxa"/>
                  <w:vAlign w:val="center"/>
                </w:tcPr>
                <w:p>
                  <w:pPr>
                    <w:jc w:val="center"/>
                    <w:rPr>
                      <w:bCs/>
                      <w:color w:val="0000FF"/>
                      <w:szCs w:val="21"/>
                      <w:lang w:val="en-US" w:eastAsia="zh-CN"/>
                    </w:rPr>
                  </w:pPr>
                  <w:r>
                    <w:rPr>
                      <w:bCs/>
                      <w:color w:val="0000FF"/>
                      <w:szCs w:val="21"/>
                      <w:lang w:val="en-US" w:eastAsia="zh-CN"/>
                    </w:rPr>
                    <w:t>施工过程</w:t>
                  </w:r>
                </w:p>
              </w:tc>
              <w:tc>
                <w:tcPr>
                  <w:tcW w:w="2946" w:type="dxa"/>
                  <w:vAlign w:val="center"/>
                </w:tcPr>
                <w:p>
                  <w:pPr>
                    <w:jc w:val="center"/>
                    <w:rPr>
                      <w:bCs/>
                      <w:color w:val="0000FF"/>
                      <w:szCs w:val="21"/>
                      <w:lang w:val="en-US" w:eastAsia="zh-CN"/>
                    </w:rPr>
                  </w:pPr>
                  <w:r>
                    <w:rPr>
                      <w:bCs/>
                      <w:color w:val="0000FF"/>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restart"/>
                  <w:vAlign w:val="center"/>
                </w:tcPr>
                <w:p>
                  <w:pPr>
                    <w:jc w:val="center"/>
                    <w:rPr>
                      <w:bCs/>
                      <w:color w:val="0000FF"/>
                      <w:szCs w:val="21"/>
                      <w:lang w:val="en-US" w:eastAsia="zh-CN"/>
                    </w:rPr>
                  </w:pPr>
                  <w:r>
                    <w:rPr>
                      <w:bCs/>
                      <w:color w:val="0000FF"/>
                      <w:szCs w:val="21"/>
                      <w:lang w:val="en-US" w:eastAsia="zh-CN"/>
                    </w:rPr>
                    <w:t>固废</w:t>
                  </w:r>
                </w:p>
              </w:tc>
              <w:tc>
                <w:tcPr>
                  <w:tcW w:w="2148" w:type="dxa"/>
                  <w:vAlign w:val="center"/>
                </w:tcPr>
                <w:p>
                  <w:pPr>
                    <w:jc w:val="center"/>
                    <w:rPr>
                      <w:bCs/>
                      <w:color w:val="0000FF"/>
                      <w:szCs w:val="21"/>
                      <w:lang w:val="en-US" w:eastAsia="zh-CN"/>
                    </w:rPr>
                  </w:pPr>
                  <w:r>
                    <w:rPr>
                      <w:bCs/>
                      <w:color w:val="0000FF"/>
                      <w:szCs w:val="21"/>
                      <w:lang w:val="en-US" w:eastAsia="zh-CN"/>
                    </w:rPr>
                    <w:t>生活固废</w:t>
                  </w:r>
                </w:p>
              </w:tc>
              <w:tc>
                <w:tcPr>
                  <w:tcW w:w="1962" w:type="dxa"/>
                  <w:vAlign w:val="center"/>
                </w:tcPr>
                <w:p>
                  <w:pPr>
                    <w:jc w:val="center"/>
                    <w:rPr>
                      <w:bCs/>
                      <w:color w:val="0000FF"/>
                      <w:szCs w:val="21"/>
                      <w:lang w:val="en-US" w:eastAsia="zh-CN"/>
                    </w:rPr>
                  </w:pPr>
                  <w:r>
                    <w:rPr>
                      <w:bCs/>
                      <w:color w:val="0000FF"/>
                      <w:szCs w:val="21"/>
                      <w:lang w:val="en-US" w:eastAsia="zh-CN"/>
                    </w:rPr>
                    <w:t>施工人员生活</w:t>
                  </w:r>
                </w:p>
              </w:tc>
              <w:tc>
                <w:tcPr>
                  <w:tcW w:w="2946" w:type="dxa"/>
                  <w:vAlign w:val="center"/>
                </w:tcPr>
                <w:p>
                  <w:pPr>
                    <w:jc w:val="center"/>
                    <w:rPr>
                      <w:bCs/>
                      <w:color w:val="0000FF"/>
                      <w:szCs w:val="21"/>
                      <w:lang w:val="en-US" w:eastAsia="zh-CN"/>
                    </w:rPr>
                  </w:pPr>
                  <w:r>
                    <w:rPr>
                      <w:bCs/>
                      <w:color w:val="0000FF"/>
                      <w:szCs w:val="21"/>
                      <w:lang w:val="en-US" w:eastAsia="zh-CN"/>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vMerge w:val="continue"/>
                  <w:vAlign w:val="center"/>
                </w:tcPr>
                <w:p>
                  <w:pPr>
                    <w:jc w:val="center"/>
                    <w:rPr>
                      <w:bCs/>
                      <w:color w:val="0000FF"/>
                      <w:szCs w:val="21"/>
                      <w:lang w:val="en-US" w:eastAsia="zh-CN"/>
                    </w:rPr>
                  </w:pPr>
                </w:p>
              </w:tc>
              <w:tc>
                <w:tcPr>
                  <w:tcW w:w="2148" w:type="dxa"/>
                  <w:vAlign w:val="center"/>
                </w:tcPr>
                <w:p>
                  <w:pPr>
                    <w:jc w:val="center"/>
                    <w:rPr>
                      <w:bCs/>
                      <w:color w:val="0000FF"/>
                      <w:szCs w:val="21"/>
                      <w:lang w:val="en-US" w:eastAsia="zh-CN"/>
                    </w:rPr>
                  </w:pPr>
                  <w:r>
                    <w:rPr>
                      <w:bCs/>
                      <w:color w:val="0000FF"/>
                      <w:szCs w:val="21"/>
                      <w:lang w:val="en-US" w:eastAsia="zh-CN"/>
                    </w:rPr>
                    <w:t>建筑垃圾</w:t>
                  </w:r>
                </w:p>
              </w:tc>
              <w:tc>
                <w:tcPr>
                  <w:tcW w:w="1962" w:type="dxa"/>
                  <w:vAlign w:val="center"/>
                </w:tcPr>
                <w:p>
                  <w:pPr>
                    <w:jc w:val="center"/>
                    <w:rPr>
                      <w:bCs/>
                      <w:color w:val="0000FF"/>
                      <w:szCs w:val="21"/>
                      <w:lang w:val="en-US" w:eastAsia="zh-CN"/>
                    </w:rPr>
                  </w:pPr>
                  <w:r>
                    <w:rPr>
                      <w:bCs/>
                      <w:color w:val="0000FF"/>
                      <w:szCs w:val="21"/>
                      <w:lang w:val="en-US" w:eastAsia="zh-CN"/>
                    </w:rPr>
                    <w:t>施工过程</w:t>
                  </w:r>
                </w:p>
              </w:tc>
              <w:tc>
                <w:tcPr>
                  <w:tcW w:w="2946" w:type="dxa"/>
                  <w:vAlign w:val="center"/>
                </w:tcPr>
                <w:p>
                  <w:pPr>
                    <w:jc w:val="center"/>
                    <w:rPr>
                      <w:bCs/>
                      <w:color w:val="0000FF"/>
                      <w:szCs w:val="21"/>
                      <w:lang w:val="en-US" w:eastAsia="zh-CN"/>
                    </w:rPr>
                  </w:pPr>
                  <w:r>
                    <w:rPr>
                      <w:bCs/>
                      <w:color w:val="0000FF"/>
                      <w:szCs w:val="21"/>
                      <w:lang w:val="en-US" w:eastAsia="zh-CN"/>
                    </w:rPr>
                    <w:t>土石方、建材等建筑垃圾</w:t>
                  </w:r>
                </w:p>
              </w:tc>
            </w:tr>
          </w:tbl>
          <w:p>
            <w:pPr>
              <w:pStyle w:val="91"/>
              <w:spacing w:line="360" w:lineRule="auto"/>
              <w:ind w:firstLine="560"/>
              <w:rPr>
                <w:rFonts w:hint="eastAsia"/>
                <w:bCs/>
                <w:color w:val="0000FF"/>
                <w:spacing w:val="0"/>
                <w:szCs w:val="28"/>
              </w:rPr>
            </w:pPr>
            <w:r>
              <w:rPr>
                <w:rFonts w:hint="eastAsia"/>
                <w:bCs/>
                <w:color w:val="0000FF"/>
                <w:spacing w:val="0"/>
                <w:szCs w:val="28"/>
              </w:rPr>
              <w:t>根据业主提供施工高峰期施工人员为25人。</w:t>
            </w:r>
          </w:p>
          <w:p>
            <w:pPr>
              <w:pStyle w:val="91"/>
              <w:spacing w:line="360" w:lineRule="auto"/>
              <w:ind w:firstLine="560"/>
              <w:rPr>
                <w:color w:val="0000FF"/>
                <w:szCs w:val="28"/>
              </w:rPr>
            </w:pPr>
            <w:r>
              <w:rPr>
                <w:bCs/>
                <w:color w:val="0000FF"/>
                <w:spacing w:val="0"/>
                <w:szCs w:val="28"/>
              </w:rPr>
              <w:t>（1）</w:t>
            </w:r>
            <w:r>
              <w:rPr>
                <w:color w:val="0000FF"/>
                <w:szCs w:val="28"/>
              </w:rPr>
              <w:t>废气</w:t>
            </w:r>
          </w:p>
          <w:p>
            <w:pPr>
              <w:pStyle w:val="95"/>
              <w:adjustRightInd/>
              <w:snapToGrid/>
              <w:ind w:firstLine="480"/>
              <w:jc w:val="left"/>
              <w:rPr>
                <w:rFonts w:eastAsia="宋体"/>
                <w:color w:val="0000FF"/>
                <w:sz w:val="24"/>
                <w:szCs w:val="28"/>
              </w:rPr>
            </w:pPr>
            <w:r>
              <w:rPr>
                <w:rFonts w:eastAsia="宋体"/>
                <w:color w:val="0000FF"/>
                <w:sz w:val="24"/>
                <w:szCs w:val="28"/>
              </w:rPr>
              <w:t>本项目施工期对大气环境的影响主要表现在材料堆置产生的扬尘及车辆、施工机械排放的废气。</w:t>
            </w:r>
          </w:p>
          <w:p>
            <w:pPr>
              <w:pStyle w:val="95"/>
              <w:adjustRightInd/>
              <w:snapToGrid/>
              <w:ind w:firstLine="480"/>
              <w:jc w:val="left"/>
              <w:rPr>
                <w:rFonts w:eastAsia="宋体"/>
                <w:color w:val="0000FF"/>
                <w:sz w:val="24"/>
                <w:szCs w:val="28"/>
              </w:rPr>
            </w:pPr>
            <w:r>
              <w:rPr>
                <w:rFonts w:hint="eastAsia" w:ascii="宋体" w:hAnsi="宋体" w:eastAsia="宋体" w:cs="宋体"/>
                <w:color w:val="0000FF"/>
                <w:sz w:val="24"/>
                <w:szCs w:val="28"/>
              </w:rPr>
              <w:t>①</w:t>
            </w:r>
            <w:r>
              <w:rPr>
                <w:rFonts w:eastAsia="宋体"/>
                <w:color w:val="0000FF"/>
                <w:sz w:val="24"/>
                <w:szCs w:val="28"/>
              </w:rPr>
              <w:t>施工扬尘</w:t>
            </w:r>
          </w:p>
          <w:p>
            <w:pPr>
              <w:autoSpaceDE w:val="0"/>
              <w:autoSpaceDN w:val="0"/>
              <w:spacing w:line="360" w:lineRule="auto"/>
              <w:ind w:firstLine="470" w:firstLineChars="196"/>
              <w:jc w:val="left"/>
              <w:rPr>
                <w:color w:val="0000FF"/>
                <w:sz w:val="24"/>
                <w:szCs w:val="28"/>
              </w:rPr>
            </w:pPr>
            <w:r>
              <w:rPr>
                <w:color w:val="0000FF"/>
                <w:sz w:val="24"/>
                <w:szCs w:val="28"/>
              </w:rPr>
              <w:t>在工程基建建设过程中，水泥、砂砾料、土料等的运输过程及车辆行驶时产生的扬尘、物料及配拌合过程搅拌扬尘、场地自身等各种施工作业都会产生扬尘。扬尘首先直接危害现场施工人员的健康，其次随风吹扬影响周围大气环境，并使大气能见度降低。</w:t>
            </w:r>
          </w:p>
          <w:p>
            <w:pPr>
              <w:autoSpaceDE w:val="0"/>
              <w:autoSpaceDN w:val="0"/>
              <w:spacing w:line="360" w:lineRule="auto"/>
              <w:ind w:left="549"/>
              <w:jc w:val="left"/>
              <w:rPr>
                <w:color w:val="0000FF"/>
                <w:sz w:val="24"/>
                <w:szCs w:val="28"/>
              </w:rPr>
            </w:pPr>
            <w:r>
              <w:rPr>
                <w:rFonts w:hint="eastAsia" w:ascii="宋体" w:hAnsi="宋体" w:cs="宋体"/>
                <w:color w:val="0000FF"/>
                <w:sz w:val="24"/>
                <w:szCs w:val="28"/>
              </w:rPr>
              <w:t>②</w:t>
            </w:r>
            <w:r>
              <w:rPr>
                <w:color w:val="0000FF"/>
                <w:sz w:val="24"/>
                <w:szCs w:val="28"/>
              </w:rPr>
              <w:t>施工机械燃油废气</w:t>
            </w:r>
          </w:p>
          <w:p>
            <w:pPr>
              <w:spacing w:line="360" w:lineRule="auto"/>
              <w:ind w:firstLine="480" w:firstLineChars="200"/>
              <w:rPr>
                <w:color w:val="0000FF"/>
                <w:sz w:val="24"/>
                <w:szCs w:val="28"/>
              </w:rPr>
            </w:pPr>
            <w:r>
              <w:rPr>
                <w:color w:val="0000FF"/>
                <w:sz w:val="24"/>
                <w:szCs w:val="28"/>
              </w:rPr>
              <w:t>施工机械主要有推土机、挖土机、装载机、载重汽车等燃油机械，燃油所产生的废气中的主要污染物有SO</w:t>
            </w:r>
            <w:r>
              <w:rPr>
                <w:color w:val="0000FF"/>
                <w:sz w:val="24"/>
                <w:szCs w:val="28"/>
                <w:vertAlign w:val="subscript"/>
              </w:rPr>
              <w:t>2</w:t>
            </w:r>
            <w:r>
              <w:rPr>
                <w:color w:val="0000FF"/>
                <w:sz w:val="24"/>
                <w:szCs w:val="28"/>
              </w:rPr>
              <w:t>、CO、NO</w:t>
            </w:r>
            <w:r>
              <w:rPr>
                <w:color w:val="0000FF"/>
                <w:sz w:val="24"/>
                <w:szCs w:val="28"/>
                <w:vertAlign w:val="subscript"/>
              </w:rPr>
              <w:t>2</w:t>
            </w:r>
            <w:r>
              <w:rPr>
                <w:color w:val="0000FF"/>
                <w:sz w:val="24"/>
                <w:szCs w:val="28"/>
              </w:rPr>
              <w:t>、TSP、总烃。由于施工机械多数为大型机械，排放系数大，但施工作业具有无组织排放，不连续性、施工点分散，每个作业点施工时间相对较短，燃油动力机械为间断作业，且数量不多等特点，因此其排放的污染物仅对施工区域近距离的环境空气质量产生影响。</w:t>
            </w:r>
          </w:p>
          <w:p>
            <w:pPr>
              <w:spacing w:line="360" w:lineRule="auto"/>
              <w:ind w:firstLine="480" w:firstLineChars="200"/>
              <w:rPr>
                <w:color w:val="0000FF"/>
                <w:sz w:val="24"/>
                <w:szCs w:val="28"/>
              </w:rPr>
            </w:pPr>
            <w:r>
              <w:rPr>
                <w:color w:val="0000FF"/>
                <w:sz w:val="24"/>
                <w:szCs w:val="28"/>
              </w:rPr>
              <w:t>（2）废水</w:t>
            </w:r>
          </w:p>
          <w:p>
            <w:pPr>
              <w:autoSpaceDE w:val="0"/>
              <w:autoSpaceDN w:val="0"/>
              <w:adjustRightInd w:val="0"/>
              <w:spacing w:line="360" w:lineRule="auto"/>
              <w:ind w:firstLine="480" w:firstLineChars="200"/>
              <w:jc w:val="left"/>
              <w:rPr>
                <w:color w:val="0000FF"/>
                <w:sz w:val="24"/>
                <w:szCs w:val="28"/>
              </w:rPr>
            </w:pPr>
            <w:r>
              <w:rPr>
                <w:color w:val="0000FF"/>
                <w:sz w:val="24"/>
                <w:szCs w:val="28"/>
              </w:rPr>
              <w:t>施工期废水主要包括生产废水和生活</w:t>
            </w:r>
            <w:r>
              <w:rPr>
                <w:rFonts w:hint="eastAsia"/>
                <w:color w:val="0000FF"/>
                <w:sz w:val="24"/>
                <w:szCs w:val="28"/>
              </w:rPr>
              <w:t>污</w:t>
            </w:r>
            <w:r>
              <w:rPr>
                <w:color w:val="0000FF"/>
                <w:sz w:val="24"/>
                <w:szCs w:val="28"/>
              </w:rPr>
              <w:t>水。</w:t>
            </w:r>
          </w:p>
          <w:p>
            <w:pPr>
              <w:spacing w:line="360" w:lineRule="auto"/>
              <w:ind w:left="560"/>
              <w:rPr>
                <w:color w:val="0000FF"/>
                <w:sz w:val="24"/>
                <w:szCs w:val="28"/>
              </w:rPr>
            </w:pPr>
            <w:r>
              <w:rPr>
                <w:rFonts w:hint="eastAsia" w:ascii="宋体" w:hAnsi="宋体" w:cs="宋体"/>
                <w:color w:val="0000FF"/>
                <w:sz w:val="24"/>
                <w:szCs w:val="28"/>
              </w:rPr>
              <w:t>①</w:t>
            </w:r>
            <w:r>
              <w:rPr>
                <w:color w:val="0000FF"/>
                <w:sz w:val="24"/>
                <w:szCs w:val="28"/>
              </w:rPr>
              <w:t>施工废水</w:t>
            </w:r>
          </w:p>
          <w:p>
            <w:pPr>
              <w:spacing w:line="360" w:lineRule="auto"/>
              <w:ind w:firstLine="480" w:firstLineChars="200"/>
              <w:jc w:val="left"/>
              <w:rPr>
                <w:color w:val="0000FF"/>
                <w:sz w:val="24"/>
                <w:szCs w:val="28"/>
              </w:rPr>
            </w:pPr>
            <w:r>
              <w:rPr>
                <w:color w:val="0000FF"/>
                <w:sz w:val="24"/>
                <w:szCs w:val="28"/>
              </w:rPr>
              <w:t>项目施工期生产废水包括地面冲洗带来的建筑废水、砂石料冲洗废水等。</w:t>
            </w:r>
          </w:p>
          <w:p>
            <w:pPr>
              <w:spacing w:line="360" w:lineRule="auto"/>
              <w:ind w:firstLine="480" w:firstLineChars="200"/>
              <w:rPr>
                <w:color w:val="0000FF"/>
                <w:sz w:val="24"/>
                <w:szCs w:val="28"/>
              </w:rPr>
            </w:pPr>
            <w:r>
              <w:rPr>
                <w:color w:val="0000FF"/>
                <w:sz w:val="24"/>
                <w:szCs w:val="28"/>
              </w:rPr>
              <w:t>生产废水排放的随意性较大，会顺着地势流向低洼处，这些废水含有大量的泥沙。因此，项目施工方应在施工场地内修建一些简易沟渠或沉淀池，将建筑废水引入沉淀池进行沉淀处理，处理后回用。</w:t>
            </w:r>
          </w:p>
          <w:p>
            <w:pPr>
              <w:spacing w:line="360" w:lineRule="auto"/>
              <w:ind w:left="560"/>
              <w:rPr>
                <w:color w:val="0000FF"/>
                <w:sz w:val="24"/>
                <w:szCs w:val="28"/>
              </w:rPr>
            </w:pPr>
            <w:r>
              <w:rPr>
                <w:rFonts w:hint="eastAsia" w:ascii="宋体" w:hAnsi="宋体" w:cs="宋体"/>
                <w:color w:val="0000FF"/>
                <w:sz w:val="24"/>
                <w:szCs w:val="28"/>
              </w:rPr>
              <w:t>②</w:t>
            </w:r>
            <w:r>
              <w:rPr>
                <w:color w:val="0000FF"/>
                <w:sz w:val="24"/>
                <w:szCs w:val="28"/>
              </w:rPr>
              <w:t>生活</w:t>
            </w:r>
            <w:r>
              <w:rPr>
                <w:rFonts w:hint="eastAsia"/>
                <w:color w:val="0000FF"/>
                <w:sz w:val="24"/>
                <w:szCs w:val="28"/>
              </w:rPr>
              <w:t>污</w:t>
            </w:r>
            <w:r>
              <w:rPr>
                <w:color w:val="0000FF"/>
                <w:sz w:val="24"/>
                <w:szCs w:val="28"/>
              </w:rPr>
              <w:t>水</w:t>
            </w:r>
          </w:p>
          <w:p>
            <w:pPr>
              <w:autoSpaceDE w:val="0"/>
              <w:autoSpaceDN w:val="0"/>
              <w:spacing w:line="360" w:lineRule="auto"/>
              <w:ind w:firstLine="480" w:firstLineChars="200"/>
              <w:jc w:val="left"/>
              <w:rPr>
                <w:color w:val="0000FF"/>
                <w:kern w:val="0"/>
                <w:sz w:val="24"/>
              </w:rPr>
            </w:pPr>
            <w:r>
              <w:rPr>
                <w:color w:val="0000FF"/>
                <w:sz w:val="24"/>
                <w:szCs w:val="28"/>
              </w:rPr>
              <w:t>施工期高峰人数约为</w:t>
            </w:r>
            <w:r>
              <w:rPr>
                <w:rFonts w:hint="eastAsia"/>
                <w:color w:val="0000FF"/>
                <w:sz w:val="24"/>
                <w:szCs w:val="28"/>
              </w:rPr>
              <w:t>25</w:t>
            </w:r>
            <w:r>
              <w:rPr>
                <w:color w:val="0000FF"/>
                <w:sz w:val="24"/>
                <w:szCs w:val="28"/>
              </w:rPr>
              <w:t>人，施工总工期为</w:t>
            </w:r>
            <w:r>
              <w:rPr>
                <w:rFonts w:hint="eastAsia"/>
                <w:color w:val="0000FF"/>
                <w:sz w:val="24"/>
                <w:szCs w:val="28"/>
              </w:rPr>
              <w:t>3</w:t>
            </w:r>
            <w:r>
              <w:rPr>
                <w:color w:val="0000FF"/>
                <w:sz w:val="24"/>
                <w:szCs w:val="28"/>
              </w:rPr>
              <w:t>个月，生活总用水量为</w:t>
            </w:r>
            <w:r>
              <w:rPr>
                <w:rFonts w:hint="eastAsia"/>
                <w:color w:val="0000FF"/>
                <w:sz w:val="24"/>
                <w:szCs w:val="28"/>
              </w:rPr>
              <w:t>225</w:t>
            </w:r>
            <w:r>
              <w:rPr>
                <w:color w:val="0000FF"/>
                <w:sz w:val="24"/>
                <w:szCs w:val="28"/>
              </w:rPr>
              <w:t>t/施工周期，排水系数按80%计，则生活</w:t>
            </w:r>
            <w:r>
              <w:rPr>
                <w:rFonts w:hint="eastAsia"/>
                <w:color w:val="0000FF"/>
                <w:sz w:val="24"/>
                <w:szCs w:val="28"/>
              </w:rPr>
              <w:t>污</w:t>
            </w:r>
            <w:r>
              <w:rPr>
                <w:color w:val="0000FF"/>
                <w:sz w:val="24"/>
                <w:szCs w:val="28"/>
              </w:rPr>
              <w:t>水排放量为</w:t>
            </w:r>
            <w:r>
              <w:rPr>
                <w:rFonts w:hint="eastAsia"/>
                <w:color w:val="0000FF"/>
                <w:sz w:val="24"/>
                <w:szCs w:val="28"/>
              </w:rPr>
              <w:t>180</w:t>
            </w:r>
            <w:r>
              <w:rPr>
                <w:color w:val="0000FF"/>
                <w:sz w:val="24"/>
                <w:szCs w:val="28"/>
              </w:rPr>
              <w:t>t/施工周期，主要污染物排放浓度：COD约300mg/L，</w:t>
            </w:r>
            <w:r>
              <w:rPr>
                <w:rFonts w:hint="eastAsia"/>
                <w:color w:val="0000FF"/>
                <w:sz w:val="24"/>
                <w:szCs w:val="28"/>
              </w:rPr>
              <w:t>0.054</w:t>
            </w:r>
            <w:r>
              <w:rPr>
                <w:color w:val="0000FF"/>
                <w:sz w:val="24"/>
                <w:szCs w:val="28"/>
              </w:rPr>
              <w:t>t/施工周期；BOD</w:t>
            </w:r>
            <w:r>
              <w:rPr>
                <w:color w:val="0000FF"/>
                <w:sz w:val="24"/>
                <w:szCs w:val="28"/>
                <w:vertAlign w:val="subscript"/>
              </w:rPr>
              <w:t>5</w:t>
            </w:r>
            <w:r>
              <w:rPr>
                <w:color w:val="0000FF"/>
                <w:sz w:val="24"/>
                <w:szCs w:val="28"/>
              </w:rPr>
              <w:t>约200mg/L，</w:t>
            </w:r>
            <w:r>
              <w:rPr>
                <w:rFonts w:hint="eastAsia"/>
                <w:color w:val="0000FF"/>
                <w:sz w:val="24"/>
                <w:szCs w:val="28"/>
              </w:rPr>
              <w:t>0.036</w:t>
            </w:r>
            <w:r>
              <w:rPr>
                <w:color w:val="0000FF"/>
                <w:sz w:val="24"/>
                <w:szCs w:val="28"/>
              </w:rPr>
              <w:t>t/施工周期；SS约220mg/L，</w:t>
            </w:r>
            <w:r>
              <w:rPr>
                <w:rFonts w:hint="eastAsia"/>
                <w:color w:val="0000FF"/>
                <w:sz w:val="24"/>
                <w:szCs w:val="28"/>
              </w:rPr>
              <w:t>0.0396</w:t>
            </w:r>
            <w:r>
              <w:rPr>
                <w:color w:val="0000FF"/>
                <w:sz w:val="24"/>
                <w:szCs w:val="28"/>
              </w:rPr>
              <w:t>t/施工周期；氨氮约35mg/L，</w:t>
            </w:r>
            <w:r>
              <w:rPr>
                <w:rFonts w:hint="eastAsia"/>
                <w:color w:val="0000FF"/>
                <w:sz w:val="24"/>
                <w:szCs w:val="28"/>
              </w:rPr>
              <w:t>0.0063</w:t>
            </w:r>
            <w:r>
              <w:rPr>
                <w:color w:val="0000FF"/>
                <w:sz w:val="24"/>
                <w:szCs w:val="28"/>
              </w:rPr>
              <w:t>t/施工周期</w:t>
            </w:r>
            <w:r>
              <w:rPr>
                <w:rFonts w:hint="eastAsia"/>
                <w:color w:val="0000FF"/>
                <w:sz w:val="24"/>
                <w:szCs w:val="28"/>
              </w:rPr>
              <w:t>，生活废水依托亿信肥业有限公司现有化粪池进行处理后由亿信肥业有限公司统一拉运至宁县污水处理厂进行处理</w:t>
            </w:r>
            <w:r>
              <w:rPr>
                <w:color w:val="0000FF"/>
                <w:sz w:val="24"/>
                <w:szCs w:val="28"/>
              </w:rPr>
              <w:t>。</w:t>
            </w:r>
          </w:p>
          <w:p>
            <w:pPr>
              <w:spacing w:line="360" w:lineRule="auto"/>
              <w:ind w:left="560"/>
              <w:rPr>
                <w:color w:val="0000FF"/>
                <w:sz w:val="24"/>
                <w:szCs w:val="28"/>
              </w:rPr>
            </w:pPr>
            <w:r>
              <w:rPr>
                <w:color w:val="0000FF"/>
                <w:sz w:val="24"/>
                <w:szCs w:val="28"/>
              </w:rPr>
              <w:t>（3）噪声</w:t>
            </w:r>
          </w:p>
          <w:p>
            <w:pPr>
              <w:spacing w:line="360" w:lineRule="auto"/>
              <w:ind w:firstLine="480" w:firstLineChars="200"/>
              <w:rPr>
                <w:bCs/>
                <w:color w:val="0000FF"/>
                <w:sz w:val="24"/>
              </w:rPr>
            </w:pPr>
            <w:r>
              <w:rPr>
                <w:bCs/>
                <w:color w:val="0000FF"/>
                <w:sz w:val="24"/>
              </w:rPr>
              <w:t>施工期使用推土机、挖掘机、电焊机、拌和机、运输车辆等机械设备，产生的噪声主要为机械噪声，源强为</w:t>
            </w:r>
            <w:r>
              <w:rPr>
                <w:color w:val="0000FF"/>
                <w:sz w:val="24"/>
                <w:szCs w:val="28"/>
              </w:rPr>
              <w:t>70～100</w:t>
            </w:r>
            <w:r>
              <w:rPr>
                <w:bCs/>
                <w:color w:val="0000FF"/>
                <w:sz w:val="24"/>
              </w:rPr>
              <w:t>dB（A），其特点是具有突发性和间歇性，主要施工机械噪声强度见表2</w:t>
            </w:r>
            <w:r>
              <w:rPr>
                <w:rFonts w:hint="eastAsia"/>
                <w:bCs/>
                <w:color w:val="0000FF"/>
                <w:sz w:val="24"/>
              </w:rPr>
              <w:t>2</w:t>
            </w:r>
            <w:r>
              <w:rPr>
                <w:bCs/>
                <w:color w:val="0000FF"/>
                <w:sz w:val="24"/>
              </w:rPr>
              <w:t>。</w:t>
            </w:r>
          </w:p>
          <w:p>
            <w:pPr>
              <w:widowControl/>
              <w:ind w:firstLine="600" w:firstLineChars="250"/>
              <w:jc w:val="center"/>
              <w:rPr>
                <w:b/>
                <w:color w:val="0000FF"/>
                <w:sz w:val="24"/>
              </w:rPr>
            </w:pPr>
            <w:r>
              <w:rPr>
                <w:b/>
                <w:color w:val="0000FF"/>
                <w:sz w:val="24"/>
              </w:rPr>
              <w:t>表2</w:t>
            </w:r>
            <w:r>
              <w:rPr>
                <w:rFonts w:hint="eastAsia"/>
                <w:b/>
                <w:color w:val="0000FF"/>
                <w:sz w:val="24"/>
              </w:rPr>
              <w:t>2</w:t>
            </w:r>
            <w:r>
              <w:rPr>
                <w:b/>
                <w:color w:val="0000FF"/>
                <w:sz w:val="24"/>
              </w:rPr>
              <w:t xml:space="preserve">  主要施工机械噪声强度表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8"/>
              <w:gridCol w:w="4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12" w:space="0"/>
                    <w:bottom w:val="single" w:color="auto" w:sz="4" w:space="0"/>
                  </w:tcBorders>
                </w:tcPr>
                <w:p>
                  <w:pPr>
                    <w:jc w:val="center"/>
                    <w:rPr>
                      <w:color w:val="0000FF"/>
                      <w:szCs w:val="21"/>
                    </w:rPr>
                  </w:pPr>
                  <w:r>
                    <w:rPr>
                      <w:color w:val="0000FF"/>
                      <w:szCs w:val="21"/>
                    </w:rPr>
                    <w:t>设备名称</w:t>
                  </w:r>
                </w:p>
              </w:tc>
              <w:tc>
                <w:tcPr>
                  <w:tcW w:w="4175" w:type="dxa"/>
                  <w:tcBorders>
                    <w:top w:val="single" w:color="auto" w:sz="12" w:space="0"/>
                    <w:bottom w:val="single" w:color="auto" w:sz="4" w:space="0"/>
                  </w:tcBorders>
                </w:tcPr>
                <w:p>
                  <w:pPr>
                    <w:jc w:val="center"/>
                    <w:rPr>
                      <w:color w:val="0000FF"/>
                      <w:szCs w:val="21"/>
                    </w:rPr>
                  </w:pPr>
                  <w:r>
                    <w:rPr>
                      <w:color w:val="0000FF"/>
                      <w:szCs w:val="21"/>
                    </w:rPr>
                    <w:t>噪声强度[dB(A)]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4" w:space="0"/>
                  </w:tcBorders>
                </w:tcPr>
                <w:p>
                  <w:pPr>
                    <w:jc w:val="center"/>
                    <w:rPr>
                      <w:color w:val="0000FF"/>
                      <w:szCs w:val="21"/>
                    </w:rPr>
                  </w:pPr>
                  <w:r>
                    <w:rPr>
                      <w:color w:val="0000FF"/>
                      <w:szCs w:val="21"/>
                    </w:rPr>
                    <w:t>推土机</w:t>
                  </w:r>
                </w:p>
              </w:tc>
              <w:tc>
                <w:tcPr>
                  <w:tcW w:w="4175" w:type="dxa"/>
                  <w:tcBorders>
                    <w:top w:val="single" w:color="auto" w:sz="4" w:space="0"/>
                    <w:bottom w:val="single" w:color="auto" w:sz="4" w:space="0"/>
                  </w:tcBorders>
                </w:tcPr>
                <w:p>
                  <w:pPr>
                    <w:jc w:val="center"/>
                    <w:rPr>
                      <w:color w:val="0000FF"/>
                      <w:szCs w:val="21"/>
                    </w:rPr>
                  </w:pPr>
                  <w:r>
                    <w:rPr>
                      <w:color w:val="0000FF"/>
                      <w:szCs w:val="21"/>
                    </w:rPr>
                    <w:t>75～95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4" w:space="0"/>
                  </w:tcBorders>
                </w:tcPr>
                <w:p>
                  <w:pPr>
                    <w:jc w:val="center"/>
                    <w:rPr>
                      <w:color w:val="0000FF"/>
                      <w:szCs w:val="21"/>
                    </w:rPr>
                  </w:pPr>
                  <w:r>
                    <w:rPr>
                      <w:color w:val="0000FF"/>
                      <w:szCs w:val="21"/>
                    </w:rPr>
                    <w:t>汽车</w:t>
                  </w:r>
                </w:p>
              </w:tc>
              <w:tc>
                <w:tcPr>
                  <w:tcW w:w="4175" w:type="dxa"/>
                  <w:tcBorders>
                    <w:top w:val="single" w:color="auto" w:sz="4" w:space="0"/>
                    <w:bottom w:val="single" w:color="auto" w:sz="4" w:space="0"/>
                  </w:tcBorders>
                </w:tcPr>
                <w:p>
                  <w:pPr>
                    <w:jc w:val="center"/>
                    <w:rPr>
                      <w:color w:val="0000FF"/>
                      <w:szCs w:val="21"/>
                    </w:rPr>
                  </w:pPr>
                  <w:r>
                    <w:rPr>
                      <w:color w:val="0000FF"/>
                      <w:szCs w:val="21"/>
                    </w:rPr>
                    <w:t>90～100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4" w:space="0"/>
                  </w:tcBorders>
                </w:tcPr>
                <w:p>
                  <w:pPr>
                    <w:jc w:val="center"/>
                    <w:rPr>
                      <w:color w:val="0000FF"/>
                      <w:szCs w:val="21"/>
                    </w:rPr>
                  </w:pPr>
                  <w:r>
                    <w:rPr>
                      <w:color w:val="0000FF"/>
                      <w:szCs w:val="21"/>
                    </w:rPr>
                    <w:t>电焊机</w:t>
                  </w:r>
                </w:p>
              </w:tc>
              <w:tc>
                <w:tcPr>
                  <w:tcW w:w="4175" w:type="dxa"/>
                  <w:tcBorders>
                    <w:top w:val="single" w:color="auto" w:sz="4" w:space="0"/>
                    <w:bottom w:val="single" w:color="auto" w:sz="4" w:space="0"/>
                  </w:tcBorders>
                </w:tcPr>
                <w:p>
                  <w:pPr>
                    <w:jc w:val="center"/>
                    <w:rPr>
                      <w:color w:val="0000FF"/>
                      <w:szCs w:val="21"/>
                    </w:rPr>
                  </w:pPr>
                  <w:r>
                    <w:rPr>
                      <w:color w:val="0000FF"/>
                      <w:szCs w:val="21"/>
                    </w:rPr>
                    <w:t>90～95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4" w:space="0"/>
                  </w:tcBorders>
                </w:tcPr>
                <w:p>
                  <w:pPr>
                    <w:jc w:val="center"/>
                    <w:rPr>
                      <w:color w:val="0000FF"/>
                      <w:szCs w:val="21"/>
                    </w:rPr>
                  </w:pPr>
                  <w:r>
                    <w:rPr>
                      <w:color w:val="0000FF"/>
                      <w:szCs w:val="21"/>
                    </w:rPr>
                    <w:t>蛙式打夯机</w:t>
                  </w:r>
                </w:p>
              </w:tc>
              <w:tc>
                <w:tcPr>
                  <w:tcW w:w="4175" w:type="dxa"/>
                  <w:tcBorders>
                    <w:top w:val="single" w:color="auto" w:sz="4" w:space="0"/>
                    <w:bottom w:val="single" w:color="auto" w:sz="4" w:space="0"/>
                  </w:tcBorders>
                </w:tcPr>
                <w:p>
                  <w:pPr>
                    <w:jc w:val="center"/>
                    <w:rPr>
                      <w:color w:val="0000FF"/>
                      <w:szCs w:val="21"/>
                    </w:rPr>
                  </w:pPr>
                  <w:r>
                    <w:rPr>
                      <w:color w:val="0000FF"/>
                      <w:szCs w:val="21"/>
                    </w:rPr>
                    <w:t>75～90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4" w:space="0"/>
                  </w:tcBorders>
                </w:tcPr>
                <w:p>
                  <w:pPr>
                    <w:jc w:val="center"/>
                    <w:rPr>
                      <w:color w:val="0000FF"/>
                      <w:szCs w:val="21"/>
                    </w:rPr>
                  </w:pPr>
                  <w:r>
                    <w:rPr>
                      <w:color w:val="0000FF"/>
                      <w:szCs w:val="21"/>
                    </w:rPr>
                    <w:t>挖掘机</w:t>
                  </w:r>
                </w:p>
              </w:tc>
              <w:tc>
                <w:tcPr>
                  <w:tcW w:w="4175" w:type="dxa"/>
                  <w:tcBorders>
                    <w:top w:val="single" w:color="auto" w:sz="4" w:space="0"/>
                    <w:bottom w:val="single" w:color="auto" w:sz="4" w:space="0"/>
                  </w:tcBorders>
                </w:tcPr>
                <w:p>
                  <w:pPr>
                    <w:jc w:val="center"/>
                    <w:rPr>
                      <w:color w:val="0000FF"/>
                      <w:szCs w:val="21"/>
                    </w:rPr>
                  </w:pPr>
                  <w:r>
                    <w:rPr>
                      <w:color w:val="0000FF"/>
                      <w:szCs w:val="21"/>
                    </w:rPr>
                    <w:t>70～90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4138" w:type="dxa"/>
                  <w:tcBorders>
                    <w:top w:val="single" w:color="auto" w:sz="4" w:space="0"/>
                    <w:bottom w:val="single" w:color="auto" w:sz="12" w:space="0"/>
                  </w:tcBorders>
                </w:tcPr>
                <w:p>
                  <w:pPr>
                    <w:jc w:val="center"/>
                    <w:rPr>
                      <w:color w:val="0000FF"/>
                      <w:szCs w:val="21"/>
                    </w:rPr>
                  </w:pPr>
                  <w:r>
                    <w:rPr>
                      <w:color w:val="0000FF"/>
                      <w:szCs w:val="21"/>
                    </w:rPr>
                    <w:t>拌和机</w:t>
                  </w:r>
                </w:p>
              </w:tc>
              <w:tc>
                <w:tcPr>
                  <w:tcW w:w="4175" w:type="dxa"/>
                  <w:tcBorders>
                    <w:top w:val="single" w:color="auto" w:sz="4" w:space="0"/>
                    <w:bottom w:val="single" w:color="auto" w:sz="12" w:space="0"/>
                  </w:tcBorders>
                </w:tcPr>
                <w:p>
                  <w:pPr>
                    <w:jc w:val="center"/>
                    <w:rPr>
                      <w:color w:val="0000FF"/>
                      <w:szCs w:val="21"/>
                    </w:rPr>
                  </w:pPr>
                  <w:r>
                    <w:rPr>
                      <w:color w:val="0000FF"/>
                      <w:szCs w:val="21"/>
                    </w:rPr>
                    <w:t>85～100</w:t>
                  </w:r>
                </w:p>
              </w:tc>
            </w:tr>
          </w:tbl>
          <w:p>
            <w:pPr>
              <w:spacing w:line="360" w:lineRule="auto"/>
              <w:ind w:left="560"/>
              <w:rPr>
                <w:color w:val="0000FF"/>
                <w:sz w:val="24"/>
                <w:szCs w:val="28"/>
              </w:rPr>
            </w:pPr>
            <w:r>
              <w:rPr>
                <w:color w:val="0000FF"/>
                <w:sz w:val="24"/>
                <w:szCs w:val="28"/>
              </w:rPr>
              <w:t>（4）固体废弃物</w:t>
            </w:r>
          </w:p>
          <w:p>
            <w:pPr>
              <w:spacing w:line="360" w:lineRule="auto"/>
              <w:ind w:firstLine="480" w:firstLineChars="200"/>
              <w:jc w:val="left"/>
              <w:rPr>
                <w:color w:val="0000FF"/>
                <w:sz w:val="24"/>
                <w:szCs w:val="28"/>
              </w:rPr>
            </w:pPr>
            <w:r>
              <w:rPr>
                <w:color w:val="0000FF"/>
                <w:sz w:val="24"/>
                <w:szCs w:val="28"/>
              </w:rPr>
              <w:t>项目施工期固体废物主要</w:t>
            </w:r>
            <w:r>
              <w:rPr>
                <w:color w:val="0000FF"/>
                <w:kern w:val="0"/>
                <w:sz w:val="24"/>
                <w:szCs w:val="28"/>
              </w:rPr>
              <w:t>为</w:t>
            </w:r>
            <w:r>
              <w:rPr>
                <w:color w:val="0000FF"/>
                <w:sz w:val="24"/>
                <w:szCs w:val="28"/>
              </w:rPr>
              <w:t>废弃土石等建筑垃圾和施工人员生活垃圾等。</w:t>
            </w:r>
          </w:p>
          <w:p>
            <w:pPr>
              <w:numPr>
                <w:ilvl w:val="0"/>
                <w:numId w:val="2"/>
              </w:numPr>
              <w:spacing w:line="360" w:lineRule="auto"/>
              <w:jc w:val="left"/>
              <w:rPr>
                <w:color w:val="0000FF"/>
                <w:sz w:val="24"/>
                <w:szCs w:val="28"/>
              </w:rPr>
            </w:pPr>
            <w:r>
              <w:rPr>
                <w:color w:val="0000FF"/>
                <w:sz w:val="24"/>
                <w:szCs w:val="28"/>
              </w:rPr>
              <w:t>废弃土石</w:t>
            </w:r>
          </w:p>
          <w:p>
            <w:pPr>
              <w:spacing w:line="360" w:lineRule="auto"/>
              <w:ind w:firstLine="480" w:firstLineChars="200"/>
              <w:jc w:val="left"/>
              <w:rPr>
                <w:color w:val="0000FF"/>
                <w:sz w:val="24"/>
                <w:szCs w:val="28"/>
              </w:rPr>
            </w:pPr>
            <w:r>
              <w:rPr>
                <w:color w:val="0000FF"/>
                <w:sz w:val="24"/>
                <w:szCs w:val="28"/>
              </w:rPr>
              <w:t>项目占地面积为</w:t>
            </w:r>
            <w:r>
              <w:rPr>
                <w:rFonts w:hint="eastAsia"/>
                <w:color w:val="0000FF"/>
                <w:sz w:val="24"/>
                <w:szCs w:val="28"/>
              </w:rPr>
              <w:t>8000</w:t>
            </w:r>
            <w:r>
              <w:rPr>
                <w:color w:val="0000FF"/>
                <w:sz w:val="24"/>
                <w:szCs w:val="28"/>
              </w:rPr>
              <w:t>m</w:t>
            </w:r>
            <w:r>
              <w:rPr>
                <w:color w:val="0000FF"/>
                <w:sz w:val="24"/>
                <w:szCs w:val="28"/>
                <w:vertAlign w:val="superscript"/>
              </w:rPr>
              <w:t>2</w:t>
            </w:r>
            <w:r>
              <w:rPr>
                <w:color w:val="0000FF"/>
                <w:sz w:val="24"/>
                <w:szCs w:val="28"/>
              </w:rPr>
              <w:t>，</w:t>
            </w:r>
            <w:r>
              <w:rPr>
                <w:rFonts w:hint="eastAsia"/>
                <w:color w:val="0000FF"/>
                <w:sz w:val="24"/>
                <w:szCs w:val="28"/>
              </w:rPr>
              <w:t>新增</w:t>
            </w:r>
            <w:r>
              <w:rPr>
                <w:color w:val="0000FF"/>
                <w:sz w:val="24"/>
                <w:szCs w:val="28"/>
              </w:rPr>
              <w:t>建筑面积</w:t>
            </w:r>
            <w:r>
              <w:rPr>
                <w:rFonts w:hint="eastAsia"/>
                <w:color w:val="0000FF"/>
                <w:sz w:val="24"/>
                <w:szCs w:val="28"/>
              </w:rPr>
              <w:t>4000</w:t>
            </w:r>
            <w:r>
              <w:rPr>
                <w:color w:val="0000FF"/>
                <w:sz w:val="24"/>
                <w:szCs w:val="28"/>
              </w:rPr>
              <w:t>m</w:t>
            </w:r>
            <w:r>
              <w:rPr>
                <w:color w:val="0000FF"/>
                <w:sz w:val="24"/>
                <w:szCs w:val="28"/>
                <w:vertAlign w:val="superscript"/>
              </w:rPr>
              <w:t>2</w:t>
            </w:r>
            <w:r>
              <w:rPr>
                <w:color w:val="0000FF"/>
                <w:sz w:val="24"/>
                <w:szCs w:val="28"/>
              </w:rPr>
              <w:t>。根据建设单位资料，本项目在建设期间</w:t>
            </w:r>
            <w:r>
              <w:rPr>
                <w:rFonts w:hint="eastAsia"/>
                <w:color w:val="0000FF"/>
                <w:sz w:val="24"/>
                <w:szCs w:val="28"/>
              </w:rPr>
              <w:t>在实施过程中挖方总量为8000m</w:t>
            </w:r>
            <w:r>
              <w:rPr>
                <w:rFonts w:hint="eastAsia"/>
                <w:color w:val="0000FF"/>
                <w:sz w:val="24"/>
                <w:szCs w:val="28"/>
                <w:vertAlign w:val="superscript"/>
              </w:rPr>
              <w:t>3</w:t>
            </w:r>
            <w:r>
              <w:rPr>
                <w:rFonts w:hint="eastAsia"/>
                <w:color w:val="0000FF"/>
                <w:sz w:val="24"/>
                <w:szCs w:val="28"/>
              </w:rPr>
              <w:t>，填方量8000m</w:t>
            </w:r>
            <w:r>
              <w:rPr>
                <w:rFonts w:hint="eastAsia"/>
                <w:color w:val="0000FF"/>
                <w:sz w:val="24"/>
                <w:szCs w:val="28"/>
                <w:vertAlign w:val="superscript"/>
              </w:rPr>
              <w:t>3</w:t>
            </w:r>
            <w:r>
              <w:rPr>
                <w:rFonts w:hint="eastAsia"/>
                <w:color w:val="0000FF"/>
                <w:sz w:val="24"/>
                <w:szCs w:val="28"/>
              </w:rPr>
              <w:t>，项目厂区土方填挖平衡。</w:t>
            </w:r>
          </w:p>
          <w:p>
            <w:pPr>
              <w:spacing w:line="360" w:lineRule="auto"/>
              <w:ind w:left="560"/>
              <w:jc w:val="left"/>
              <w:rPr>
                <w:color w:val="0000FF"/>
                <w:sz w:val="24"/>
                <w:szCs w:val="28"/>
              </w:rPr>
            </w:pPr>
            <w:r>
              <w:rPr>
                <w:rFonts w:hint="eastAsia" w:ascii="宋体" w:hAnsi="宋体" w:cs="宋体"/>
                <w:color w:val="0000FF"/>
                <w:sz w:val="24"/>
                <w:szCs w:val="28"/>
              </w:rPr>
              <w:t>②</w:t>
            </w:r>
            <w:r>
              <w:rPr>
                <w:color w:val="0000FF"/>
                <w:sz w:val="24"/>
                <w:szCs w:val="28"/>
              </w:rPr>
              <w:t>生活垃圾</w:t>
            </w:r>
          </w:p>
          <w:p>
            <w:pPr>
              <w:spacing w:line="360" w:lineRule="auto"/>
              <w:ind w:firstLine="480" w:firstLineChars="200"/>
              <w:jc w:val="left"/>
              <w:rPr>
                <w:rFonts w:hint="eastAsia"/>
                <w:color w:val="0000FF"/>
                <w:sz w:val="24"/>
                <w:szCs w:val="28"/>
              </w:rPr>
            </w:pPr>
            <w:r>
              <w:rPr>
                <w:color w:val="0000FF"/>
                <w:sz w:val="24"/>
                <w:szCs w:val="28"/>
              </w:rPr>
              <w:t>施工期人数约</w:t>
            </w:r>
            <w:r>
              <w:rPr>
                <w:rFonts w:hint="eastAsia"/>
                <w:color w:val="0000FF"/>
                <w:sz w:val="24"/>
                <w:szCs w:val="28"/>
              </w:rPr>
              <w:t>25</w:t>
            </w:r>
            <w:r>
              <w:rPr>
                <w:color w:val="0000FF"/>
                <w:sz w:val="24"/>
                <w:szCs w:val="28"/>
              </w:rPr>
              <w:t>人，施工人员人均生活垃圾产生量</w:t>
            </w:r>
            <w:r>
              <w:rPr>
                <w:color w:val="0000FF"/>
                <w:kern w:val="0"/>
                <w:sz w:val="24"/>
                <w:szCs w:val="28"/>
              </w:rPr>
              <w:t>按0.5kg/人·d计算</w:t>
            </w:r>
            <w:r>
              <w:rPr>
                <w:color w:val="0000FF"/>
                <w:sz w:val="24"/>
                <w:szCs w:val="28"/>
              </w:rPr>
              <w:t>，则施工高峰期生活垃圾产生量为</w:t>
            </w:r>
            <w:r>
              <w:rPr>
                <w:rFonts w:hint="eastAsia"/>
                <w:color w:val="0000FF"/>
                <w:sz w:val="24"/>
                <w:szCs w:val="28"/>
              </w:rPr>
              <w:t>0.013</w:t>
            </w:r>
            <w:r>
              <w:rPr>
                <w:color w:val="0000FF"/>
                <w:sz w:val="24"/>
                <w:szCs w:val="28"/>
              </w:rPr>
              <w:t>t/d，工期时长为</w:t>
            </w:r>
            <w:r>
              <w:rPr>
                <w:rFonts w:hint="eastAsia"/>
                <w:color w:val="0000FF"/>
                <w:sz w:val="24"/>
                <w:szCs w:val="28"/>
              </w:rPr>
              <w:t>3</w:t>
            </w:r>
            <w:r>
              <w:rPr>
                <w:color w:val="0000FF"/>
                <w:sz w:val="24"/>
                <w:szCs w:val="28"/>
              </w:rPr>
              <w:t>个月，则生活垃圾产生总量为</w:t>
            </w:r>
            <w:r>
              <w:rPr>
                <w:rFonts w:hint="eastAsia"/>
                <w:color w:val="0000FF"/>
                <w:sz w:val="24"/>
                <w:szCs w:val="28"/>
              </w:rPr>
              <w:t>1.17</w:t>
            </w:r>
            <w:r>
              <w:rPr>
                <w:color w:val="0000FF"/>
                <w:sz w:val="24"/>
                <w:szCs w:val="28"/>
              </w:rPr>
              <w:t>t。</w:t>
            </w:r>
            <w:r>
              <w:rPr>
                <w:rFonts w:hint="eastAsia"/>
                <w:color w:val="0000FF"/>
                <w:sz w:val="24"/>
                <w:szCs w:val="28"/>
              </w:rPr>
              <w:t xml:space="preserve">      </w:t>
            </w:r>
          </w:p>
          <w:p>
            <w:pPr>
              <w:pStyle w:val="104"/>
              <w:spacing w:line="360" w:lineRule="auto"/>
              <w:ind w:firstLine="504"/>
              <w:rPr>
                <w:bCs/>
                <w:color w:val="0000FF"/>
                <w:sz w:val="24"/>
                <w:szCs w:val="28"/>
              </w:rPr>
            </w:pPr>
            <w:r>
              <w:rPr>
                <w:rFonts w:hint="eastAsia"/>
                <w:sz w:val="24"/>
                <w:szCs w:val="28"/>
              </w:rPr>
              <w:t xml:space="preserve"> </w:t>
            </w:r>
            <w:r>
              <w:rPr>
                <w:rFonts w:hint="eastAsia" w:eastAsia="宋体"/>
                <w:bCs/>
                <w:color w:val="0000FF"/>
                <w:spacing w:val="0"/>
                <w:sz w:val="24"/>
                <w:szCs w:val="28"/>
              </w:rPr>
              <w:t xml:space="preserve"> </w:t>
            </w:r>
            <w:r>
              <w:rPr>
                <w:rFonts w:eastAsia="宋体"/>
                <w:bCs/>
                <w:color w:val="0000FF"/>
                <w:spacing w:val="0"/>
                <w:sz w:val="24"/>
                <w:szCs w:val="28"/>
              </w:rPr>
              <w:t>3.2运营期“三废”产生及排放情况</w:t>
            </w:r>
          </w:p>
          <w:p>
            <w:pPr>
              <w:pStyle w:val="104"/>
              <w:spacing w:line="360" w:lineRule="auto"/>
              <w:ind w:firstLine="240" w:firstLineChars="100"/>
              <w:rPr>
                <w:rFonts w:eastAsia="宋体"/>
                <w:color w:val="0000FF"/>
                <w:spacing w:val="0"/>
                <w:sz w:val="24"/>
                <w:szCs w:val="28"/>
              </w:rPr>
            </w:pPr>
            <w:r>
              <w:rPr>
                <w:rFonts w:hint="eastAsia" w:eastAsia="宋体"/>
                <w:color w:val="0000FF"/>
                <w:spacing w:val="0"/>
                <w:sz w:val="24"/>
                <w:szCs w:val="28"/>
              </w:rPr>
              <w:t>（1）</w:t>
            </w:r>
            <w:r>
              <w:rPr>
                <w:rFonts w:eastAsia="宋体"/>
                <w:color w:val="0000FF"/>
                <w:spacing w:val="0"/>
                <w:sz w:val="24"/>
                <w:szCs w:val="28"/>
              </w:rPr>
              <w:t>废气</w:t>
            </w:r>
          </w:p>
          <w:p>
            <w:pPr>
              <w:pStyle w:val="104"/>
              <w:spacing w:line="360" w:lineRule="auto"/>
              <w:ind w:firstLine="480"/>
              <w:rPr>
                <w:rFonts w:eastAsia="宋体"/>
                <w:color w:val="0000FF"/>
                <w:spacing w:val="0"/>
                <w:sz w:val="24"/>
                <w:szCs w:val="28"/>
              </w:rPr>
            </w:pPr>
            <w:r>
              <w:rPr>
                <w:rFonts w:eastAsia="宋体"/>
                <w:color w:val="0000FF"/>
                <w:spacing w:val="0"/>
                <w:sz w:val="24"/>
                <w:szCs w:val="28"/>
              </w:rPr>
              <w:t>本项目运营期间主要有</w:t>
            </w:r>
            <w:r>
              <w:rPr>
                <w:rFonts w:hint="eastAsia" w:eastAsia="宋体"/>
                <w:color w:val="0000FF"/>
                <w:spacing w:val="0"/>
                <w:sz w:val="24"/>
                <w:szCs w:val="28"/>
              </w:rPr>
              <w:t>项目产生废气主要有煤炭堆存、装卸过程中产生的粉尘；物料皮带运输、转载产尘；筛分生产作业产生的煤尘；运输车辆进出厂扬尘；运输车辆汽车尾气。</w:t>
            </w:r>
          </w:p>
          <w:p>
            <w:pPr>
              <w:spacing w:line="360" w:lineRule="auto"/>
              <w:ind w:firstLine="480" w:firstLineChars="200"/>
              <w:jc w:val="left"/>
              <w:rPr>
                <w:color w:val="0000FF"/>
                <w:sz w:val="24"/>
              </w:rPr>
            </w:pPr>
            <w:r>
              <w:rPr>
                <w:rFonts w:hint="eastAsia" w:ascii="宋体" w:hAnsi="宋体"/>
                <w:color w:val="0000FF"/>
                <w:sz w:val="24"/>
                <w:szCs w:val="28"/>
              </w:rPr>
              <w:t>①</w:t>
            </w:r>
            <w:r>
              <w:rPr>
                <w:rFonts w:hint="eastAsia"/>
                <w:color w:val="0000FF"/>
                <w:sz w:val="24"/>
              </w:rPr>
              <w:t>堆场及煤炭卸装产生的扬尘</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煤炭进场堆放时，会随风产生一定的煤尘，煤炭装卸时也会产生煤尘；堆煤场煤尘起尘量，评价中考虑取设计堆存量来计算。</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煤炭堆放起尘量</w:t>
            </w:r>
            <w:bookmarkStart w:id="6" w:name="_GoBack"/>
            <w:bookmarkEnd w:id="6"/>
            <w:r>
              <w:rPr>
                <w:rFonts w:hint="eastAsia" w:eastAsia="宋体"/>
                <w:color w:val="0000FF"/>
                <w:spacing w:val="0"/>
                <w:sz w:val="24"/>
                <w:szCs w:val="28"/>
              </w:rPr>
              <w:t>采用清华大学在霍州电厂现场试验模式公式计算：</w:t>
            </w:r>
          </w:p>
          <w:p>
            <w:pPr>
              <w:pStyle w:val="104"/>
              <w:spacing w:line="360" w:lineRule="auto"/>
              <w:ind w:firstLine="480"/>
              <w:rPr>
                <w:rFonts w:hint="eastAsia" w:eastAsia="宋体"/>
                <w:color w:val="0000FF"/>
                <w:spacing w:val="0"/>
                <w:sz w:val="24"/>
                <w:szCs w:val="28"/>
                <w:vertAlign w:val="superscript"/>
              </w:rPr>
            </w:pPr>
            <w:r>
              <w:rPr>
                <w:rFonts w:hint="eastAsia" w:eastAsia="宋体"/>
                <w:color w:val="0000FF"/>
                <w:spacing w:val="0"/>
                <w:sz w:val="24"/>
                <w:szCs w:val="28"/>
              </w:rPr>
              <w:t>Q</w:t>
            </w:r>
            <w:r>
              <w:rPr>
                <w:rFonts w:hint="eastAsia" w:eastAsia="宋体"/>
                <w:color w:val="0000FF"/>
                <w:spacing w:val="0"/>
                <w:sz w:val="24"/>
                <w:szCs w:val="28"/>
                <w:vertAlign w:val="subscript"/>
              </w:rPr>
              <w:t>1</w:t>
            </w:r>
            <w:r>
              <w:rPr>
                <w:rFonts w:hint="eastAsia" w:eastAsia="宋体"/>
                <w:color w:val="0000FF"/>
                <w:spacing w:val="0"/>
                <w:sz w:val="24"/>
                <w:szCs w:val="28"/>
              </w:rPr>
              <w:t>=11.7U</w:t>
            </w:r>
            <w:r>
              <w:rPr>
                <w:rFonts w:hint="eastAsia" w:eastAsia="宋体"/>
                <w:color w:val="0000FF"/>
                <w:spacing w:val="0"/>
                <w:sz w:val="24"/>
                <w:szCs w:val="28"/>
                <w:vertAlign w:val="superscript"/>
              </w:rPr>
              <w:t>2.45</w:t>
            </w:r>
            <w:r>
              <w:rPr>
                <w:rFonts w:hint="eastAsia" w:eastAsia="宋体"/>
                <w:color w:val="0000FF"/>
                <w:spacing w:val="0"/>
                <w:sz w:val="24"/>
                <w:szCs w:val="28"/>
              </w:rPr>
              <w:t>*S</w:t>
            </w:r>
            <w:r>
              <w:rPr>
                <w:rFonts w:hint="eastAsia" w:eastAsia="宋体"/>
                <w:color w:val="0000FF"/>
                <w:spacing w:val="0"/>
                <w:sz w:val="24"/>
                <w:szCs w:val="28"/>
                <w:vertAlign w:val="superscript"/>
              </w:rPr>
              <w:t>0.345</w:t>
            </w:r>
            <w:r>
              <w:rPr>
                <w:rFonts w:hint="eastAsia" w:eastAsia="宋体"/>
                <w:color w:val="0000FF"/>
                <w:spacing w:val="0"/>
                <w:sz w:val="24"/>
                <w:szCs w:val="28"/>
              </w:rPr>
              <w:t>*e</w:t>
            </w:r>
            <w:r>
              <w:rPr>
                <w:rFonts w:hint="eastAsia" w:eastAsia="宋体"/>
                <w:color w:val="0000FF"/>
                <w:spacing w:val="0"/>
                <w:sz w:val="24"/>
                <w:szCs w:val="28"/>
                <w:vertAlign w:val="superscript"/>
              </w:rPr>
              <w:t>-0.5w</w:t>
            </w:r>
          </w:p>
          <w:p>
            <w:pPr>
              <w:spacing w:line="360" w:lineRule="auto"/>
              <w:ind w:firstLine="480" w:firstLineChars="200"/>
              <w:rPr>
                <w:color w:val="0000FF"/>
                <w:sz w:val="24"/>
              </w:rPr>
            </w:pPr>
            <w:r>
              <w:rPr>
                <w:color w:val="0000FF"/>
                <w:sz w:val="24"/>
              </w:rPr>
              <w:t>式中：Q</w:t>
            </w:r>
            <w:r>
              <w:rPr>
                <w:color w:val="0000FF"/>
                <w:sz w:val="24"/>
                <w:vertAlign w:val="subscript"/>
              </w:rPr>
              <w:t>1</w:t>
            </w:r>
            <w:r>
              <w:rPr>
                <w:color w:val="0000FF"/>
                <w:sz w:val="24"/>
              </w:rPr>
              <w:t>—煤堆起尘量，mg/s；</w:t>
            </w:r>
          </w:p>
          <w:p>
            <w:pPr>
              <w:spacing w:line="360" w:lineRule="auto"/>
              <w:ind w:firstLine="1200" w:firstLineChars="500"/>
              <w:rPr>
                <w:color w:val="0000FF"/>
                <w:sz w:val="24"/>
              </w:rPr>
            </w:pPr>
            <w:r>
              <w:rPr>
                <w:color w:val="0000FF"/>
                <w:sz w:val="24"/>
              </w:rPr>
              <w:t>U—风速，m/s；</w:t>
            </w:r>
          </w:p>
          <w:p>
            <w:pPr>
              <w:spacing w:line="360" w:lineRule="auto"/>
              <w:ind w:firstLine="1200" w:firstLineChars="500"/>
              <w:rPr>
                <w:color w:val="0000FF"/>
                <w:sz w:val="24"/>
              </w:rPr>
            </w:pPr>
            <w:r>
              <w:rPr>
                <w:color w:val="0000FF"/>
                <w:sz w:val="24"/>
              </w:rPr>
              <w:t>S—煤堆表面积；</w:t>
            </w:r>
            <w:r>
              <w:rPr>
                <w:rFonts w:hint="eastAsia"/>
                <w:color w:val="0000FF"/>
                <w:sz w:val="24"/>
              </w:rPr>
              <w:t>本次取7300m</w:t>
            </w:r>
            <w:r>
              <w:rPr>
                <w:rFonts w:hint="eastAsia"/>
                <w:color w:val="0000FF"/>
                <w:sz w:val="24"/>
                <w:vertAlign w:val="superscript"/>
              </w:rPr>
              <w:t>2</w:t>
            </w:r>
            <w:r>
              <w:rPr>
                <w:rFonts w:hint="eastAsia"/>
                <w:color w:val="0000FF"/>
                <w:sz w:val="24"/>
              </w:rPr>
              <w:t>；</w:t>
            </w:r>
          </w:p>
          <w:p>
            <w:pPr>
              <w:spacing w:line="360" w:lineRule="auto"/>
              <w:ind w:firstLine="1200" w:firstLineChars="500"/>
              <w:rPr>
                <w:color w:val="0000FF"/>
                <w:sz w:val="24"/>
              </w:rPr>
            </w:pPr>
            <w:r>
              <w:rPr>
                <w:color w:val="0000FF"/>
                <w:sz w:val="24"/>
              </w:rPr>
              <w:t>W—煤物料湿度，煤炭10%；</w:t>
            </w:r>
            <w:bookmarkStart w:id="2" w:name="page32"/>
            <w:bookmarkEnd w:id="2"/>
          </w:p>
          <w:p>
            <w:pPr>
              <w:pStyle w:val="104"/>
              <w:spacing w:line="360" w:lineRule="auto"/>
              <w:ind w:firstLine="480"/>
              <w:rPr>
                <w:rFonts w:hint="eastAsia" w:eastAsia="宋体"/>
                <w:color w:val="0000FF"/>
                <w:spacing w:val="0"/>
                <w:sz w:val="24"/>
                <w:szCs w:val="28"/>
              </w:rPr>
            </w:pPr>
            <w:r>
              <w:rPr>
                <w:rFonts w:eastAsia="宋体"/>
                <w:color w:val="0000FF"/>
                <w:spacing w:val="0"/>
                <w:sz w:val="24"/>
                <w:szCs w:val="28"/>
              </w:rPr>
              <w:t>项目煤炭堆场采取</w:t>
            </w:r>
            <w:r>
              <w:rPr>
                <w:rFonts w:hint="eastAsia" w:eastAsia="宋体"/>
                <w:color w:val="0000FF"/>
                <w:spacing w:val="0"/>
                <w:sz w:val="24"/>
                <w:szCs w:val="28"/>
              </w:rPr>
              <w:t>全</w:t>
            </w:r>
            <w:r>
              <w:rPr>
                <w:rFonts w:eastAsia="宋体"/>
                <w:color w:val="0000FF"/>
                <w:spacing w:val="0"/>
                <w:sz w:val="24"/>
                <w:szCs w:val="28"/>
              </w:rPr>
              <w:t>封闭措施后，采取洒水降尘，降尘率可达</w:t>
            </w:r>
            <w:r>
              <w:rPr>
                <w:rFonts w:hint="eastAsia" w:eastAsia="宋体"/>
                <w:color w:val="0000FF"/>
                <w:spacing w:val="0"/>
                <w:sz w:val="24"/>
                <w:szCs w:val="28"/>
              </w:rPr>
              <w:t>90</w:t>
            </w:r>
            <w:r>
              <w:rPr>
                <w:rFonts w:eastAsia="宋体"/>
                <w:color w:val="0000FF"/>
                <w:spacing w:val="0"/>
                <w:sz w:val="24"/>
                <w:szCs w:val="28"/>
              </w:rPr>
              <w:t>%，公式中地面平均风速U取项目所在地区30年平均风速</w:t>
            </w:r>
            <w:r>
              <w:rPr>
                <w:rFonts w:hint="eastAsia" w:eastAsia="宋体"/>
                <w:color w:val="0000FF"/>
                <w:spacing w:val="0"/>
                <w:sz w:val="24"/>
                <w:szCs w:val="28"/>
              </w:rPr>
              <w:t>1.93</w:t>
            </w:r>
            <w:r>
              <w:rPr>
                <w:rFonts w:eastAsia="宋体"/>
                <w:color w:val="0000FF"/>
                <w:spacing w:val="0"/>
                <w:sz w:val="24"/>
                <w:szCs w:val="28"/>
              </w:rPr>
              <w:t>m/s，煤堆表面积取</w:t>
            </w:r>
            <w:r>
              <w:rPr>
                <w:rFonts w:hint="eastAsia" w:eastAsia="宋体"/>
                <w:color w:val="0000FF"/>
                <w:spacing w:val="0"/>
                <w:sz w:val="24"/>
                <w:szCs w:val="28"/>
              </w:rPr>
              <w:t>73</w:t>
            </w:r>
            <w:r>
              <w:rPr>
                <w:rFonts w:eastAsia="宋体"/>
                <w:color w:val="0000FF"/>
                <w:spacing w:val="0"/>
                <w:sz w:val="24"/>
                <w:szCs w:val="28"/>
              </w:rPr>
              <w:t>00m</w:t>
            </w:r>
            <w:r>
              <w:rPr>
                <w:rFonts w:eastAsia="宋体"/>
                <w:color w:val="0000FF"/>
                <w:spacing w:val="0"/>
                <w:sz w:val="24"/>
                <w:szCs w:val="28"/>
                <w:vertAlign w:val="superscript"/>
              </w:rPr>
              <w:t>2</w:t>
            </w:r>
            <w:r>
              <w:rPr>
                <w:rFonts w:eastAsia="宋体"/>
                <w:color w:val="0000FF"/>
                <w:spacing w:val="0"/>
                <w:sz w:val="24"/>
                <w:szCs w:val="28"/>
              </w:rPr>
              <w:t>，</w:t>
            </w:r>
            <w:r>
              <w:rPr>
                <w:rFonts w:hint="eastAsia" w:eastAsia="宋体"/>
                <w:color w:val="0000FF"/>
                <w:spacing w:val="0"/>
                <w:sz w:val="24"/>
                <w:szCs w:val="28"/>
              </w:rPr>
              <w:t>对煤堆进行洒水降尘，则</w:t>
            </w:r>
            <w:r>
              <w:rPr>
                <w:rFonts w:eastAsia="宋体"/>
                <w:color w:val="0000FF"/>
                <w:spacing w:val="0"/>
                <w:sz w:val="24"/>
                <w:szCs w:val="28"/>
              </w:rPr>
              <w:t>煤尘表面含水率W为</w:t>
            </w:r>
            <w:r>
              <w:rPr>
                <w:rFonts w:hint="eastAsia" w:eastAsia="宋体"/>
                <w:color w:val="0000FF"/>
                <w:spacing w:val="0"/>
                <w:sz w:val="24"/>
                <w:szCs w:val="28"/>
              </w:rPr>
              <w:t>10</w:t>
            </w:r>
            <w:r>
              <w:rPr>
                <w:rFonts w:eastAsia="宋体"/>
                <w:color w:val="0000FF"/>
                <w:spacing w:val="0"/>
                <w:sz w:val="24"/>
                <w:szCs w:val="28"/>
              </w:rPr>
              <w:t>.0%，则煤炭堆场煤尘排放量为</w:t>
            </w:r>
            <w:r>
              <w:rPr>
                <w:rFonts w:hint="eastAsia" w:eastAsia="宋体"/>
                <w:color w:val="0000FF"/>
                <w:spacing w:val="0"/>
                <w:sz w:val="24"/>
                <w:szCs w:val="28"/>
              </w:rPr>
              <w:t>0.022</w:t>
            </w:r>
            <w:r>
              <w:rPr>
                <w:rFonts w:eastAsia="宋体"/>
                <w:color w:val="0000FF"/>
                <w:spacing w:val="0"/>
                <w:sz w:val="24"/>
                <w:szCs w:val="28"/>
              </w:rPr>
              <w:t>t/a。</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煤炭装卸过程会产生一定煤尘，煤炭装卸起尘采用《港口建设项目环境影响评价规范》（JTS105-1-2011）推荐的公式进行估算，公式为：</w:t>
            </w:r>
          </w:p>
          <w:p>
            <w:pPr>
              <w:pStyle w:val="104"/>
              <w:spacing w:line="360" w:lineRule="auto"/>
              <w:ind w:firstLine="480"/>
              <w:rPr>
                <w:rFonts w:eastAsia="宋体"/>
                <w:color w:val="0000FF"/>
                <w:spacing w:val="0"/>
                <w:sz w:val="24"/>
                <w:szCs w:val="28"/>
              </w:rPr>
            </w:pPr>
            <w:r>
              <w:rPr>
                <w:rFonts w:hint="eastAsia" w:eastAsia="宋体"/>
                <w:color w:val="0000FF"/>
                <w:spacing w:val="0"/>
                <w:sz w:val="24"/>
                <w:szCs w:val="28"/>
              </w:rPr>
              <w:t>Q=</w:t>
            </w:r>
            <w:r>
              <w:rPr>
                <w:rFonts w:eastAsia="宋体"/>
                <w:color w:val="0000FF"/>
                <w:spacing w:val="0"/>
                <w:sz w:val="24"/>
                <w:szCs w:val="28"/>
              </w:rPr>
              <w:t>αβ</w:t>
            </w:r>
            <w:r>
              <w:rPr>
                <w:rFonts w:hint="eastAsia" w:eastAsia="宋体"/>
                <w:color w:val="0000FF"/>
                <w:spacing w:val="0"/>
                <w:sz w:val="24"/>
                <w:szCs w:val="28"/>
              </w:rPr>
              <w:t>He</w:t>
            </w:r>
            <w:r>
              <w:rPr>
                <w:rFonts w:hint="eastAsia" w:eastAsia="宋体"/>
                <w:color w:val="0000FF"/>
                <w:spacing w:val="0"/>
                <w:sz w:val="24"/>
                <w:szCs w:val="28"/>
                <w:vertAlign w:val="superscript"/>
              </w:rPr>
              <w:t>w2(w0-w)</w:t>
            </w:r>
            <w:r>
              <w:rPr>
                <w:rFonts w:hint="eastAsia" w:eastAsia="宋体"/>
                <w:color w:val="0000FF"/>
                <w:spacing w:val="0"/>
                <w:sz w:val="24"/>
                <w:szCs w:val="28"/>
              </w:rPr>
              <w:t>Y/[1+e</w:t>
            </w:r>
            <w:r>
              <w:rPr>
                <w:rFonts w:hint="eastAsia" w:eastAsia="宋体"/>
                <w:color w:val="0000FF"/>
                <w:spacing w:val="0"/>
                <w:sz w:val="24"/>
                <w:szCs w:val="28"/>
                <w:vertAlign w:val="superscript"/>
              </w:rPr>
              <w:t>0.25(v2-U)</w:t>
            </w:r>
            <w:r>
              <w:rPr>
                <w:rFonts w:hint="eastAsia" w:eastAsia="宋体"/>
                <w:color w:val="0000FF"/>
                <w:spacing w:val="0"/>
                <w:sz w:val="24"/>
                <w:szCs w:val="28"/>
              </w:rPr>
              <w:t>]</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式中：Q—起尘量，kg/a</w:t>
            </w:r>
          </w:p>
          <w:p>
            <w:pPr>
              <w:pStyle w:val="104"/>
              <w:spacing w:line="360" w:lineRule="auto"/>
              <w:ind w:firstLine="480"/>
              <w:rPr>
                <w:rFonts w:hint="eastAsia" w:eastAsia="宋体"/>
                <w:color w:val="0000FF"/>
                <w:spacing w:val="0"/>
                <w:sz w:val="24"/>
                <w:szCs w:val="28"/>
              </w:rPr>
            </w:pPr>
            <w:r>
              <w:rPr>
                <w:rFonts w:eastAsia="宋体"/>
                <w:color w:val="0000FF"/>
                <w:spacing w:val="0"/>
                <w:sz w:val="24"/>
                <w:szCs w:val="28"/>
              </w:rPr>
              <w:t>α</w:t>
            </w:r>
            <w:r>
              <w:rPr>
                <w:rFonts w:hint="eastAsia" w:eastAsia="宋体"/>
                <w:color w:val="0000FF"/>
                <w:spacing w:val="0"/>
                <w:sz w:val="24"/>
                <w:szCs w:val="28"/>
              </w:rPr>
              <w:t>—起尘调节系数；煤炭取0.8；</w:t>
            </w:r>
          </w:p>
          <w:p>
            <w:pPr>
              <w:pStyle w:val="104"/>
              <w:spacing w:line="360" w:lineRule="auto"/>
              <w:ind w:firstLine="480"/>
              <w:rPr>
                <w:rFonts w:hint="eastAsia" w:eastAsia="宋体"/>
                <w:color w:val="0000FF"/>
                <w:spacing w:val="0"/>
                <w:sz w:val="24"/>
                <w:szCs w:val="28"/>
              </w:rPr>
            </w:pPr>
            <w:r>
              <w:rPr>
                <w:rFonts w:eastAsia="宋体"/>
                <w:color w:val="0000FF"/>
                <w:spacing w:val="0"/>
                <w:sz w:val="24"/>
                <w:szCs w:val="28"/>
              </w:rPr>
              <w:t>β</w:t>
            </w:r>
            <w:r>
              <w:rPr>
                <w:rFonts w:hint="eastAsia" w:eastAsia="宋体"/>
                <w:color w:val="0000FF"/>
                <w:spacing w:val="0"/>
                <w:sz w:val="24"/>
                <w:szCs w:val="28"/>
              </w:rPr>
              <w:t>—作业方式系数，装堆时</w:t>
            </w:r>
            <w:r>
              <w:rPr>
                <w:rFonts w:eastAsia="宋体"/>
                <w:color w:val="0000FF"/>
                <w:spacing w:val="0"/>
                <w:sz w:val="24"/>
                <w:szCs w:val="28"/>
              </w:rPr>
              <w:t>β</w:t>
            </w:r>
            <w:r>
              <w:rPr>
                <w:rFonts w:hint="eastAsia" w:eastAsia="宋体"/>
                <w:color w:val="0000FF"/>
                <w:spacing w:val="0"/>
                <w:sz w:val="24"/>
                <w:szCs w:val="28"/>
              </w:rPr>
              <w:t>=1，取料时</w:t>
            </w:r>
            <w:r>
              <w:rPr>
                <w:rFonts w:eastAsia="宋体"/>
                <w:color w:val="0000FF"/>
                <w:spacing w:val="0"/>
                <w:sz w:val="24"/>
                <w:szCs w:val="28"/>
              </w:rPr>
              <w:t>β</w:t>
            </w:r>
            <w:r>
              <w:rPr>
                <w:rFonts w:hint="eastAsia" w:eastAsia="宋体"/>
                <w:color w:val="0000FF"/>
                <w:spacing w:val="0"/>
                <w:sz w:val="24"/>
                <w:szCs w:val="28"/>
              </w:rPr>
              <w:t>=2；</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H—作业落差，装堆时取0.5m，装车时取1.0；</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w</w:t>
            </w:r>
            <w:r>
              <w:rPr>
                <w:rFonts w:hint="eastAsia" w:eastAsia="宋体"/>
                <w:color w:val="0000FF"/>
                <w:spacing w:val="0"/>
                <w:sz w:val="24"/>
                <w:szCs w:val="28"/>
                <w:vertAlign w:val="subscript"/>
              </w:rPr>
              <w:t>2</w:t>
            </w:r>
            <w:r>
              <w:rPr>
                <w:rFonts w:hint="eastAsia" w:eastAsia="宋体"/>
                <w:color w:val="0000FF"/>
                <w:spacing w:val="0"/>
                <w:sz w:val="24"/>
                <w:szCs w:val="28"/>
              </w:rPr>
              <w:t>—水分作用系数，与散货性质有关，取0.40~0.45，本次环评取0.45；</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w</w:t>
            </w:r>
            <w:r>
              <w:rPr>
                <w:rFonts w:hint="eastAsia" w:eastAsia="宋体"/>
                <w:color w:val="0000FF"/>
                <w:spacing w:val="0"/>
                <w:sz w:val="24"/>
                <w:szCs w:val="28"/>
                <w:vertAlign w:val="subscript"/>
              </w:rPr>
              <w:t>0</w:t>
            </w:r>
            <w:r>
              <w:rPr>
                <w:rFonts w:hint="eastAsia" w:eastAsia="宋体"/>
                <w:color w:val="0000FF"/>
                <w:spacing w:val="0"/>
                <w:sz w:val="24"/>
                <w:szCs w:val="28"/>
              </w:rPr>
              <w:t>—水分作用效果的临界值，即含水率高于此值时水分作用效果增加不明显，与散货性质有关，煤炭：6%；</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w—含水率，煤炭：10%；</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U—堆场风速，m/s；按宁县多年平均风速1.93m/s。</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Y—作业量，t；煤炭30万t。</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v</w:t>
            </w:r>
            <w:r>
              <w:rPr>
                <w:rFonts w:hint="eastAsia" w:eastAsia="宋体"/>
                <w:color w:val="0000FF"/>
                <w:spacing w:val="0"/>
                <w:sz w:val="24"/>
                <w:szCs w:val="28"/>
                <w:vertAlign w:val="subscript"/>
              </w:rPr>
              <w:t>2</w:t>
            </w:r>
            <w:r>
              <w:rPr>
                <w:rFonts w:hint="eastAsia" w:eastAsia="宋体"/>
                <w:color w:val="0000FF"/>
                <w:spacing w:val="0"/>
                <w:sz w:val="24"/>
                <w:szCs w:val="28"/>
              </w:rPr>
              <w:t>:—作业起尘量达到最大起尘量50%时的风速，本次取最大风速15m/s。</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根据计算结果可知，装卸过程初始起尘量为3.62t/a，</w:t>
            </w:r>
            <w:r>
              <w:rPr>
                <w:rFonts w:eastAsia="宋体"/>
                <w:color w:val="0000FF"/>
                <w:spacing w:val="0"/>
                <w:sz w:val="24"/>
                <w:szCs w:val="28"/>
              </w:rPr>
              <w:t>项目</w:t>
            </w:r>
            <w:r>
              <w:rPr>
                <w:rFonts w:hint="eastAsia" w:eastAsia="宋体"/>
                <w:color w:val="0000FF"/>
                <w:spacing w:val="0"/>
                <w:sz w:val="24"/>
                <w:szCs w:val="28"/>
              </w:rPr>
              <w:t>煤炭卸煤工作在库内进行，装煤工序在室外进行，装卸过程采取洒水降尘，则降尘效率可达80%，则通过采取以上措施后装卸粉尘量为0.72t/a。</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②</w:t>
            </w:r>
            <w:r>
              <w:rPr>
                <w:rFonts w:hint="eastAsia" w:eastAsia="宋体"/>
                <w:color w:val="0000FF"/>
                <w:spacing w:val="0"/>
                <w:sz w:val="24"/>
                <w:szCs w:val="28"/>
              </w:rPr>
              <w:t>筛分粉尘</w:t>
            </w:r>
          </w:p>
          <w:p>
            <w:pPr>
              <w:spacing w:line="360" w:lineRule="auto"/>
              <w:ind w:firstLine="480" w:firstLineChars="200"/>
              <w:rPr>
                <w:color w:val="0000FF"/>
                <w:sz w:val="24"/>
              </w:rPr>
            </w:pPr>
            <w:r>
              <w:rPr>
                <w:color w:val="0000FF"/>
                <w:sz w:val="24"/>
              </w:rPr>
              <w:t>项目采用</w:t>
            </w:r>
            <w:r>
              <w:rPr>
                <w:rFonts w:hint="eastAsia"/>
                <w:color w:val="0000FF"/>
                <w:sz w:val="24"/>
              </w:rPr>
              <w:t>分拣机</w:t>
            </w:r>
            <w:r>
              <w:rPr>
                <w:color w:val="0000FF"/>
                <w:sz w:val="24"/>
              </w:rPr>
              <w:t>对煤炭进行筛分，煤炭筛分量为</w:t>
            </w:r>
            <w:r>
              <w:rPr>
                <w:rFonts w:hint="eastAsia"/>
                <w:color w:val="0000FF"/>
                <w:sz w:val="24"/>
              </w:rPr>
              <w:t>3</w:t>
            </w:r>
            <w:r>
              <w:rPr>
                <w:color w:val="0000FF"/>
                <w:sz w:val="24"/>
              </w:rPr>
              <w:t>0万t/a，</w:t>
            </w:r>
            <w:r>
              <w:rPr>
                <w:rFonts w:hint="eastAsia"/>
                <w:color w:val="0000FF"/>
                <w:sz w:val="24"/>
              </w:rPr>
              <w:t>经类比由陕西省环境评估中心编制的《府谷新阳矿业有限公司煤炭资源整合项目（0.9Mt/a）竣工环境保护验收调查报告》中数据（煤炭筛分与本项目工艺类似，因而具有可类比性，类比项目年筛分煤炭120万t，粉尘产生速率12.5kg/h），则本项目筛分过程粉尘产生速率3.13kg/h，年筛分粉尘产生量为22.54t/a；本次环评要求</w:t>
            </w:r>
            <w:r>
              <w:rPr>
                <w:color w:val="0000FF"/>
                <w:sz w:val="24"/>
              </w:rPr>
              <w:t>筛选加工设备设在轻钢结构全封闭的筛选区，将产尘设备集中布置，筛分设备及转载点要全封闭，留设吸尘口，通过吸尘管道、引风机（配备风机风量为</w:t>
            </w:r>
            <w:r>
              <w:rPr>
                <w:rFonts w:hint="eastAsia"/>
                <w:color w:val="0000FF"/>
                <w:sz w:val="24"/>
              </w:rPr>
              <w:t>5</w:t>
            </w:r>
            <w:r>
              <w:rPr>
                <w:color w:val="0000FF"/>
                <w:sz w:val="24"/>
              </w:rPr>
              <w:t>000m</w:t>
            </w:r>
            <w:r>
              <w:rPr>
                <w:color w:val="0000FF"/>
                <w:sz w:val="24"/>
                <w:vertAlign w:val="superscript"/>
              </w:rPr>
              <w:t>3</w:t>
            </w:r>
            <w:r>
              <w:rPr>
                <w:color w:val="0000FF"/>
                <w:sz w:val="24"/>
              </w:rPr>
              <w:t>/h）将逸散的煤尘引至1台布袋除尘器，处理后经一根不低于15m</w:t>
            </w:r>
            <w:r>
              <w:rPr>
                <w:rFonts w:hint="eastAsia"/>
                <w:color w:val="0000FF"/>
                <w:sz w:val="24"/>
              </w:rPr>
              <w:t>高</w:t>
            </w:r>
            <w:r>
              <w:rPr>
                <w:color w:val="0000FF"/>
                <w:sz w:val="24"/>
              </w:rPr>
              <w:t>排气筒排放，</w:t>
            </w:r>
            <w:r>
              <w:rPr>
                <w:rFonts w:hint="eastAsia"/>
                <w:color w:val="0000FF"/>
                <w:sz w:val="24"/>
              </w:rPr>
              <w:t>布袋除尘器除尘效率按99%计，则</w:t>
            </w:r>
            <w:r>
              <w:rPr>
                <w:color w:val="0000FF"/>
                <w:sz w:val="24"/>
              </w:rPr>
              <w:t>有组织煤尘排放量为</w:t>
            </w:r>
            <w:r>
              <w:rPr>
                <w:rFonts w:hint="eastAsia"/>
                <w:color w:val="0000FF"/>
                <w:sz w:val="24"/>
              </w:rPr>
              <w:t>0.23</w:t>
            </w:r>
            <w:r>
              <w:rPr>
                <w:color w:val="0000FF"/>
                <w:sz w:val="24"/>
              </w:rPr>
              <w:t>t/a，排放浓度为</w:t>
            </w:r>
            <w:r>
              <w:rPr>
                <w:rFonts w:hint="eastAsia"/>
                <w:color w:val="0000FF"/>
                <w:sz w:val="24"/>
              </w:rPr>
              <w:t>6.39</w:t>
            </w:r>
            <w:r>
              <w:rPr>
                <w:color w:val="0000FF"/>
                <w:sz w:val="24"/>
              </w:rPr>
              <w:t>mg/m</w:t>
            </w:r>
            <w:r>
              <w:rPr>
                <w:color w:val="0000FF"/>
                <w:sz w:val="24"/>
                <w:vertAlign w:val="superscript"/>
              </w:rPr>
              <w:t>3</w:t>
            </w:r>
            <w:r>
              <w:rPr>
                <w:color w:val="0000FF"/>
                <w:sz w:val="24"/>
              </w:rPr>
              <w:t>，满足《煤炭工业污染物排放标准》(GB 20426</w:t>
            </w:r>
            <w:r>
              <w:rPr>
                <w:rFonts w:hint="eastAsia"/>
                <w:color w:val="0000FF"/>
                <w:sz w:val="24"/>
              </w:rPr>
              <w:t>-</w:t>
            </w:r>
            <w:r>
              <w:rPr>
                <w:color w:val="0000FF"/>
                <w:sz w:val="24"/>
              </w:rPr>
              <w:t>2006)煤尘排放浓度≤80mg/m</w:t>
            </w:r>
            <w:r>
              <w:rPr>
                <w:color w:val="0000FF"/>
                <w:sz w:val="24"/>
                <w:vertAlign w:val="superscript"/>
              </w:rPr>
              <w:t>3</w:t>
            </w:r>
            <w:r>
              <w:rPr>
                <w:color w:val="0000FF"/>
                <w:sz w:val="24"/>
              </w:rPr>
              <w:t>或设备去除效率≥98%的要求。</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③</w:t>
            </w:r>
            <w:r>
              <w:rPr>
                <w:rFonts w:hint="eastAsia" w:eastAsia="宋体"/>
                <w:color w:val="0000FF"/>
                <w:spacing w:val="0"/>
                <w:sz w:val="24"/>
                <w:szCs w:val="28"/>
              </w:rPr>
              <w:t>物料皮带输送粉尘</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物料输送时产生的煤尘物料输送环节产尘量较大的主要是皮带输送、转载、跌落等处，输送皮带、转载点等采用轻钢结构全封闭，设计时尽量降低物料转载、跌落高度。采取上述措施后，抑尘效率可达到90%以上，产尘系数按0.001kg/t计，则产尘量为0.03t/a。</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④</w:t>
            </w:r>
            <w:r>
              <w:rPr>
                <w:rFonts w:hint="eastAsia" w:eastAsia="宋体"/>
                <w:color w:val="0000FF"/>
                <w:spacing w:val="0"/>
                <w:sz w:val="24"/>
                <w:szCs w:val="28"/>
              </w:rPr>
              <w:t>运输车辆产生的运输扬尘</w:t>
            </w:r>
          </w:p>
          <w:p>
            <w:pPr>
              <w:spacing w:line="360" w:lineRule="auto"/>
              <w:ind w:firstLine="480" w:firstLineChars="200"/>
              <w:jc w:val="center"/>
              <w:rPr>
                <w:color w:val="0000FF"/>
                <w:sz w:val="24"/>
              </w:rPr>
            </w:pPr>
            <w:r>
              <w:rPr>
                <w:color w:val="0000FF"/>
                <w:sz w:val="24"/>
              </w:rPr>
              <w:t>车辆行驶产生的扬尘，在道路完全干燥的情况下，可按下列经验公式计算：Q=0.123(V/5)(W/6.8)</w:t>
            </w:r>
            <w:r>
              <w:rPr>
                <w:color w:val="0000FF"/>
                <w:sz w:val="24"/>
                <w:vertAlign w:val="superscript"/>
              </w:rPr>
              <w:t>0.85</w:t>
            </w:r>
            <w:r>
              <w:rPr>
                <w:color w:val="0000FF"/>
                <w:sz w:val="24"/>
              </w:rPr>
              <w:t>(P/0.5)</w:t>
            </w:r>
            <w:r>
              <w:rPr>
                <w:color w:val="0000FF"/>
                <w:sz w:val="24"/>
                <w:vertAlign w:val="superscript"/>
              </w:rPr>
              <w:t>0.72</w:t>
            </w:r>
          </w:p>
          <w:p>
            <w:pPr>
              <w:spacing w:line="360" w:lineRule="auto"/>
              <w:ind w:firstLine="480" w:firstLineChars="200"/>
              <w:rPr>
                <w:color w:val="0000FF"/>
                <w:sz w:val="24"/>
              </w:rPr>
            </w:pPr>
            <w:r>
              <w:rPr>
                <w:color w:val="0000FF"/>
                <w:sz w:val="24"/>
              </w:rPr>
              <w:t xml:space="preserve"> 式中：Q：汽车行驶时的扬尘，kg/km.辆；</w:t>
            </w:r>
          </w:p>
          <w:p>
            <w:pPr>
              <w:spacing w:line="360" w:lineRule="auto"/>
              <w:ind w:firstLine="480" w:firstLineChars="200"/>
              <w:rPr>
                <w:color w:val="0000FF"/>
                <w:sz w:val="24"/>
              </w:rPr>
            </w:pPr>
            <w:r>
              <w:rPr>
                <w:color w:val="0000FF"/>
                <w:sz w:val="24"/>
              </w:rPr>
              <w:t xml:space="preserve">       V：汽车速度，km/h；</w:t>
            </w:r>
          </w:p>
          <w:p>
            <w:pPr>
              <w:spacing w:line="360" w:lineRule="auto"/>
              <w:ind w:firstLine="480" w:firstLineChars="200"/>
              <w:rPr>
                <w:color w:val="0000FF"/>
                <w:sz w:val="24"/>
              </w:rPr>
            </w:pPr>
            <w:r>
              <w:rPr>
                <w:color w:val="0000FF"/>
                <w:sz w:val="24"/>
              </w:rPr>
              <w:t xml:space="preserve">       W：汽车载重量，吨；</w:t>
            </w:r>
          </w:p>
          <w:p>
            <w:pPr>
              <w:spacing w:line="360" w:lineRule="auto"/>
              <w:ind w:firstLine="1320" w:firstLineChars="550"/>
              <w:rPr>
                <w:color w:val="0000FF"/>
                <w:sz w:val="24"/>
              </w:rPr>
            </w:pPr>
            <w:r>
              <w:rPr>
                <w:color w:val="0000FF"/>
                <w:sz w:val="24"/>
              </w:rPr>
              <w:t>P：道路表面粉尘量，kg/m</w:t>
            </w:r>
            <w:r>
              <w:rPr>
                <w:color w:val="0000FF"/>
                <w:sz w:val="24"/>
                <w:vertAlign w:val="superscript"/>
              </w:rPr>
              <w:t>2</w:t>
            </w:r>
            <w:r>
              <w:rPr>
                <w:color w:val="0000FF"/>
                <w:sz w:val="24"/>
              </w:rPr>
              <w:t>。</w:t>
            </w:r>
          </w:p>
          <w:p>
            <w:pPr>
              <w:spacing w:line="360" w:lineRule="auto"/>
              <w:ind w:firstLine="480" w:firstLineChars="200"/>
              <w:rPr>
                <w:rFonts w:hint="eastAsia"/>
                <w:color w:val="0000FF"/>
                <w:sz w:val="24"/>
              </w:rPr>
            </w:pPr>
            <w:r>
              <w:rPr>
                <w:color w:val="0000FF"/>
                <w:sz w:val="24"/>
              </w:rPr>
              <w:t>本项目车辆在厂区行驶距离按</w:t>
            </w:r>
            <w:r>
              <w:rPr>
                <w:rFonts w:hint="eastAsia"/>
                <w:color w:val="0000FF"/>
                <w:sz w:val="24"/>
              </w:rPr>
              <w:t>300</w:t>
            </w:r>
            <w:r>
              <w:rPr>
                <w:color w:val="0000FF"/>
                <w:sz w:val="24"/>
              </w:rPr>
              <w:t>米计，平均每天发车空、重载各</w:t>
            </w:r>
            <w:r>
              <w:rPr>
                <w:rFonts w:hint="eastAsia"/>
                <w:color w:val="0000FF"/>
                <w:sz w:val="24"/>
              </w:rPr>
              <w:t>12</w:t>
            </w:r>
            <w:r>
              <w:rPr>
                <w:color w:val="0000FF"/>
                <w:sz w:val="24"/>
              </w:rPr>
              <w:t>辆·次；</w:t>
            </w:r>
            <w:r>
              <w:rPr>
                <w:rFonts w:hint="eastAsia"/>
                <w:color w:val="0000FF"/>
                <w:sz w:val="24"/>
              </w:rPr>
              <w:t>汽车载重28t</w:t>
            </w:r>
            <w:r>
              <w:rPr>
                <w:color w:val="0000FF"/>
                <w:sz w:val="24"/>
              </w:rPr>
              <w:t>，以速度20km/h行驶，在不同路面清洁度情况下的扬尘量如下表所示。</w:t>
            </w:r>
          </w:p>
          <w:p>
            <w:pPr>
              <w:spacing w:line="360" w:lineRule="auto"/>
              <w:ind w:firstLine="480" w:firstLineChars="200"/>
              <w:jc w:val="center"/>
              <w:rPr>
                <w:b/>
                <w:color w:val="0000FF"/>
                <w:sz w:val="24"/>
              </w:rPr>
            </w:pPr>
            <w:r>
              <w:rPr>
                <w:b/>
                <w:color w:val="0000FF"/>
                <w:sz w:val="24"/>
              </w:rPr>
              <w:t>表</w:t>
            </w:r>
            <w:r>
              <w:rPr>
                <w:rFonts w:hint="eastAsia"/>
                <w:b/>
                <w:color w:val="0000FF"/>
                <w:sz w:val="24"/>
              </w:rPr>
              <w:t xml:space="preserve">23  </w:t>
            </w:r>
            <w:r>
              <w:rPr>
                <w:b/>
                <w:color w:val="0000FF"/>
                <w:sz w:val="24"/>
              </w:rPr>
              <w:t>空车和重车产生扬尘量一览表    单位：kg/</w:t>
            </w:r>
            <w:r>
              <w:rPr>
                <w:rFonts w:hint="eastAsia"/>
                <w:b/>
                <w:color w:val="0000FF"/>
                <w:sz w:val="24"/>
              </w:rPr>
              <w:t>km.</w:t>
            </w:r>
            <w:r>
              <w:rPr>
                <w:b/>
                <w:color w:val="0000FF"/>
                <w:sz w:val="24"/>
              </w:rPr>
              <w:t>d</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79"/>
              <w:gridCol w:w="956"/>
              <w:gridCol w:w="956"/>
              <w:gridCol w:w="956"/>
              <w:gridCol w:w="956"/>
              <w:gridCol w:w="956"/>
              <w:gridCol w:w="9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2579" w:type="dxa"/>
                  <w:tcBorders>
                    <w:top w:val="single" w:color="auto" w:sz="12" w:space="0"/>
                    <w:left w:val="nil"/>
                    <w:bottom w:val="single" w:color="auto" w:sz="6" w:space="0"/>
                    <w:tl2br w:val="single" w:color="auto" w:sz="4" w:space="0"/>
                  </w:tcBorders>
                  <w:vAlign w:val="center"/>
                </w:tcPr>
                <w:p>
                  <w:pPr>
                    <w:jc w:val="right"/>
                    <w:rPr>
                      <w:color w:val="0000FF"/>
                      <w:szCs w:val="21"/>
                    </w:rPr>
                  </w:pPr>
                  <w:r>
                    <w:rPr>
                      <w:color w:val="0000FF"/>
                      <w:szCs w:val="21"/>
                    </w:rPr>
                    <w:t>路况（kg/m</w:t>
                  </w:r>
                  <w:r>
                    <w:rPr>
                      <w:color w:val="0000FF"/>
                      <w:szCs w:val="21"/>
                      <w:vertAlign w:val="superscript"/>
                    </w:rPr>
                    <w:t>2</w:t>
                  </w:r>
                  <w:r>
                    <w:rPr>
                      <w:color w:val="0000FF"/>
                      <w:szCs w:val="21"/>
                    </w:rPr>
                    <w:t>）</w:t>
                  </w:r>
                </w:p>
                <w:p>
                  <w:pPr>
                    <w:jc w:val="left"/>
                    <w:rPr>
                      <w:color w:val="0000FF"/>
                      <w:szCs w:val="21"/>
                    </w:rPr>
                  </w:pPr>
                  <w:r>
                    <w:rPr>
                      <w:color w:val="0000FF"/>
                      <w:szCs w:val="21"/>
                    </w:rPr>
                    <w:t>车况</w:t>
                  </w:r>
                </w:p>
              </w:tc>
              <w:tc>
                <w:tcPr>
                  <w:tcW w:w="956" w:type="dxa"/>
                  <w:tcBorders>
                    <w:top w:val="single" w:color="auto" w:sz="12" w:space="0"/>
                    <w:bottom w:val="single" w:color="auto" w:sz="6" w:space="0"/>
                  </w:tcBorders>
                  <w:vAlign w:val="center"/>
                </w:tcPr>
                <w:p>
                  <w:pPr>
                    <w:jc w:val="center"/>
                    <w:rPr>
                      <w:color w:val="0000FF"/>
                      <w:szCs w:val="21"/>
                    </w:rPr>
                  </w:pPr>
                  <w:r>
                    <w:rPr>
                      <w:color w:val="0000FF"/>
                      <w:szCs w:val="21"/>
                    </w:rPr>
                    <w:t>0.1</w:t>
                  </w:r>
                </w:p>
              </w:tc>
              <w:tc>
                <w:tcPr>
                  <w:tcW w:w="956" w:type="dxa"/>
                  <w:tcBorders>
                    <w:top w:val="single" w:color="auto" w:sz="12" w:space="0"/>
                    <w:bottom w:val="single" w:color="auto" w:sz="6" w:space="0"/>
                  </w:tcBorders>
                  <w:vAlign w:val="center"/>
                </w:tcPr>
                <w:p>
                  <w:pPr>
                    <w:jc w:val="center"/>
                    <w:rPr>
                      <w:color w:val="0000FF"/>
                      <w:szCs w:val="21"/>
                    </w:rPr>
                  </w:pPr>
                  <w:r>
                    <w:rPr>
                      <w:color w:val="0000FF"/>
                      <w:szCs w:val="21"/>
                    </w:rPr>
                    <w:t>0.2</w:t>
                  </w:r>
                </w:p>
              </w:tc>
              <w:tc>
                <w:tcPr>
                  <w:tcW w:w="956" w:type="dxa"/>
                  <w:tcBorders>
                    <w:top w:val="single" w:color="auto" w:sz="12" w:space="0"/>
                    <w:bottom w:val="single" w:color="auto" w:sz="6" w:space="0"/>
                  </w:tcBorders>
                  <w:vAlign w:val="center"/>
                </w:tcPr>
                <w:p>
                  <w:pPr>
                    <w:jc w:val="center"/>
                    <w:rPr>
                      <w:color w:val="0000FF"/>
                      <w:szCs w:val="21"/>
                    </w:rPr>
                  </w:pPr>
                  <w:r>
                    <w:rPr>
                      <w:color w:val="0000FF"/>
                      <w:szCs w:val="21"/>
                    </w:rPr>
                    <w:t>0.3</w:t>
                  </w:r>
                </w:p>
              </w:tc>
              <w:tc>
                <w:tcPr>
                  <w:tcW w:w="956" w:type="dxa"/>
                  <w:tcBorders>
                    <w:top w:val="single" w:color="auto" w:sz="12" w:space="0"/>
                    <w:bottom w:val="single" w:color="auto" w:sz="6" w:space="0"/>
                  </w:tcBorders>
                  <w:vAlign w:val="center"/>
                </w:tcPr>
                <w:p>
                  <w:pPr>
                    <w:jc w:val="center"/>
                    <w:rPr>
                      <w:color w:val="0000FF"/>
                      <w:szCs w:val="21"/>
                    </w:rPr>
                  </w:pPr>
                  <w:r>
                    <w:rPr>
                      <w:color w:val="0000FF"/>
                      <w:szCs w:val="21"/>
                    </w:rPr>
                    <w:t>0.4</w:t>
                  </w:r>
                </w:p>
              </w:tc>
              <w:tc>
                <w:tcPr>
                  <w:tcW w:w="956" w:type="dxa"/>
                  <w:tcBorders>
                    <w:top w:val="single" w:color="auto" w:sz="12" w:space="0"/>
                    <w:bottom w:val="single" w:color="auto" w:sz="6" w:space="0"/>
                  </w:tcBorders>
                  <w:vAlign w:val="center"/>
                </w:tcPr>
                <w:p>
                  <w:pPr>
                    <w:jc w:val="center"/>
                    <w:rPr>
                      <w:color w:val="0000FF"/>
                      <w:szCs w:val="21"/>
                    </w:rPr>
                  </w:pPr>
                  <w:r>
                    <w:rPr>
                      <w:color w:val="0000FF"/>
                      <w:szCs w:val="21"/>
                    </w:rPr>
                    <w:t>0.5</w:t>
                  </w:r>
                </w:p>
              </w:tc>
              <w:tc>
                <w:tcPr>
                  <w:tcW w:w="954" w:type="dxa"/>
                  <w:tcBorders>
                    <w:top w:val="single" w:color="auto" w:sz="12" w:space="0"/>
                    <w:bottom w:val="single" w:color="auto" w:sz="6" w:space="0"/>
                    <w:right w:val="nil"/>
                  </w:tcBorders>
                  <w:vAlign w:val="center"/>
                </w:tcPr>
                <w:p>
                  <w:pPr>
                    <w:jc w:val="center"/>
                    <w:rPr>
                      <w:color w:val="0000FF"/>
                      <w:szCs w:val="21"/>
                    </w:rPr>
                  </w:pPr>
                  <w:r>
                    <w:rPr>
                      <w:color w:val="0000FF"/>
                      <w:szCs w:val="21"/>
                    </w:rPr>
                    <w:t>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2579" w:type="dxa"/>
                  <w:tcBorders>
                    <w:top w:val="single" w:color="auto" w:sz="6" w:space="0"/>
                    <w:left w:val="nil"/>
                    <w:bottom w:val="single" w:color="auto" w:sz="6" w:space="0"/>
                  </w:tcBorders>
                  <w:vAlign w:val="center"/>
                </w:tcPr>
                <w:p>
                  <w:pPr>
                    <w:jc w:val="center"/>
                    <w:rPr>
                      <w:color w:val="0000FF"/>
                      <w:szCs w:val="21"/>
                    </w:rPr>
                  </w:pPr>
                  <w:r>
                    <w:rPr>
                      <w:color w:val="0000FF"/>
                      <w:szCs w:val="21"/>
                    </w:rPr>
                    <w:t>空车</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0.12</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0.20</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0.26</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0.32</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0.38</w:t>
                  </w:r>
                </w:p>
              </w:tc>
              <w:tc>
                <w:tcPr>
                  <w:tcW w:w="954" w:type="dxa"/>
                  <w:tcBorders>
                    <w:top w:val="single" w:color="auto" w:sz="6" w:space="0"/>
                    <w:bottom w:val="single" w:color="auto" w:sz="6" w:space="0"/>
                    <w:right w:val="nil"/>
                  </w:tcBorders>
                  <w:vAlign w:val="bottom"/>
                </w:tcPr>
                <w:p>
                  <w:pPr>
                    <w:jc w:val="center"/>
                    <w:rPr>
                      <w:rFonts w:ascii="宋体" w:hAnsi="宋体" w:cs="宋体"/>
                      <w:color w:val="0000FF"/>
                      <w:szCs w:val="21"/>
                    </w:rPr>
                  </w:pPr>
                  <w:r>
                    <w:rPr>
                      <w:rFonts w:hint="eastAsia"/>
                      <w:color w:val="0000FF"/>
                      <w:szCs w:val="21"/>
                    </w:rPr>
                    <w:t>0.43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2579" w:type="dxa"/>
                  <w:tcBorders>
                    <w:top w:val="single" w:color="auto" w:sz="6" w:space="0"/>
                    <w:left w:val="nil"/>
                    <w:bottom w:val="single" w:color="auto" w:sz="6" w:space="0"/>
                  </w:tcBorders>
                  <w:vAlign w:val="center"/>
                </w:tcPr>
                <w:p>
                  <w:pPr>
                    <w:jc w:val="center"/>
                    <w:rPr>
                      <w:color w:val="0000FF"/>
                      <w:szCs w:val="21"/>
                    </w:rPr>
                  </w:pPr>
                  <w:r>
                    <w:rPr>
                      <w:color w:val="0000FF"/>
                      <w:szCs w:val="21"/>
                    </w:rPr>
                    <w:t>重车</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0.59</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0.97</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1.30</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1.60</w:t>
                  </w:r>
                </w:p>
              </w:tc>
              <w:tc>
                <w:tcPr>
                  <w:tcW w:w="956" w:type="dxa"/>
                  <w:tcBorders>
                    <w:top w:val="single" w:color="auto" w:sz="6" w:space="0"/>
                    <w:bottom w:val="single" w:color="auto" w:sz="6" w:space="0"/>
                  </w:tcBorders>
                  <w:vAlign w:val="bottom"/>
                </w:tcPr>
                <w:p>
                  <w:pPr>
                    <w:jc w:val="center"/>
                    <w:rPr>
                      <w:rFonts w:ascii="宋体" w:hAnsi="宋体" w:cs="宋体"/>
                      <w:color w:val="0000FF"/>
                      <w:szCs w:val="21"/>
                    </w:rPr>
                  </w:pPr>
                  <w:r>
                    <w:rPr>
                      <w:rFonts w:hint="eastAsia"/>
                      <w:color w:val="0000FF"/>
                      <w:szCs w:val="21"/>
                    </w:rPr>
                    <w:t>1.88</w:t>
                  </w:r>
                </w:p>
              </w:tc>
              <w:tc>
                <w:tcPr>
                  <w:tcW w:w="954" w:type="dxa"/>
                  <w:tcBorders>
                    <w:top w:val="single" w:color="auto" w:sz="6" w:space="0"/>
                    <w:bottom w:val="single" w:color="auto" w:sz="6" w:space="0"/>
                    <w:right w:val="nil"/>
                  </w:tcBorders>
                  <w:vAlign w:val="bottom"/>
                </w:tcPr>
                <w:p>
                  <w:pPr>
                    <w:jc w:val="center"/>
                    <w:rPr>
                      <w:rFonts w:ascii="宋体" w:hAnsi="宋体" w:cs="宋体"/>
                      <w:color w:val="0000FF"/>
                      <w:szCs w:val="21"/>
                    </w:rPr>
                  </w:pPr>
                  <w:r>
                    <w:rPr>
                      <w:rFonts w:hint="eastAsia"/>
                      <w:color w:val="0000FF"/>
                      <w:szCs w:val="21"/>
                    </w:rPr>
                    <w:t>2.15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2579" w:type="dxa"/>
                  <w:tcBorders>
                    <w:top w:val="single" w:color="auto" w:sz="6" w:space="0"/>
                    <w:left w:val="nil"/>
                    <w:bottom w:val="single" w:color="auto" w:sz="12" w:space="0"/>
                  </w:tcBorders>
                  <w:vAlign w:val="center"/>
                </w:tcPr>
                <w:p>
                  <w:pPr>
                    <w:jc w:val="center"/>
                    <w:rPr>
                      <w:color w:val="0000FF"/>
                      <w:szCs w:val="21"/>
                    </w:rPr>
                  </w:pPr>
                  <w:r>
                    <w:rPr>
                      <w:color w:val="0000FF"/>
                      <w:szCs w:val="21"/>
                    </w:rPr>
                    <w:t>合计</w:t>
                  </w:r>
                </w:p>
              </w:tc>
              <w:tc>
                <w:tcPr>
                  <w:tcW w:w="956" w:type="dxa"/>
                  <w:tcBorders>
                    <w:top w:val="single" w:color="auto" w:sz="6" w:space="0"/>
                    <w:bottom w:val="single" w:color="auto" w:sz="12" w:space="0"/>
                  </w:tcBorders>
                  <w:vAlign w:val="bottom"/>
                </w:tcPr>
                <w:p>
                  <w:pPr>
                    <w:jc w:val="center"/>
                    <w:rPr>
                      <w:rFonts w:ascii="宋体" w:hAnsi="宋体" w:cs="宋体"/>
                      <w:color w:val="0000FF"/>
                      <w:szCs w:val="21"/>
                    </w:rPr>
                  </w:pPr>
                  <w:r>
                    <w:rPr>
                      <w:rFonts w:hint="eastAsia"/>
                      <w:color w:val="0000FF"/>
                      <w:szCs w:val="21"/>
                    </w:rPr>
                    <w:t>0.71</w:t>
                  </w:r>
                </w:p>
              </w:tc>
              <w:tc>
                <w:tcPr>
                  <w:tcW w:w="956" w:type="dxa"/>
                  <w:tcBorders>
                    <w:top w:val="single" w:color="auto" w:sz="6" w:space="0"/>
                    <w:bottom w:val="single" w:color="auto" w:sz="12" w:space="0"/>
                  </w:tcBorders>
                  <w:vAlign w:val="bottom"/>
                </w:tcPr>
                <w:p>
                  <w:pPr>
                    <w:jc w:val="center"/>
                    <w:rPr>
                      <w:rFonts w:ascii="宋体" w:hAnsi="宋体" w:cs="宋体"/>
                      <w:color w:val="0000FF"/>
                      <w:szCs w:val="21"/>
                    </w:rPr>
                  </w:pPr>
                  <w:r>
                    <w:rPr>
                      <w:rFonts w:hint="eastAsia"/>
                      <w:color w:val="0000FF"/>
                      <w:szCs w:val="21"/>
                    </w:rPr>
                    <w:t>1.17</w:t>
                  </w:r>
                </w:p>
              </w:tc>
              <w:tc>
                <w:tcPr>
                  <w:tcW w:w="956" w:type="dxa"/>
                  <w:tcBorders>
                    <w:top w:val="single" w:color="auto" w:sz="6" w:space="0"/>
                    <w:bottom w:val="single" w:color="auto" w:sz="12" w:space="0"/>
                  </w:tcBorders>
                  <w:vAlign w:val="bottom"/>
                </w:tcPr>
                <w:p>
                  <w:pPr>
                    <w:jc w:val="center"/>
                    <w:rPr>
                      <w:rFonts w:ascii="宋体" w:hAnsi="宋体" w:cs="宋体"/>
                      <w:color w:val="0000FF"/>
                      <w:szCs w:val="21"/>
                    </w:rPr>
                  </w:pPr>
                  <w:r>
                    <w:rPr>
                      <w:rFonts w:hint="eastAsia"/>
                      <w:color w:val="0000FF"/>
                      <w:szCs w:val="21"/>
                    </w:rPr>
                    <w:t>1.57</w:t>
                  </w:r>
                </w:p>
              </w:tc>
              <w:tc>
                <w:tcPr>
                  <w:tcW w:w="956" w:type="dxa"/>
                  <w:tcBorders>
                    <w:top w:val="single" w:color="auto" w:sz="6" w:space="0"/>
                    <w:bottom w:val="single" w:color="auto" w:sz="12" w:space="0"/>
                  </w:tcBorders>
                  <w:vAlign w:val="bottom"/>
                </w:tcPr>
                <w:p>
                  <w:pPr>
                    <w:jc w:val="center"/>
                    <w:rPr>
                      <w:rFonts w:ascii="宋体" w:hAnsi="宋体" w:cs="宋体"/>
                      <w:color w:val="0000FF"/>
                      <w:szCs w:val="21"/>
                    </w:rPr>
                  </w:pPr>
                  <w:r>
                    <w:rPr>
                      <w:rFonts w:hint="eastAsia"/>
                      <w:color w:val="0000FF"/>
                      <w:szCs w:val="21"/>
                    </w:rPr>
                    <w:t>1.93</w:t>
                  </w:r>
                </w:p>
              </w:tc>
              <w:tc>
                <w:tcPr>
                  <w:tcW w:w="956" w:type="dxa"/>
                  <w:tcBorders>
                    <w:top w:val="single" w:color="auto" w:sz="6" w:space="0"/>
                    <w:bottom w:val="single" w:color="auto" w:sz="12" w:space="0"/>
                  </w:tcBorders>
                  <w:vAlign w:val="bottom"/>
                </w:tcPr>
                <w:p>
                  <w:pPr>
                    <w:jc w:val="center"/>
                    <w:rPr>
                      <w:rFonts w:ascii="宋体" w:hAnsi="宋体" w:cs="宋体"/>
                      <w:color w:val="0000FF"/>
                      <w:szCs w:val="21"/>
                    </w:rPr>
                  </w:pPr>
                  <w:r>
                    <w:rPr>
                      <w:rFonts w:hint="eastAsia"/>
                      <w:color w:val="0000FF"/>
                      <w:szCs w:val="21"/>
                    </w:rPr>
                    <w:t>2.26</w:t>
                  </w:r>
                </w:p>
              </w:tc>
              <w:tc>
                <w:tcPr>
                  <w:tcW w:w="954" w:type="dxa"/>
                  <w:tcBorders>
                    <w:top w:val="single" w:color="auto" w:sz="6" w:space="0"/>
                    <w:bottom w:val="single" w:color="auto" w:sz="12" w:space="0"/>
                    <w:right w:val="nil"/>
                  </w:tcBorders>
                  <w:vAlign w:val="bottom"/>
                </w:tcPr>
                <w:p>
                  <w:pPr>
                    <w:jc w:val="center"/>
                    <w:rPr>
                      <w:rFonts w:ascii="宋体" w:hAnsi="宋体" w:cs="宋体"/>
                      <w:color w:val="0000FF"/>
                      <w:szCs w:val="21"/>
                    </w:rPr>
                  </w:pPr>
                  <w:r>
                    <w:rPr>
                      <w:rFonts w:hint="eastAsia"/>
                      <w:color w:val="0000FF"/>
                      <w:szCs w:val="21"/>
                    </w:rPr>
                    <w:t>2.58</w:t>
                  </w:r>
                </w:p>
              </w:tc>
            </w:tr>
          </w:tbl>
          <w:p>
            <w:pPr>
              <w:pStyle w:val="104"/>
              <w:spacing w:line="360" w:lineRule="auto"/>
              <w:ind w:firstLine="504"/>
              <w:rPr>
                <w:rFonts w:eastAsia="宋体"/>
                <w:color w:val="0000FF"/>
                <w:spacing w:val="0"/>
                <w:sz w:val="24"/>
                <w:szCs w:val="28"/>
              </w:rPr>
            </w:pPr>
            <w:r>
              <w:rPr>
                <w:rFonts w:eastAsia="宋体"/>
                <w:color w:val="0000FF"/>
                <w:sz w:val="24"/>
              </w:rPr>
              <w:t>根据本项目的实际情况，要求对厂区内地面进行定时撒水，以减少道路扬尘。本项目道路路况以0.1kg/m</w:t>
            </w:r>
            <w:r>
              <w:rPr>
                <w:rFonts w:eastAsia="宋体"/>
                <w:color w:val="0000FF"/>
                <w:sz w:val="24"/>
                <w:vertAlign w:val="superscript"/>
              </w:rPr>
              <w:t>2</w:t>
            </w:r>
            <w:r>
              <w:rPr>
                <w:rFonts w:eastAsia="宋体"/>
                <w:color w:val="0000FF"/>
                <w:sz w:val="24"/>
              </w:rPr>
              <w:t>计，则项目汽车</w:t>
            </w:r>
            <w:r>
              <w:rPr>
                <w:rFonts w:hint="eastAsia" w:eastAsia="宋体"/>
                <w:color w:val="0000FF"/>
                <w:sz w:val="24"/>
              </w:rPr>
              <w:t>运输扬尘</w:t>
            </w:r>
            <w:r>
              <w:rPr>
                <w:rFonts w:eastAsia="宋体"/>
                <w:color w:val="0000FF"/>
                <w:sz w:val="24"/>
              </w:rPr>
              <w:t>为</w:t>
            </w:r>
            <w:r>
              <w:rPr>
                <w:rFonts w:hint="eastAsia" w:eastAsia="宋体"/>
                <w:color w:val="0000FF"/>
                <w:sz w:val="24"/>
              </w:rPr>
              <w:t>1.5</w:t>
            </w:r>
            <w:r>
              <w:rPr>
                <w:rFonts w:eastAsia="宋体"/>
                <w:color w:val="0000FF"/>
                <w:sz w:val="24"/>
              </w:rPr>
              <w:t>t/a，采取洒水抑尘等方式，汽车动力起尘量明显减少，洒水后起尘量按产生量的20%计算，则项目汽车动力起尘量为</w:t>
            </w:r>
            <w:r>
              <w:rPr>
                <w:rFonts w:hint="eastAsia" w:eastAsia="宋体"/>
                <w:color w:val="0000FF"/>
                <w:sz w:val="24"/>
              </w:rPr>
              <w:t>0.3</w:t>
            </w:r>
            <w:r>
              <w:rPr>
                <w:rFonts w:eastAsia="宋体"/>
                <w:color w:val="0000FF"/>
                <w:sz w:val="24"/>
              </w:rPr>
              <w:t>t/a。</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⑤</w:t>
            </w:r>
            <w:r>
              <w:rPr>
                <w:rFonts w:hint="eastAsia" w:eastAsia="宋体"/>
                <w:color w:val="0000FF"/>
                <w:spacing w:val="0"/>
                <w:sz w:val="24"/>
                <w:szCs w:val="28"/>
              </w:rPr>
              <w:t>汽车尾气</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汽车尾气是本项目的大气污染之一，主要含有 NO</w:t>
            </w:r>
            <w:r>
              <w:rPr>
                <w:rFonts w:hint="eastAsia" w:eastAsia="宋体"/>
                <w:color w:val="0000FF"/>
                <w:spacing w:val="0"/>
                <w:sz w:val="24"/>
                <w:szCs w:val="28"/>
                <w:vertAlign w:val="subscript"/>
              </w:rPr>
              <w:t>x</w:t>
            </w:r>
            <w:r>
              <w:rPr>
                <w:rFonts w:hint="eastAsia" w:eastAsia="宋体"/>
                <w:color w:val="0000FF"/>
                <w:spacing w:val="0"/>
                <w:sz w:val="24"/>
                <w:szCs w:val="28"/>
              </w:rPr>
              <w:t>、CO、TSP 和未完全燃烧的碳氢化合物 HC。本项目车辆进出厂区较分散，汽车尾气属于无组织排放，经空气迅速扩散。</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（2）废水</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项目运营后产生的废水主要有生活废水和洗车废水。</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①</w:t>
            </w:r>
            <w:r>
              <w:rPr>
                <w:rFonts w:hint="eastAsia" w:eastAsia="宋体"/>
                <w:color w:val="0000FF"/>
                <w:spacing w:val="0"/>
                <w:sz w:val="24"/>
                <w:szCs w:val="28"/>
              </w:rPr>
              <w:t>洗车废水</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厂区设置洗车台，用于进出车辆的清洗。设置有沉淀水池（10m</w:t>
            </w:r>
            <w:r>
              <w:rPr>
                <w:rFonts w:hint="eastAsia" w:eastAsia="宋体"/>
                <w:color w:val="0000FF"/>
                <w:spacing w:val="0"/>
                <w:sz w:val="24"/>
                <w:szCs w:val="28"/>
                <w:vertAlign w:val="superscript"/>
              </w:rPr>
              <w:t>3</w:t>
            </w:r>
            <w:r>
              <w:rPr>
                <w:rFonts w:hint="eastAsia" w:eastAsia="宋体"/>
                <w:color w:val="0000FF"/>
                <w:spacing w:val="0"/>
                <w:sz w:val="24"/>
                <w:szCs w:val="28"/>
              </w:rPr>
              <w:t>），清洗水沉淀后循环使用不外排，运输车辆按平均12次/d 计，洗车用水按50L/辆，日用水量 5.4m</w:t>
            </w:r>
            <w:r>
              <w:rPr>
                <w:rFonts w:hint="eastAsia" w:eastAsia="宋体"/>
                <w:color w:val="0000FF"/>
                <w:spacing w:val="0"/>
                <w:sz w:val="24"/>
                <w:szCs w:val="28"/>
                <w:vertAlign w:val="superscript"/>
              </w:rPr>
              <w:t>3</w:t>
            </w:r>
            <w:r>
              <w:rPr>
                <w:rFonts w:hint="eastAsia" w:eastAsia="宋体"/>
                <w:color w:val="0000FF"/>
                <w:spacing w:val="0"/>
                <w:sz w:val="24"/>
                <w:szCs w:val="28"/>
              </w:rPr>
              <w:t>/d，清洗天数以300天计算，清洗过程中损耗水量约占20%，80%的清洗废水经导流沟引入沉淀池中。因此，项目运输车辆的清洗水量为1296m</w:t>
            </w:r>
            <w:r>
              <w:rPr>
                <w:rFonts w:hint="eastAsia" w:eastAsia="宋体"/>
                <w:color w:val="0000FF"/>
                <w:spacing w:val="0"/>
                <w:sz w:val="24"/>
                <w:szCs w:val="28"/>
                <w:vertAlign w:val="superscript"/>
              </w:rPr>
              <w:t>3</w:t>
            </w:r>
            <w:r>
              <w:rPr>
                <w:rFonts w:hint="eastAsia" w:eastAsia="宋体"/>
                <w:color w:val="0000FF"/>
                <w:spacing w:val="0"/>
                <w:sz w:val="24"/>
                <w:szCs w:val="28"/>
              </w:rPr>
              <w:t>/a。洗车废水中污染物主要为SS，SS浓度约为200mg/L，经沉淀后SS浓度为50mg/L，可回用于煤炭堆放场区和厂区道路泼洒抑尘。</w:t>
            </w:r>
          </w:p>
          <w:p>
            <w:pPr>
              <w:pStyle w:val="104"/>
              <w:spacing w:line="360" w:lineRule="auto"/>
              <w:ind w:firstLine="480"/>
              <w:rPr>
                <w:rFonts w:hint="eastAsia" w:eastAsia="宋体"/>
                <w:color w:val="0000FF"/>
                <w:spacing w:val="0"/>
                <w:sz w:val="24"/>
                <w:szCs w:val="28"/>
              </w:rPr>
            </w:pPr>
            <w:r>
              <w:rPr>
                <w:rFonts w:hint="eastAsia" w:ascii="宋体" w:hAnsi="宋体" w:eastAsia="宋体"/>
                <w:color w:val="0000FF"/>
                <w:spacing w:val="0"/>
                <w:sz w:val="24"/>
                <w:szCs w:val="28"/>
              </w:rPr>
              <w:t>②</w:t>
            </w:r>
            <w:r>
              <w:rPr>
                <w:rFonts w:hint="eastAsia" w:eastAsia="宋体"/>
                <w:color w:val="0000FF"/>
                <w:spacing w:val="0"/>
                <w:sz w:val="24"/>
                <w:szCs w:val="28"/>
              </w:rPr>
              <w:t>生活废水</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本项目新增2个工作人员，生活用水定额按100L/人.d计，则生活用水量为0.2m</w:t>
            </w:r>
            <w:r>
              <w:rPr>
                <w:rFonts w:hint="eastAsia" w:eastAsia="宋体"/>
                <w:color w:val="0000FF"/>
                <w:spacing w:val="0"/>
                <w:sz w:val="24"/>
                <w:szCs w:val="28"/>
                <w:vertAlign w:val="superscript"/>
              </w:rPr>
              <w:t>3</w:t>
            </w:r>
            <w:r>
              <w:rPr>
                <w:rFonts w:hint="eastAsia" w:eastAsia="宋体"/>
                <w:color w:val="0000FF"/>
                <w:spacing w:val="0"/>
                <w:sz w:val="24"/>
                <w:szCs w:val="28"/>
              </w:rPr>
              <w:t>/d，60m</w:t>
            </w:r>
            <w:r>
              <w:rPr>
                <w:rFonts w:hint="eastAsia" w:eastAsia="宋体"/>
                <w:color w:val="0000FF"/>
                <w:spacing w:val="0"/>
                <w:sz w:val="24"/>
                <w:szCs w:val="28"/>
                <w:vertAlign w:val="superscript"/>
              </w:rPr>
              <w:t>3</w:t>
            </w:r>
            <w:r>
              <w:rPr>
                <w:rFonts w:hint="eastAsia" w:eastAsia="宋体"/>
                <w:color w:val="0000FF"/>
                <w:spacing w:val="0"/>
                <w:sz w:val="24"/>
                <w:szCs w:val="28"/>
              </w:rPr>
              <w:t>/a，废水产生量按用水量的80%计，则生活废水产生量为0.16 m</w:t>
            </w:r>
            <w:r>
              <w:rPr>
                <w:rFonts w:hint="eastAsia" w:eastAsia="宋体"/>
                <w:color w:val="0000FF"/>
                <w:spacing w:val="0"/>
                <w:sz w:val="24"/>
                <w:szCs w:val="28"/>
                <w:vertAlign w:val="superscript"/>
              </w:rPr>
              <w:t>3</w:t>
            </w:r>
            <w:r>
              <w:rPr>
                <w:rFonts w:hint="eastAsia" w:eastAsia="宋体"/>
                <w:color w:val="0000FF"/>
                <w:spacing w:val="0"/>
                <w:sz w:val="24"/>
                <w:szCs w:val="28"/>
              </w:rPr>
              <w:t>/d，48m</w:t>
            </w:r>
            <w:r>
              <w:rPr>
                <w:rFonts w:hint="eastAsia" w:eastAsia="宋体"/>
                <w:color w:val="0000FF"/>
                <w:spacing w:val="0"/>
                <w:sz w:val="24"/>
                <w:szCs w:val="28"/>
                <w:vertAlign w:val="superscript"/>
              </w:rPr>
              <w:t>3</w:t>
            </w:r>
            <w:r>
              <w:rPr>
                <w:rFonts w:hint="eastAsia" w:eastAsia="宋体"/>
                <w:color w:val="0000FF"/>
                <w:spacing w:val="0"/>
                <w:sz w:val="24"/>
                <w:szCs w:val="28"/>
              </w:rPr>
              <w:t>/a，生活废水依托庆阳亿信肥业有限公司化粪池进行处理后由庆阳亿信肥业有限公司统一采用吸污车拉至宁县污水处理厂进行处理。</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（3）噪声</w:t>
            </w:r>
          </w:p>
          <w:p>
            <w:pPr>
              <w:pStyle w:val="104"/>
              <w:spacing w:line="360" w:lineRule="auto"/>
              <w:ind w:firstLine="504"/>
              <w:rPr>
                <w:rFonts w:eastAsia="宋体"/>
                <w:color w:val="0000FF"/>
                <w:sz w:val="24"/>
              </w:rPr>
            </w:pPr>
            <w:r>
              <w:rPr>
                <w:rFonts w:eastAsia="宋体"/>
                <w:color w:val="0000FF"/>
                <w:sz w:val="24"/>
              </w:rPr>
              <w:t>本项目噪声主要来</w:t>
            </w:r>
            <w:r>
              <w:rPr>
                <w:rFonts w:hint="eastAsia" w:eastAsia="宋体"/>
                <w:color w:val="0000FF"/>
                <w:sz w:val="24"/>
              </w:rPr>
              <w:t>煤炭筛分、装载</w:t>
            </w:r>
            <w:r>
              <w:rPr>
                <w:rFonts w:eastAsia="宋体"/>
                <w:color w:val="0000FF"/>
                <w:sz w:val="24"/>
              </w:rPr>
              <w:t>过程中的</w:t>
            </w:r>
            <w:r>
              <w:rPr>
                <w:rFonts w:hint="eastAsia" w:eastAsia="宋体"/>
                <w:color w:val="0000FF"/>
                <w:sz w:val="24"/>
              </w:rPr>
              <w:t>分拣机、风机</w:t>
            </w:r>
            <w:r>
              <w:rPr>
                <w:rFonts w:eastAsia="宋体"/>
                <w:color w:val="0000FF"/>
                <w:sz w:val="24"/>
              </w:rPr>
              <w:t>等设备</w:t>
            </w:r>
            <w:r>
              <w:rPr>
                <w:rFonts w:hint="eastAsia" w:eastAsia="宋体"/>
                <w:color w:val="0000FF"/>
                <w:sz w:val="24"/>
              </w:rPr>
              <w:t>噪声和牵引车、装载车等车辆行驶噪声</w:t>
            </w:r>
            <w:r>
              <w:rPr>
                <w:rFonts w:eastAsia="宋体"/>
                <w:color w:val="0000FF"/>
                <w:sz w:val="24"/>
              </w:rPr>
              <w:t>，其源强见下表。</w:t>
            </w:r>
          </w:p>
          <w:p>
            <w:pPr>
              <w:widowControl/>
              <w:ind w:firstLine="600" w:firstLineChars="250"/>
              <w:jc w:val="center"/>
              <w:rPr>
                <w:b/>
                <w:color w:val="0000FF"/>
                <w:sz w:val="24"/>
              </w:rPr>
            </w:pPr>
            <w:r>
              <w:rPr>
                <w:b/>
                <w:color w:val="0000FF"/>
                <w:sz w:val="24"/>
              </w:rPr>
              <w:t>表</w:t>
            </w:r>
            <w:r>
              <w:rPr>
                <w:rFonts w:hint="eastAsia"/>
                <w:b/>
                <w:color w:val="0000FF"/>
                <w:sz w:val="24"/>
              </w:rPr>
              <w:t>24</w:t>
            </w:r>
            <w:r>
              <w:rPr>
                <w:b/>
                <w:color w:val="0000FF"/>
                <w:sz w:val="24"/>
              </w:rPr>
              <w:t xml:space="preserve">   设备噪声一览表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663"/>
              <w:gridCol w:w="1445"/>
              <w:gridCol w:w="1584"/>
              <w:gridCol w:w="158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vAlign w:val="center"/>
                </w:tcPr>
                <w:p>
                  <w:pPr>
                    <w:jc w:val="center"/>
                    <w:rPr>
                      <w:color w:val="0000FF"/>
                      <w:szCs w:val="21"/>
                    </w:rPr>
                  </w:pPr>
                  <w:r>
                    <w:rPr>
                      <w:color w:val="0000FF"/>
                      <w:szCs w:val="21"/>
                    </w:rPr>
                    <w:t>序号</w:t>
                  </w:r>
                </w:p>
              </w:tc>
              <w:tc>
                <w:tcPr>
                  <w:tcW w:w="2663" w:type="dxa"/>
                  <w:vAlign w:val="center"/>
                </w:tcPr>
                <w:p>
                  <w:pPr>
                    <w:jc w:val="center"/>
                    <w:rPr>
                      <w:color w:val="0000FF"/>
                      <w:szCs w:val="21"/>
                    </w:rPr>
                  </w:pPr>
                  <w:r>
                    <w:rPr>
                      <w:color w:val="0000FF"/>
                      <w:szCs w:val="21"/>
                    </w:rPr>
                    <w:t>设备名称</w:t>
                  </w:r>
                </w:p>
              </w:tc>
              <w:tc>
                <w:tcPr>
                  <w:tcW w:w="1445" w:type="dxa"/>
                  <w:vAlign w:val="center"/>
                </w:tcPr>
                <w:p>
                  <w:pPr>
                    <w:jc w:val="center"/>
                    <w:rPr>
                      <w:color w:val="0000FF"/>
                      <w:szCs w:val="21"/>
                    </w:rPr>
                  </w:pPr>
                  <w:r>
                    <w:rPr>
                      <w:color w:val="0000FF"/>
                      <w:szCs w:val="21"/>
                    </w:rPr>
                    <w:t>台数</w:t>
                  </w:r>
                </w:p>
              </w:tc>
              <w:tc>
                <w:tcPr>
                  <w:tcW w:w="1584" w:type="dxa"/>
                  <w:vAlign w:val="center"/>
                </w:tcPr>
                <w:p>
                  <w:pPr>
                    <w:pStyle w:val="104"/>
                    <w:spacing w:line="240" w:lineRule="auto"/>
                    <w:ind w:firstLine="0" w:firstLineChars="0"/>
                    <w:jc w:val="center"/>
                    <w:rPr>
                      <w:rFonts w:eastAsia="宋体"/>
                      <w:color w:val="0000FF"/>
                      <w:sz w:val="21"/>
                      <w:szCs w:val="21"/>
                    </w:rPr>
                  </w:pPr>
                  <w:r>
                    <w:rPr>
                      <w:rFonts w:eastAsia="宋体"/>
                      <w:color w:val="0000FF"/>
                      <w:sz w:val="21"/>
                      <w:szCs w:val="21"/>
                    </w:rPr>
                    <w:t>源强</w:t>
                  </w:r>
                </w:p>
              </w:tc>
              <w:tc>
                <w:tcPr>
                  <w:tcW w:w="1583" w:type="dxa"/>
                  <w:vAlign w:val="center"/>
                </w:tcPr>
                <w:p>
                  <w:pPr>
                    <w:pStyle w:val="104"/>
                    <w:spacing w:line="240" w:lineRule="auto"/>
                    <w:ind w:firstLine="0" w:firstLineChars="0"/>
                    <w:jc w:val="center"/>
                    <w:rPr>
                      <w:rFonts w:eastAsia="宋体"/>
                      <w:color w:val="0000FF"/>
                      <w:sz w:val="21"/>
                      <w:szCs w:val="21"/>
                    </w:rPr>
                  </w:pPr>
                  <w:r>
                    <w:rPr>
                      <w:rFonts w:eastAsia="宋体"/>
                      <w:color w:val="0000FF"/>
                      <w:sz w:val="21"/>
                      <w:szCs w:val="21"/>
                    </w:rPr>
                    <w:t>备注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vAlign w:val="center"/>
                </w:tcPr>
                <w:p>
                  <w:pPr>
                    <w:jc w:val="center"/>
                    <w:rPr>
                      <w:color w:val="0000FF"/>
                      <w:szCs w:val="21"/>
                    </w:rPr>
                  </w:pPr>
                  <w:r>
                    <w:rPr>
                      <w:color w:val="0000FF"/>
                      <w:szCs w:val="21"/>
                    </w:rPr>
                    <w:t>1</w:t>
                  </w:r>
                </w:p>
              </w:tc>
              <w:tc>
                <w:tcPr>
                  <w:tcW w:w="2663" w:type="dxa"/>
                  <w:vAlign w:val="center"/>
                </w:tcPr>
                <w:p>
                  <w:pPr>
                    <w:jc w:val="center"/>
                    <w:rPr>
                      <w:color w:val="0000FF"/>
                      <w:szCs w:val="21"/>
                    </w:rPr>
                  </w:pPr>
                  <w:r>
                    <w:rPr>
                      <w:rFonts w:hint="eastAsia"/>
                      <w:color w:val="0000FF"/>
                      <w:szCs w:val="21"/>
                    </w:rPr>
                    <w:t>分拣机</w:t>
                  </w:r>
                </w:p>
              </w:tc>
              <w:tc>
                <w:tcPr>
                  <w:tcW w:w="1445" w:type="dxa"/>
                  <w:vAlign w:val="center"/>
                </w:tcPr>
                <w:p>
                  <w:pPr>
                    <w:jc w:val="center"/>
                    <w:rPr>
                      <w:color w:val="0000FF"/>
                      <w:szCs w:val="21"/>
                    </w:rPr>
                  </w:pPr>
                  <w:r>
                    <w:rPr>
                      <w:rFonts w:hint="eastAsia"/>
                      <w:color w:val="0000FF"/>
                      <w:szCs w:val="21"/>
                    </w:rPr>
                    <w:t>2</w:t>
                  </w:r>
                </w:p>
              </w:tc>
              <w:tc>
                <w:tcPr>
                  <w:tcW w:w="1584" w:type="dxa"/>
                </w:tcPr>
                <w:p>
                  <w:pPr>
                    <w:jc w:val="center"/>
                    <w:rPr>
                      <w:color w:val="0000FF"/>
                      <w:szCs w:val="21"/>
                    </w:rPr>
                  </w:pPr>
                  <w:r>
                    <w:rPr>
                      <w:rFonts w:hint="eastAsia"/>
                      <w:color w:val="0000FF"/>
                      <w:szCs w:val="21"/>
                    </w:rPr>
                    <w:t>90</w:t>
                  </w:r>
                </w:p>
              </w:tc>
              <w:tc>
                <w:tcPr>
                  <w:tcW w:w="1583" w:type="dxa"/>
                  <w:vAlign w:val="center"/>
                </w:tcPr>
                <w:p>
                  <w:pPr>
                    <w:jc w:val="center"/>
                    <w:rPr>
                      <w:color w:val="0000FF"/>
                      <w:szCs w:val="21"/>
                    </w:rPr>
                  </w:pPr>
                  <w:r>
                    <w:rPr>
                      <w:color w:val="0000FF"/>
                      <w:szCs w:val="21"/>
                    </w:rPr>
                    <w:t>间歇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vAlign w:val="center"/>
                </w:tcPr>
                <w:p>
                  <w:pPr>
                    <w:jc w:val="center"/>
                    <w:rPr>
                      <w:color w:val="0000FF"/>
                      <w:szCs w:val="21"/>
                    </w:rPr>
                  </w:pPr>
                  <w:r>
                    <w:rPr>
                      <w:rFonts w:hint="eastAsia"/>
                      <w:color w:val="0000FF"/>
                      <w:szCs w:val="21"/>
                    </w:rPr>
                    <w:t>2</w:t>
                  </w:r>
                </w:p>
              </w:tc>
              <w:tc>
                <w:tcPr>
                  <w:tcW w:w="2663" w:type="dxa"/>
                  <w:vAlign w:val="center"/>
                </w:tcPr>
                <w:p>
                  <w:pPr>
                    <w:jc w:val="center"/>
                    <w:rPr>
                      <w:color w:val="0000FF"/>
                      <w:szCs w:val="21"/>
                    </w:rPr>
                  </w:pPr>
                  <w:r>
                    <w:rPr>
                      <w:rFonts w:hint="eastAsia"/>
                      <w:color w:val="0000FF"/>
                      <w:szCs w:val="21"/>
                    </w:rPr>
                    <w:t>风机</w:t>
                  </w:r>
                </w:p>
              </w:tc>
              <w:tc>
                <w:tcPr>
                  <w:tcW w:w="1445" w:type="dxa"/>
                  <w:vAlign w:val="center"/>
                </w:tcPr>
                <w:p>
                  <w:pPr>
                    <w:jc w:val="center"/>
                    <w:rPr>
                      <w:color w:val="0000FF"/>
                      <w:szCs w:val="21"/>
                    </w:rPr>
                  </w:pPr>
                  <w:r>
                    <w:rPr>
                      <w:rFonts w:hint="eastAsia"/>
                      <w:color w:val="0000FF"/>
                      <w:szCs w:val="21"/>
                    </w:rPr>
                    <w:t>2</w:t>
                  </w:r>
                </w:p>
              </w:tc>
              <w:tc>
                <w:tcPr>
                  <w:tcW w:w="1584" w:type="dxa"/>
                </w:tcPr>
                <w:p>
                  <w:pPr>
                    <w:jc w:val="center"/>
                    <w:rPr>
                      <w:color w:val="0000FF"/>
                      <w:szCs w:val="21"/>
                    </w:rPr>
                  </w:pPr>
                  <w:r>
                    <w:rPr>
                      <w:rFonts w:hint="eastAsia"/>
                      <w:color w:val="0000FF"/>
                      <w:szCs w:val="21"/>
                    </w:rPr>
                    <w:t>90</w:t>
                  </w:r>
                </w:p>
              </w:tc>
              <w:tc>
                <w:tcPr>
                  <w:tcW w:w="1583" w:type="dxa"/>
                  <w:vAlign w:val="center"/>
                </w:tcPr>
                <w:p>
                  <w:pPr>
                    <w:jc w:val="center"/>
                    <w:rPr>
                      <w:color w:val="0000FF"/>
                      <w:szCs w:val="21"/>
                    </w:rPr>
                  </w:pPr>
                  <w:r>
                    <w:rPr>
                      <w:color w:val="0000FF"/>
                      <w:szCs w:val="21"/>
                    </w:rPr>
                    <w:t>间歇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vAlign w:val="center"/>
                </w:tcPr>
                <w:p>
                  <w:pPr>
                    <w:jc w:val="center"/>
                    <w:rPr>
                      <w:color w:val="0000FF"/>
                      <w:szCs w:val="21"/>
                    </w:rPr>
                  </w:pPr>
                  <w:r>
                    <w:rPr>
                      <w:rFonts w:hint="eastAsia"/>
                      <w:color w:val="0000FF"/>
                      <w:szCs w:val="21"/>
                    </w:rPr>
                    <w:t>3</w:t>
                  </w:r>
                </w:p>
              </w:tc>
              <w:tc>
                <w:tcPr>
                  <w:tcW w:w="2663" w:type="dxa"/>
                  <w:vAlign w:val="center"/>
                </w:tcPr>
                <w:p>
                  <w:pPr>
                    <w:jc w:val="center"/>
                    <w:rPr>
                      <w:color w:val="0000FF"/>
                      <w:szCs w:val="21"/>
                    </w:rPr>
                  </w:pPr>
                  <w:r>
                    <w:rPr>
                      <w:rFonts w:hint="eastAsia"/>
                      <w:color w:val="0000FF"/>
                      <w:szCs w:val="21"/>
                    </w:rPr>
                    <w:t>牵引车</w:t>
                  </w:r>
                </w:p>
              </w:tc>
              <w:tc>
                <w:tcPr>
                  <w:tcW w:w="1445" w:type="dxa"/>
                  <w:vAlign w:val="center"/>
                </w:tcPr>
                <w:p>
                  <w:pPr>
                    <w:jc w:val="center"/>
                    <w:rPr>
                      <w:color w:val="0000FF"/>
                      <w:szCs w:val="21"/>
                    </w:rPr>
                  </w:pPr>
                  <w:r>
                    <w:rPr>
                      <w:rFonts w:hint="eastAsia"/>
                      <w:color w:val="0000FF"/>
                      <w:szCs w:val="21"/>
                    </w:rPr>
                    <w:t>15</w:t>
                  </w:r>
                </w:p>
              </w:tc>
              <w:tc>
                <w:tcPr>
                  <w:tcW w:w="1584" w:type="dxa"/>
                </w:tcPr>
                <w:p>
                  <w:pPr>
                    <w:jc w:val="center"/>
                    <w:rPr>
                      <w:color w:val="0000FF"/>
                      <w:szCs w:val="21"/>
                    </w:rPr>
                  </w:pPr>
                  <w:r>
                    <w:rPr>
                      <w:rFonts w:hint="eastAsia"/>
                      <w:color w:val="0000FF"/>
                      <w:szCs w:val="21"/>
                    </w:rPr>
                    <w:t>80</w:t>
                  </w:r>
                </w:p>
              </w:tc>
              <w:tc>
                <w:tcPr>
                  <w:tcW w:w="1583" w:type="dxa"/>
                  <w:vAlign w:val="center"/>
                </w:tcPr>
                <w:p>
                  <w:pPr>
                    <w:jc w:val="center"/>
                    <w:rPr>
                      <w:color w:val="0000FF"/>
                      <w:szCs w:val="21"/>
                    </w:rPr>
                  </w:pPr>
                  <w:r>
                    <w:rPr>
                      <w:color w:val="0000FF"/>
                      <w:szCs w:val="21"/>
                    </w:rPr>
                    <w:t>间歇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8" w:type="dxa"/>
                  <w:vAlign w:val="center"/>
                </w:tcPr>
                <w:p>
                  <w:pPr>
                    <w:jc w:val="center"/>
                    <w:rPr>
                      <w:color w:val="0000FF"/>
                      <w:szCs w:val="21"/>
                    </w:rPr>
                  </w:pPr>
                  <w:r>
                    <w:rPr>
                      <w:rFonts w:hint="eastAsia"/>
                      <w:color w:val="0000FF"/>
                      <w:szCs w:val="21"/>
                    </w:rPr>
                    <w:t>4</w:t>
                  </w:r>
                </w:p>
              </w:tc>
              <w:tc>
                <w:tcPr>
                  <w:tcW w:w="2663" w:type="dxa"/>
                  <w:vAlign w:val="center"/>
                </w:tcPr>
                <w:p>
                  <w:pPr>
                    <w:jc w:val="center"/>
                    <w:rPr>
                      <w:color w:val="0000FF"/>
                      <w:szCs w:val="21"/>
                    </w:rPr>
                  </w:pPr>
                  <w:r>
                    <w:rPr>
                      <w:rFonts w:hint="eastAsia"/>
                      <w:color w:val="0000FF"/>
                      <w:szCs w:val="21"/>
                    </w:rPr>
                    <w:t>装载车</w:t>
                  </w:r>
                </w:p>
              </w:tc>
              <w:tc>
                <w:tcPr>
                  <w:tcW w:w="1445" w:type="dxa"/>
                  <w:vAlign w:val="center"/>
                </w:tcPr>
                <w:p>
                  <w:pPr>
                    <w:jc w:val="center"/>
                    <w:rPr>
                      <w:color w:val="0000FF"/>
                      <w:szCs w:val="21"/>
                    </w:rPr>
                  </w:pPr>
                  <w:r>
                    <w:rPr>
                      <w:rFonts w:hint="eastAsia"/>
                      <w:color w:val="0000FF"/>
                      <w:szCs w:val="21"/>
                    </w:rPr>
                    <w:t>3</w:t>
                  </w:r>
                </w:p>
              </w:tc>
              <w:tc>
                <w:tcPr>
                  <w:tcW w:w="1584" w:type="dxa"/>
                </w:tcPr>
                <w:p>
                  <w:pPr>
                    <w:jc w:val="center"/>
                    <w:rPr>
                      <w:color w:val="0000FF"/>
                      <w:szCs w:val="21"/>
                    </w:rPr>
                  </w:pPr>
                  <w:r>
                    <w:rPr>
                      <w:rFonts w:hint="eastAsia"/>
                      <w:color w:val="0000FF"/>
                      <w:szCs w:val="21"/>
                    </w:rPr>
                    <w:t>85</w:t>
                  </w:r>
                </w:p>
              </w:tc>
              <w:tc>
                <w:tcPr>
                  <w:tcW w:w="1583" w:type="dxa"/>
                  <w:vAlign w:val="center"/>
                </w:tcPr>
                <w:p>
                  <w:pPr>
                    <w:jc w:val="center"/>
                    <w:rPr>
                      <w:color w:val="0000FF"/>
                      <w:szCs w:val="21"/>
                    </w:rPr>
                  </w:pPr>
                  <w:r>
                    <w:rPr>
                      <w:color w:val="0000FF"/>
                      <w:szCs w:val="21"/>
                    </w:rPr>
                    <w:t>间歇</w:t>
                  </w:r>
                </w:p>
              </w:tc>
            </w:tr>
          </w:tbl>
          <w:p>
            <w:pPr>
              <w:pStyle w:val="104"/>
              <w:spacing w:line="360" w:lineRule="auto"/>
              <w:ind w:firstLine="0" w:firstLineChars="0"/>
              <w:rPr>
                <w:rFonts w:hint="eastAsia" w:eastAsia="宋体"/>
                <w:color w:val="0000FF"/>
                <w:sz w:val="24"/>
              </w:rPr>
            </w:pPr>
            <w:r>
              <w:rPr>
                <w:rFonts w:eastAsia="宋体"/>
                <w:color w:val="0000FF"/>
                <w:sz w:val="24"/>
              </w:rPr>
              <w:t>（</w:t>
            </w:r>
            <w:r>
              <w:rPr>
                <w:rFonts w:hint="eastAsia" w:eastAsia="宋体"/>
                <w:color w:val="0000FF"/>
                <w:sz w:val="24"/>
              </w:rPr>
              <w:t>4</w:t>
            </w:r>
            <w:r>
              <w:rPr>
                <w:rFonts w:eastAsia="宋体"/>
                <w:color w:val="0000FF"/>
                <w:sz w:val="24"/>
              </w:rPr>
              <w:t>）固体废物</w:t>
            </w:r>
          </w:p>
          <w:p>
            <w:pPr>
              <w:pStyle w:val="104"/>
              <w:spacing w:line="360" w:lineRule="auto"/>
              <w:ind w:firstLine="504"/>
              <w:rPr>
                <w:rFonts w:hint="eastAsia" w:eastAsia="宋体"/>
                <w:color w:val="0000FF"/>
                <w:sz w:val="24"/>
              </w:rPr>
            </w:pPr>
            <w:r>
              <w:rPr>
                <w:rFonts w:hint="eastAsia" w:eastAsia="宋体"/>
                <w:color w:val="0000FF"/>
                <w:sz w:val="24"/>
              </w:rPr>
              <w:t>主要为沉淀池煤泥、布袋除尘器收集灰和工作人员生活垃圾。</w:t>
            </w:r>
          </w:p>
          <w:p>
            <w:pPr>
              <w:pStyle w:val="104"/>
              <w:spacing w:line="360" w:lineRule="auto"/>
              <w:ind w:firstLine="504"/>
              <w:rPr>
                <w:rFonts w:eastAsia="宋体"/>
                <w:color w:val="0000FF"/>
                <w:sz w:val="22"/>
              </w:rPr>
            </w:pPr>
            <w:r>
              <w:rPr>
                <w:rFonts w:eastAsia="宋体"/>
                <w:color w:val="0000FF"/>
                <w:sz w:val="24"/>
                <w:szCs w:val="22"/>
              </w:rPr>
              <w:t>项目运营期劳动定员为</w:t>
            </w:r>
            <w:r>
              <w:rPr>
                <w:rFonts w:hint="eastAsia" w:eastAsia="宋体"/>
                <w:color w:val="0000FF"/>
                <w:sz w:val="24"/>
                <w:szCs w:val="22"/>
              </w:rPr>
              <w:t>2</w:t>
            </w:r>
            <w:r>
              <w:rPr>
                <w:rFonts w:eastAsia="宋体"/>
                <w:color w:val="0000FF"/>
                <w:sz w:val="24"/>
                <w:szCs w:val="22"/>
              </w:rPr>
              <w:t>人，生活垃圾产生系数为0.5kg/（d·人），项目每年运营期300天，则员工产生的生活垃圾量为</w:t>
            </w:r>
            <w:r>
              <w:rPr>
                <w:rFonts w:hint="eastAsia" w:eastAsia="宋体"/>
                <w:color w:val="0000FF"/>
                <w:sz w:val="24"/>
                <w:szCs w:val="22"/>
              </w:rPr>
              <w:t>1.0</w:t>
            </w:r>
            <w:r>
              <w:rPr>
                <w:rFonts w:eastAsia="宋体"/>
                <w:color w:val="0000FF"/>
                <w:sz w:val="24"/>
                <w:szCs w:val="22"/>
              </w:rPr>
              <w:t>kg/d（</w:t>
            </w:r>
            <w:r>
              <w:rPr>
                <w:rFonts w:hint="eastAsia" w:eastAsia="宋体"/>
                <w:color w:val="0000FF"/>
                <w:sz w:val="24"/>
                <w:szCs w:val="22"/>
              </w:rPr>
              <w:t>0.3</w:t>
            </w:r>
            <w:r>
              <w:rPr>
                <w:rFonts w:eastAsia="宋体"/>
                <w:color w:val="0000FF"/>
                <w:sz w:val="24"/>
                <w:szCs w:val="22"/>
              </w:rPr>
              <w:t>t/a），生活垃圾集中收集后统一运送到当地环卫部门指定的地点。</w:t>
            </w:r>
          </w:p>
          <w:p>
            <w:pPr>
              <w:pStyle w:val="104"/>
              <w:spacing w:line="360" w:lineRule="auto"/>
              <w:ind w:firstLine="504"/>
              <w:rPr>
                <w:rFonts w:hint="eastAsia" w:eastAsia="宋体"/>
                <w:color w:val="0000FF"/>
                <w:sz w:val="24"/>
                <w:szCs w:val="22"/>
              </w:rPr>
            </w:pPr>
            <w:r>
              <w:rPr>
                <w:rFonts w:hint="eastAsia" w:eastAsia="宋体"/>
                <w:color w:val="0000FF"/>
                <w:sz w:val="24"/>
                <w:szCs w:val="22"/>
              </w:rPr>
              <w:t>沉淀池煤泥产生量约3t/a，定期清掏后外售。</w:t>
            </w:r>
          </w:p>
          <w:p>
            <w:pPr>
              <w:pStyle w:val="104"/>
              <w:spacing w:line="360" w:lineRule="auto"/>
              <w:ind w:firstLine="504"/>
              <w:rPr>
                <w:rFonts w:hint="eastAsia" w:eastAsia="宋体"/>
                <w:color w:val="0000FF"/>
                <w:sz w:val="24"/>
              </w:rPr>
            </w:pPr>
            <w:r>
              <w:rPr>
                <w:rFonts w:hint="eastAsia" w:eastAsia="宋体"/>
                <w:color w:val="0000FF"/>
                <w:sz w:val="24"/>
              </w:rPr>
              <w:t>布袋除尘器收集灰22.31t/a，收集后外售。</w:t>
            </w:r>
          </w:p>
          <w:p>
            <w:pPr>
              <w:pStyle w:val="104"/>
              <w:spacing w:line="360" w:lineRule="auto"/>
              <w:ind w:firstLine="504"/>
              <w:rPr>
                <w:rFonts w:hint="eastAsia" w:eastAsia="宋体"/>
                <w:sz w:val="24"/>
              </w:rPr>
            </w:pPr>
          </w:p>
          <w:p>
            <w:pPr>
              <w:pStyle w:val="104"/>
              <w:spacing w:line="360" w:lineRule="auto"/>
              <w:ind w:firstLine="0" w:firstLineChars="0"/>
              <w:rPr>
                <w:rFonts w:hint="eastAsia"/>
              </w:rPr>
            </w:pPr>
          </w:p>
          <w:p>
            <w:pPr>
              <w:pStyle w:val="107"/>
              <w:rPr>
                <w:rFonts w:hint="eastAsia"/>
              </w:rPr>
            </w:pPr>
          </w:p>
          <w:p>
            <w:pPr>
              <w:pStyle w:val="107"/>
              <w:rPr>
                <w:rFonts w:hint="eastAsia"/>
              </w:rPr>
            </w:pPr>
          </w:p>
          <w:p>
            <w:pPr>
              <w:pStyle w:val="107"/>
              <w:rPr>
                <w:rFonts w:hint="eastAsia"/>
              </w:rPr>
            </w:pPr>
          </w:p>
          <w:p>
            <w:pPr>
              <w:pStyle w:val="107"/>
              <w:rPr>
                <w:rFonts w:hint="eastAsia"/>
              </w:rPr>
            </w:pPr>
          </w:p>
          <w:p>
            <w:pPr>
              <w:pStyle w:val="107"/>
            </w:pPr>
          </w:p>
          <w:p>
            <w:pPr>
              <w:rPr>
                <w:rFonts w:hint="eastAsia" w:eastAsia="楷体_GB2312"/>
                <w:spacing w:val="6"/>
                <w:sz w:val="28"/>
              </w:rPr>
            </w:pPr>
          </w:p>
          <w:p>
            <w:pPr>
              <w:rPr>
                <w:rFonts w:hint="eastAsia"/>
              </w:rPr>
            </w:pPr>
          </w:p>
        </w:tc>
      </w:tr>
    </w:tbl>
    <w:p>
      <w:pPr>
        <w:autoSpaceDE w:val="0"/>
        <w:autoSpaceDN w:val="0"/>
        <w:spacing w:line="500" w:lineRule="exact"/>
        <w:ind w:firstLine="570"/>
        <w:jc w:val="left"/>
        <w:rPr>
          <w:rFonts w:hint="eastAsia"/>
          <w:sz w:val="24"/>
          <w:szCs w:val="21"/>
        </w:r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项目主要污染物产生及预计排放情况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639"/>
        <w:gridCol w:w="1058"/>
        <w:gridCol w:w="1392"/>
        <w:gridCol w:w="1160"/>
        <w:gridCol w:w="117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55" w:type="dxa"/>
            <w:tcBorders>
              <w:top w:val="single" w:color="auto" w:sz="4" w:space="0"/>
              <w:left w:val="single" w:color="auto" w:sz="4" w:space="0"/>
              <w:bottom w:val="single" w:color="000000" w:sz="2" w:space="0"/>
              <w:right w:val="single" w:color="auto" w:sz="4" w:space="0"/>
              <w:tl2br w:val="single" w:color="auto" w:sz="4" w:space="0"/>
            </w:tcBorders>
            <w:vAlign w:val="center"/>
          </w:tcPr>
          <w:p>
            <w:pPr>
              <w:ind w:firstLine="240" w:firstLineChars="100"/>
              <w:rPr>
                <w:color w:val="0000FF"/>
                <w:sz w:val="24"/>
              </w:rPr>
            </w:pPr>
            <w:r>
              <w:rPr>
                <w:color w:val="0000FF"/>
                <w:sz w:val="24"/>
              </w:rPr>
              <w:t>内容</w:t>
            </w:r>
          </w:p>
          <w:p>
            <w:pPr>
              <w:jc w:val="center"/>
              <w:rPr>
                <w:color w:val="0000FF"/>
                <w:sz w:val="24"/>
              </w:rPr>
            </w:pPr>
            <w:r>
              <w:rPr>
                <w:color w:val="0000FF"/>
                <w:sz w:val="24"/>
              </w:rPr>
              <w:t>类型</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color w:val="0000FF"/>
                <w:sz w:val="24"/>
              </w:rPr>
            </w:pPr>
            <w:r>
              <w:rPr>
                <w:color w:val="0000FF"/>
                <w:sz w:val="24"/>
              </w:rPr>
              <w:t>排放源</w:t>
            </w:r>
          </w:p>
          <w:p>
            <w:pPr>
              <w:jc w:val="center"/>
              <w:rPr>
                <w:color w:val="0000FF"/>
                <w:sz w:val="24"/>
              </w:rPr>
            </w:pPr>
            <w:r>
              <w:rPr>
                <w:color w:val="0000FF"/>
                <w:sz w:val="24"/>
              </w:rPr>
              <w:t>（编号）</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 w:val="24"/>
              </w:rPr>
            </w:pPr>
            <w:r>
              <w:rPr>
                <w:color w:val="0000FF"/>
                <w:sz w:val="24"/>
              </w:rPr>
              <w:t>污染物名称</w:t>
            </w:r>
          </w:p>
        </w:tc>
        <w:tc>
          <w:tcPr>
            <w:tcW w:w="2552"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FF"/>
                <w:sz w:val="24"/>
              </w:rPr>
            </w:pPr>
            <w:r>
              <w:rPr>
                <w:color w:val="0000FF"/>
                <w:sz w:val="24"/>
              </w:rPr>
              <w:t>处理前产生浓度及产生量</w:t>
            </w:r>
          </w:p>
        </w:tc>
        <w:tc>
          <w:tcPr>
            <w:tcW w:w="2325"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FF"/>
                <w:sz w:val="24"/>
              </w:rPr>
            </w:pPr>
            <w:r>
              <w:rPr>
                <w:color w:val="0000FF"/>
                <w:sz w:val="24"/>
              </w:rPr>
              <w:t>排放浓度及排放量</w:t>
            </w:r>
          </w:p>
          <w:p>
            <w:pPr>
              <w:jc w:val="center"/>
              <w:rPr>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955" w:type="dxa"/>
            <w:vMerge w:val="restart"/>
            <w:tcBorders>
              <w:left w:val="single" w:color="auto" w:sz="4" w:space="0"/>
              <w:right w:val="single" w:color="auto" w:sz="4" w:space="0"/>
            </w:tcBorders>
            <w:vAlign w:val="center"/>
          </w:tcPr>
          <w:p>
            <w:pPr>
              <w:spacing w:line="240" w:lineRule="exact"/>
              <w:jc w:val="center"/>
              <w:rPr>
                <w:color w:val="0000FF"/>
                <w:sz w:val="24"/>
              </w:rPr>
            </w:pPr>
            <w:r>
              <w:rPr>
                <w:color w:val="0000FF"/>
                <w:sz w:val="24"/>
              </w:rPr>
              <w:t>大气</w:t>
            </w:r>
          </w:p>
          <w:p>
            <w:pPr>
              <w:spacing w:line="240" w:lineRule="exact"/>
              <w:jc w:val="center"/>
              <w:rPr>
                <w:color w:val="0000FF"/>
                <w:sz w:val="24"/>
              </w:rPr>
            </w:pPr>
            <w:r>
              <w:rPr>
                <w:color w:val="0000FF"/>
                <w:sz w:val="24"/>
              </w:rPr>
              <w:t>污染物</w:t>
            </w:r>
          </w:p>
        </w:tc>
        <w:tc>
          <w:tcPr>
            <w:tcW w:w="1639" w:type="dxa"/>
            <w:tcBorders>
              <w:left w:val="single" w:color="auto" w:sz="4" w:space="0"/>
              <w:right w:val="single" w:color="auto" w:sz="4" w:space="0"/>
            </w:tcBorders>
            <w:vAlign w:val="center"/>
          </w:tcPr>
          <w:p>
            <w:pPr>
              <w:ind w:left="107" w:hanging="107" w:hangingChars="51"/>
              <w:jc w:val="center"/>
              <w:rPr>
                <w:color w:val="0000FF"/>
                <w:szCs w:val="21"/>
              </w:rPr>
            </w:pPr>
            <w:r>
              <w:rPr>
                <w:rFonts w:hint="eastAsia"/>
                <w:color w:val="0000FF"/>
                <w:szCs w:val="21"/>
              </w:rPr>
              <w:t>堆场及装卸粉尘</w:t>
            </w:r>
          </w:p>
        </w:tc>
        <w:tc>
          <w:tcPr>
            <w:tcW w:w="1058" w:type="dxa"/>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颗粒物</w:t>
            </w:r>
          </w:p>
        </w:tc>
        <w:tc>
          <w:tcPr>
            <w:tcW w:w="2552"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3.642t/a</w:t>
            </w:r>
          </w:p>
        </w:tc>
        <w:tc>
          <w:tcPr>
            <w:tcW w:w="2325"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0.742t/a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955" w:type="dxa"/>
            <w:vMerge w:val="continue"/>
            <w:tcBorders>
              <w:left w:val="single" w:color="auto" w:sz="4" w:space="0"/>
              <w:right w:val="single" w:color="auto" w:sz="4" w:space="0"/>
            </w:tcBorders>
            <w:vAlign w:val="center"/>
          </w:tcPr>
          <w:p>
            <w:pPr>
              <w:spacing w:line="240" w:lineRule="exact"/>
              <w:jc w:val="center"/>
              <w:rPr>
                <w:sz w:val="24"/>
              </w:rPr>
            </w:pPr>
          </w:p>
        </w:tc>
        <w:tc>
          <w:tcPr>
            <w:tcW w:w="1639" w:type="dxa"/>
            <w:tcBorders>
              <w:left w:val="single" w:color="auto" w:sz="4" w:space="0"/>
              <w:right w:val="single" w:color="auto" w:sz="4" w:space="0"/>
            </w:tcBorders>
            <w:vAlign w:val="center"/>
          </w:tcPr>
          <w:p>
            <w:pPr>
              <w:ind w:left="107" w:hanging="107" w:hangingChars="51"/>
              <w:jc w:val="center"/>
              <w:rPr>
                <w:color w:val="0000FF"/>
                <w:szCs w:val="21"/>
              </w:rPr>
            </w:pPr>
            <w:r>
              <w:rPr>
                <w:rFonts w:hint="eastAsia"/>
                <w:color w:val="0000FF"/>
                <w:szCs w:val="21"/>
              </w:rPr>
              <w:t>筛分粉尘</w:t>
            </w:r>
          </w:p>
        </w:tc>
        <w:tc>
          <w:tcPr>
            <w:tcW w:w="1058" w:type="dxa"/>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颗粒物</w:t>
            </w:r>
          </w:p>
        </w:tc>
        <w:tc>
          <w:tcPr>
            <w:tcW w:w="2552"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22.54t/a，639mg/m</w:t>
            </w:r>
            <w:r>
              <w:rPr>
                <w:rFonts w:hint="eastAsia"/>
                <w:color w:val="0000FF"/>
                <w:szCs w:val="21"/>
                <w:vertAlign w:val="superscript"/>
              </w:rPr>
              <w:t>3</w:t>
            </w:r>
          </w:p>
        </w:tc>
        <w:tc>
          <w:tcPr>
            <w:tcW w:w="2325"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0.23t/a，6.39mg/m</w:t>
            </w:r>
            <w:r>
              <w:rPr>
                <w:rFonts w:hint="eastAsia"/>
                <w:color w:val="0000FF"/>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955" w:type="dxa"/>
            <w:vMerge w:val="continue"/>
            <w:tcBorders>
              <w:left w:val="single" w:color="auto" w:sz="4" w:space="0"/>
              <w:right w:val="single" w:color="auto" w:sz="4" w:space="0"/>
            </w:tcBorders>
            <w:vAlign w:val="center"/>
          </w:tcPr>
          <w:p>
            <w:pPr>
              <w:spacing w:line="240" w:lineRule="exact"/>
              <w:jc w:val="center"/>
              <w:rPr>
                <w:sz w:val="24"/>
              </w:rPr>
            </w:pPr>
          </w:p>
        </w:tc>
        <w:tc>
          <w:tcPr>
            <w:tcW w:w="1639" w:type="dxa"/>
            <w:tcBorders>
              <w:left w:val="single" w:color="auto" w:sz="4" w:space="0"/>
              <w:right w:val="single" w:color="auto" w:sz="4" w:space="0"/>
            </w:tcBorders>
            <w:vAlign w:val="center"/>
          </w:tcPr>
          <w:p>
            <w:pPr>
              <w:ind w:left="107" w:hanging="107" w:hangingChars="51"/>
              <w:jc w:val="center"/>
              <w:rPr>
                <w:color w:val="0000FF"/>
                <w:szCs w:val="21"/>
              </w:rPr>
            </w:pPr>
            <w:r>
              <w:rPr>
                <w:rFonts w:hint="eastAsia"/>
                <w:color w:val="0000FF"/>
                <w:szCs w:val="21"/>
              </w:rPr>
              <w:t>皮带运输粉尘</w:t>
            </w:r>
          </w:p>
        </w:tc>
        <w:tc>
          <w:tcPr>
            <w:tcW w:w="1058" w:type="dxa"/>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颗粒物</w:t>
            </w:r>
          </w:p>
        </w:tc>
        <w:tc>
          <w:tcPr>
            <w:tcW w:w="2552"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0.3t/a</w:t>
            </w:r>
          </w:p>
        </w:tc>
        <w:tc>
          <w:tcPr>
            <w:tcW w:w="2325"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955" w:type="dxa"/>
            <w:vMerge w:val="continue"/>
            <w:tcBorders>
              <w:left w:val="single" w:color="auto" w:sz="4" w:space="0"/>
              <w:right w:val="single" w:color="auto" w:sz="4" w:space="0"/>
            </w:tcBorders>
            <w:vAlign w:val="center"/>
          </w:tcPr>
          <w:p>
            <w:pPr>
              <w:spacing w:line="240" w:lineRule="exact"/>
              <w:jc w:val="center"/>
              <w:rPr>
                <w:sz w:val="24"/>
              </w:rPr>
            </w:pPr>
          </w:p>
        </w:tc>
        <w:tc>
          <w:tcPr>
            <w:tcW w:w="1639" w:type="dxa"/>
            <w:tcBorders>
              <w:left w:val="single" w:color="auto" w:sz="4" w:space="0"/>
              <w:right w:val="single" w:color="auto" w:sz="4" w:space="0"/>
            </w:tcBorders>
            <w:vAlign w:val="center"/>
          </w:tcPr>
          <w:p>
            <w:pPr>
              <w:ind w:left="107" w:hanging="107" w:hangingChars="51"/>
              <w:jc w:val="center"/>
              <w:rPr>
                <w:color w:val="0000FF"/>
                <w:szCs w:val="21"/>
              </w:rPr>
            </w:pPr>
            <w:r>
              <w:rPr>
                <w:rFonts w:hint="eastAsia"/>
                <w:color w:val="0000FF"/>
                <w:szCs w:val="21"/>
              </w:rPr>
              <w:t>运输车辆扬尘</w:t>
            </w:r>
          </w:p>
        </w:tc>
        <w:tc>
          <w:tcPr>
            <w:tcW w:w="1058" w:type="dxa"/>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颗粒物</w:t>
            </w:r>
          </w:p>
        </w:tc>
        <w:tc>
          <w:tcPr>
            <w:tcW w:w="2552"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1.5t/a</w:t>
            </w:r>
          </w:p>
        </w:tc>
        <w:tc>
          <w:tcPr>
            <w:tcW w:w="2325"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955" w:type="dxa"/>
            <w:vMerge w:val="continue"/>
            <w:tcBorders>
              <w:left w:val="single" w:color="auto" w:sz="4" w:space="0"/>
              <w:right w:val="single" w:color="auto" w:sz="4" w:space="0"/>
            </w:tcBorders>
            <w:vAlign w:val="center"/>
          </w:tcPr>
          <w:p>
            <w:pPr>
              <w:spacing w:line="240" w:lineRule="exact"/>
              <w:jc w:val="center"/>
              <w:rPr>
                <w:sz w:val="24"/>
              </w:rPr>
            </w:pPr>
          </w:p>
        </w:tc>
        <w:tc>
          <w:tcPr>
            <w:tcW w:w="1639" w:type="dxa"/>
            <w:tcBorders>
              <w:left w:val="single" w:color="auto" w:sz="4" w:space="0"/>
              <w:right w:val="single" w:color="auto" w:sz="4" w:space="0"/>
            </w:tcBorders>
            <w:vAlign w:val="center"/>
          </w:tcPr>
          <w:p>
            <w:pPr>
              <w:ind w:left="107" w:hanging="107" w:hangingChars="51"/>
              <w:jc w:val="center"/>
              <w:rPr>
                <w:color w:val="0000FF"/>
                <w:szCs w:val="21"/>
              </w:rPr>
            </w:pPr>
            <w:r>
              <w:rPr>
                <w:rFonts w:hint="eastAsia"/>
                <w:color w:val="0000FF"/>
                <w:szCs w:val="21"/>
              </w:rPr>
              <w:t>汽车尾气</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kern w:val="0"/>
                <w:szCs w:val="21"/>
              </w:rPr>
            </w:pPr>
            <w:r>
              <w:rPr>
                <w:rFonts w:hint="eastAsia"/>
                <w:color w:val="0000FF"/>
                <w:kern w:val="0"/>
                <w:szCs w:val="21"/>
              </w:rPr>
              <w:t>HC、CO</w:t>
            </w:r>
          </w:p>
        </w:tc>
        <w:tc>
          <w:tcPr>
            <w:tcW w:w="2552"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少量</w:t>
            </w:r>
          </w:p>
        </w:tc>
        <w:tc>
          <w:tcPr>
            <w:tcW w:w="2325" w:type="dxa"/>
            <w:gridSpan w:val="2"/>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55" w:type="dxa"/>
            <w:vMerge w:val="restart"/>
            <w:tcBorders>
              <w:left w:val="single" w:color="auto" w:sz="4" w:space="0"/>
              <w:right w:val="single" w:color="auto" w:sz="4" w:space="0"/>
            </w:tcBorders>
            <w:vAlign w:val="center"/>
          </w:tcPr>
          <w:p>
            <w:pPr>
              <w:spacing w:line="240" w:lineRule="exact"/>
              <w:jc w:val="center"/>
              <w:rPr>
                <w:color w:val="0000FF"/>
                <w:sz w:val="24"/>
              </w:rPr>
            </w:pPr>
            <w:r>
              <w:rPr>
                <w:color w:val="0000FF"/>
                <w:sz w:val="24"/>
              </w:rPr>
              <w:t>水污染物</w:t>
            </w:r>
          </w:p>
        </w:tc>
        <w:tc>
          <w:tcPr>
            <w:tcW w:w="1639" w:type="dxa"/>
            <w:vMerge w:val="restart"/>
            <w:tcBorders>
              <w:left w:val="single" w:color="auto" w:sz="4" w:space="0"/>
              <w:right w:val="single" w:color="auto" w:sz="4" w:space="0"/>
            </w:tcBorders>
            <w:vAlign w:val="center"/>
          </w:tcPr>
          <w:p>
            <w:pPr>
              <w:jc w:val="center"/>
              <w:rPr>
                <w:color w:val="0000FF"/>
                <w:szCs w:val="21"/>
              </w:rPr>
            </w:pPr>
            <w:r>
              <w:rPr>
                <w:rFonts w:hint="eastAsia"/>
                <w:color w:val="0000FF"/>
                <w:szCs w:val="21"/>
              </w:rPr>
              <w:t>生活污水</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color w:val="0000FF"/>
                <w:szCs w:val="21"/>
              </w:rPr>
              <w:t>水量</w:t>
            </w:r>
          </w:p>
        </w:tc>
        <w:tc>
          <w:tcPr>
            <w:tcW w:w="4877" w:type="dxa"/>
            <w:gridSpan w:val="4"/>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48</w:t>
            </w:r>
            <w:r>
              <w:rPr>
                <w:color w:val="0000FF"/>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55" w:type="dxa"/>
            <w:vMerge w:val="continue"/>
            <w:tcBorders>
              <w:left w:val="single" w:color="auto" w:sz="4" w:space="0"/>
              <w:right w:val="single" w:color="auto" w:sz="4" w:space="0"/>
            </w:tcBorders>
            <w:vAlign w:val="center"/>
          </w:tcPr>
          <w:p>
            <w:pPr>
              <w:spacing w:line="240" w:lineRule="exact"/>
              <w:jc w:val="center"/>
              <w:rPr>
                <w:color w:val="0000FF"/>
                <w:sz w:val="24"/>
              </w:rPr>
            </w:pPr>
          </w:p>
        </w:tc>
        <w:tc>
          <w:tcPr>
            <w:tcW w:w="1639" w:type="dxa"/>
            <w:vMerge w:val="continue"/>
            <w:tcBorders>
              <w:left w:val="single" w:color="auto" w:sz="4" w:space="0"/>
              <w:right w:val="single" w:color="auto" w:sz="4" w:space="0"/>
            </w:tcBorders>
            <w:vAlign w:val="center"/>
          </w:tcPr>
          <w:p>
            <w:pPr>
              <w:jc w:val="center"/>
              <w:rPr>
                <w:color w:val="0000FF"/>
                <w:szCs w:val="21"/>
              </w:rPr>
            </w:pP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color w:val="0000FF"/>
                <w:szCs w:val="21"/>
              </w:rPr>
              <w:t>CODcr</w:t>
            </w:r>
          </w:p>
        </w:tc>
        <w:tc>
          <w:tcPr>
            <w:tcW w:w="139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350</w:t>
            </w:r>
            <w:r>
              <w:rPr>
                <w:color w:val="0000FF"/>
                <w:szCs w:val="21"/>
              </w:rPr>
              <w:t>mg/L</w:t>
            </w:r>
          </w:p>
        </w:tc>
        <w:tc>
          <w:tcPr>
            <w:tcW w:w="1160"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0.017</w:t>
            </w:r>
            <w:r>
              <w:rPr>
                <w:color w:val="0000FF"/>
                <w:szCs w:val="21"/>
              </w:rPr>
              <w:t>t/a</w:t>
            </w:r>
          </w:p>
        </w:tc>
        <w:tc>
          <w:tcPr>
            <w:tcW w:w="117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55" w:type="dxa"/>
            <w:vMerge w:val="continue"/>
            <w:tcBorders>
              <w:left w:val="single" w:color="auto" w:sz="4" w:space="0"/>
              <w:right w:val="single" w:color="auto" w:sz="4" w:space="0"/>
            </w:tcBorders>
            <w:vAlign w:val="center"/>
          </w:tcPr>
          <w:p>
            <w:pPr>
              <w:spacing w:line="240" w:lineRule="exact"/>
              <w:jc w:val="center"/>
              <w:rPr>
                <w:color w:val="0000FF"/>
                <w:sz w:val="24"/>
              </w:rPr>
            </w:pPr>
          </w:p>
        </w:tc>
        <w:tc>
          <w:tcPr>
            <w:tcW w:w="1639" w:type="dxa"/>
            <w:vMerge w:val="continue"/>
            <w:tcBorders>
              <w:left w:val="single" w:color="auto" w:sz="4" w:space="0"/>
              <w:right w:val="single" w:color="auto" w:sz="4" w:space="0"/>
            </w:tcBorders>
            <w:vAlign w:val="center"/>
          </w:tcPr>
          <w:p>
            <w:pPr>
              <w:jc w:val="center"/>
              <w:rPr>
                <w:color w:val="0000FF"/>
                <w:szCs w:val="21"/>
              </w:rPr>
            </w:pP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color w:val="0000FF"/>
                <w:szCs w:val="21"/>
              </w:rPr>
              <w:t>NH</w:t>
            </w:r>
            <w:r>
              <w:rPr>
                <w:color w:val="0000FF"/>
                <w:szCs w:val="21"/>
                <w:vertAlign w:val="subscript"/>
              </w:rPr>
              <w:t>3</w:t>
            </w:r>
            <w:r>
              <w:rPr>
                <w:color w:val="0000FF"/>
                <w:szCs w:val="21"/>
              </w:rPr>
              <w:t>-N</w:t>
            </w:r>
          </w:p>
        </w:tc>
        <w:tc>
          <w:tcPr>
            <w:tcW w:w="139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20</w:t>
            </w:r>
            <w:r>
              <w:rPr>
                <w:color w:val="0000FF"/>
                <w:szCs w:val="21"/>
              </w:rPr>
              <w:t>mg/L</w:t>
            </w:r>
          </w:p>
        </w:tc>
        <w:tc>
          <w:tcPr>
            <w:tcW w:w="1160"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0.00096</w:t>
            </w:r>
            <w:r>
              <w:rPr>
                <w:color w:val="0000FF"/>
                <w:szCs w:val="21"/>
              </w:rPr>
              <w:t>t/a</w:t>
            </w:r>
          </w:p>
        </w:tc>
        <w:tc>
          <w:tcPr>
            <w:tcW w:w="117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55" w:type="dxa"/>
            <w:vMerge w:val="continue"/>
            <w:tcBorders>
              <w:left w:val="single" w:color="auto" w:sz="4" w:space="0"/>
              <w:right w:val="single" w:color="auto" w:sz="4" w:space="0"/>
            </w:tcBorders>
            <w:vAlign w:val="center"/>
          </w:tcPr>
          <w:p>
            <w:pPr>
              <w:spacing w:line="240" w:lineRule="exact"/>
              <w:jc w:val="center"/>
              <w:rPr>
                <w:color w:val="0000FF"/>
                <w:sz w:val="24"/>
              </w:rPr>
            </w:pPr>
          </w:p>
        </w:tc>
        <w:tc>
          <w:tcPr>
            <w:tcW w:w="1639" w:type="dxa"/>
            <w:vMerge w:val="restart"/>
            <w:tcBorders>
              <w:left w:val="single" w:color="auto" w:sz="4" w:space="0"/>
              <w:right w:val="single" w:color="auto" w:sz="4" w:space="0"/>
            </w:tcBorders>
            <w:vAlign w:val="center"/>
          </w:tcPr>
          <w:p>
            <w:pPr>
              <w:jc w:val="center"/>
              <w:rPr>
                <w:color w:val="0000FF"/>
                <w:szCs w:val="21"/>
              </w:rPr>
            </w:pPr>
            <w:r>
              <w:rPr>
                <w:rFonts w:hint="eastAsia"/>
                <w:color w:val="0000FF"/>
                <w:szCs w:val="21"/>
              </w:rPr>
              <w:t>洗车废水</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水量</w:t>
            </w:r>
          </w:p>
        </w:tc>
        <w:tc>
          <w:tcPr>
            <w:tcW w:w="4877"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color w:val="0000FF"/>
                <w:szCs w:val="21"/>
              </w:rPr>
            </w:pPr>
            <w:r>
              <w:rPr>
                <w:rFonts w:hint="eastAsia"/>
                <w:color w:val="0000FF"/>
                <w:szCs w:val="21"/>
              </w:rPr>
              <w:t>1296</w:t>
            </w:r>
            <w:r>
              <w:rPr>
                <w:color w:val="0000FF"/>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55" w:type="dxa"/>
            <w:vMerge w:val="continue"/>
            <w:tcBorders>
              <w:left w:val="single" w:color="auto" w:sz="4" w:space="0"/>
              <w:right w:val="single" w:color="auto" w:sz="4" w:space="0"/>
            </w:tcBorders>
            <w:vAlign w:val="center"/>
          </w:tcPr>
          <w:p>
            <w:pPr>
              <w:spacing w:line="240" w:lineRule="exact"/>
              <w:jc w:val="center"/>
              <w:rPr>
                <w:color w:val="0000FF"/>
                <w:sz w:val="24"/>
              </w:rPr>
            </w:pPr>
          </w:p>
        </w:tc>
        <w:tc>
          <w:tcPr>
            <w:tcW w:w="1639" w:type="dxa"/>
            <w:vMerge w:val="continue"/>
            <w:tcBorders>
              <w:left w:val="single" w:color="auto" w:sz="4" w:space="0"/>
              <w:right w:val="single" w:color="auto" w:sz="4" w:space="0"/>
            </w:tcBorders>
            <w:vAlign w:val="center"/>
          </w:tcPr>
          <w:p>
            <w:pPr>
              <w:jc w:val="center"/>
              <w:rPr>
                <w:color w:val="0000FF"/>
                <w:szCs w:val="21"/>
              </w:rPr>
            </w:pP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color w:val="0000FF"/>
                <w:szCs w:val="21"/>
              </w:rPr>
            </w:pPr>
            <w:r>
              <w:rPr>
                <w:rFonts w:hint="eastAsia"/>
                <w:color w:val="0000FF"/>
                <w:szCs w:val="21"/>
              </w:rPr>
              <w:t>SS</w:t>
            </w:r>
          </w:p>
        </w:tc>
        <w:tc>
          <w:tcPr>
            <w:tcW w:w="139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200</w:t>
            </w:r>
            <w:r>
              <w:rPr>
                <w:color w:val="0000FF"/>
                <w:szCs w:val="21"/>
              </w:rPr>
              <w:t>mg/L</w:t>
            </w:r>
          </w:p>
        </w:tc>
        <w:tc>
          <w:tcPr>
            <w:tcW w:w="1160"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FF"/>
                <w:szCs w:val="21"/>
              </w:rPr>
            </w:pPr>
            <w:r>
              <w:rPr>
                <w:rFonts w:hint="eastAsia"/>
                <w:color w:val="0000FF"/>
                <w:szCs w:val="21"/>
              </w:rPr>
              <w:t>0.024</w:t>
            </w:r>
            <w:r>
              <w:rPr>
                <w:color w:val="0000FF"/>
                <w:szCs w:val="21"/>
              </w:rPr>
              <w:t>t/a</w:t>
            </w:r>
          </w:p>
        </w:tc>
        <w:tc>
          <w:tcPr>
            <w:tcW w:w="232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color w:val="0000FF"/>
                <w:szCs w:val="21"/>
              </w:rPr>
            </w:pPr>
            <w:r>
              <w:rPr>
                <w:rFonts w:hint="eastAsia"/>
                <w:color w:val="0000FF"/>
                <w:szCs w:val="21"/>
              </w:rPr>
              <w:t>泼洒抑尘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955" w:type="dxa"/>
            <w:vMerge w:val="restart"/>
            <w:tcBorders>
              <w:left w:val="single" w:color="auto" w:sz="4" w:space="0"/>
              <w:right w:val="single" w:color="auto" w:sz="4" w:space="0"/>
            </w:tcBorders>
            <w:vAlign w:val="center"/>
          </w:tcPr>
          <w:p>
            <w:pPr>
              <w:rPr>
                <w:color w:val="0000FF"/>
                <w:sz w:val="24"/>
              </w:rPr>
            </w:pPr>
            <w:r>
              <w:rPr>
                <w:color w:val="0000FF"/>
                <w:sz w:val="24"/>
              </w:rPr>
              <w:t>固体</w:t>
            </w:r>
          </w:p>
          <w:p>
            <w:pPr>
              <w:jc w:val="center"/>
              <w:rPr>
                <w:color w:val="0000FF"/>
                <w:sz w:val="24"/>
              </w:rPr>
            </w:pPr>
            <w:r>
              <w:rPr>
                <w:color w:val="0000FF"/>
                <w:sz w:val="24"/>
              </w:rPr>
              <w:t>废物</w:t>
            </w:r>
          </w:p>
        </w:tc>
        <w:tc>
          <w:tcPr>
            <w:tcW w:w="1639" w:type="dxa"/>
            <w:tcBorders>
              <w:top w:val="single" w:color="auto" w:sz="4" w:space="0"/>
              <w:left w:val="single" w:color="auto" w:sz="4" w:space="0"/>
              <w:right w:val="single" w:color="auto" w:sz="4" w:space="0"/>
            </w:tcBorders>
            <w:vAlign w:val="center"/>
          </w:tcPr>
          <w:p>
            <w:pPr>
              <w:jc w:val="center"/>
              <w:rPr>
                <w:color w:val="0000FF"/>
                <w:szCs w:val="21"/>
              </w:rPr>
            </w:pPr>
            <w:r>
              <w:rPr>
                <w:color w:val="0000FF"/>
                <w:szCs w:val="21"/>
              </w:rPr>
              <w:t>工作人员</w:t>
            </w:r>
          </w:p>
        </w:tc>
        <w:tc>
          <w:tcPr>
            <w:tcW w:w="1058" w:type="dxa"/>
            <w:tcBorders>
              <w:top w:val="single" w:color="auto" w:sz="4" w:space="0"/>
              <w:left w:val="single" w:color="auto" w:sz="4" w:space="0"/>
              <w:right w:val="single" w:color="auto" w:sz="4" w:space="0"/>
            </w:tcBorders>
            <w:vAlign w:val="center"/>
          </w:tcPr>
          <w:p>
            <w:pPr>
              <w:spacing w:line="240" w:lineRule="exact"/>
              <w:jc w:val="center"/>
              <w:rPr>
                <w:rFonts w:hint="eastAsia"/>
                <w:color w:val="0000FF"/>
                <w:szCs w:val="21"/>
              </w:rPr>
            </w:pPr>
            <w:r>
              <w:rPr>
                <w:rFonts w:hint="eastAsia"/>
                <w:color w:val="0000FF"/>
                <w:szCs w:val="21"/>
              </w:rPr>
              <w:t>生活垃圾</w:t>
            </w:r>
          </w:p>
        </w:tc>
        <w:tc>
          <w:tcPr>
            <w:tcW w:w="2552" w:type="dxa"/>
            <w:gridSpan w:val="2"/>
            <w:tcBorders>
              <w:top w:val="single" w:color="auto" w:sz="4" w:space="0"/>
              <w:left w:val="single" w:color="auto" w:sz="4" w:space="0"/>
              <w:right w:val="single" w:color="auto" w:sz="4" w:space="0"/>
            </w:tcBorders>
            <w:vAlign w:val="center"/>
          </w:tcPr>
          <w:p>
            <w:pPr>
              <w:spacing w:line="240" w:lineRule="exact"/>
              <w:jc w:val="center"/>
              <w:rPr>
                <w:rFonts w:hint="eastAsia"/>
                <w:color w:val="0000FF"/>
                <w:szCs w:val="21"/>
              </w:rPr>
            </w:pPr>
            <w:r>
              <w:rPr>
                <w:rFonts w:hint="eastAsia"/>
                <w:color w:val="0000FF"/>
                <w:szCs w:val="21"/>
              </w:rPr>
              <w:t>0.3</w:t>
            </w:r>
            <w:r>
              <w:rPr>
                <w:color w:val="0000FF"/>
                <w:szCs w:val="21"/>
              </w:rPr>
              <w:t>t/a</w:t>
            </w:r>
          </w:p>
        </w:tc>
        <w:tc>
          <w:tcPr>
            <w:tcW w:w="2325" w:type="dxa"/>
            <w:gridSpan w:val="2"/>
            <w:tcBorders>
              <w:top w:val="single" w:color="auto" w:sz="4" w:space="0"/>
              <w:left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trPr>
        <w:tc>
          <w:tcPr>
            <w:tcW w:w="955" w:type="dxa"/>
            <w:vMerge w:val="continue"/>
            <w:tcBorders>
              <w:left w:val="single" w:color="auto" w:sz="4" w:space="0"/>
              <w:right w:val="single" w:color="auto" w:sz="4" w:space="0"/>
            </w:tcBorders>
            <w:vAlign w:val="center"/>
          </w:tcPr>
          <w:p>
            <w:pPr>
              <w:jc w:val="center"/>
              <w:rPr>
                <w:color w:val="0000FF"/>
                <w:sz w:val="24"/>
              </w:rPr>
            </w:pPr>
          </w:p>
        </w:tc>
        <w:tc>
          <w:tcPr>
            <w:tcW w:w="1639" w:type="dxa"/>
            <w:tcBorders>
              <w:top w:val="single" w:color="auto" w:sz="4" w:space="0"/>
              <w:left w:val="single" w:color="auto" w:sz="4" w:space="0"/>
              <w:right w:val="single" w:color="auto" w:sz="4" w:space="0"/>
            </w:tcBorders>
            <w:vAlign w:val="center"/>
          </w:tcPr>
          <w:p>
            <w:pPr>
              <w:jc w:val="center"/>
              <w:rPr>
                <w:color w:val="0000FF"/>
                <w:szCs w:val="21"/>
              </w:rPr>
            </w:pPr>
            <w:r>
              <w:rPr>
                <w:rFonts w:hint="eastAsia"/>
                <w:color w:val="0000FF"/>
                <w:szCs w:val="21"/>
              </w:rPr>
              <w:t>沉淀池煤泥</w:t>
            </w:r>
          </w:p>
        </w:tc>
        <w:tc>
          <w:tcPr>
            <w:tcW w:w="1058" w:type="dxa"/>
            <w:tcBorders>
              <w:top w:val="single" w:color="auto" w:sz="4" w:space="0"/>
              <w:left w:val="single" w:color="auto" w:sz="4" w:space="0"/>
              <w:right w:val="single" w:color="auto" w:sz="4" w:space="0"/>
            </w:tcBorders>
            <w:vAlign w:val="center"/>
          </w:tcPr>
          <w:p>
            <w:pPr>
              <w:spacing w:line="240" w:lineRule="exact"/>
              <w:jc w:val="center"/>
              <w:rPr>
                <w:rFonts w:hint="eastAsia"/>
                <w:color w:val="0000FF"/>
                <w:szCs w:val="21"/>
              </w:rPr>
            </w:pPr>
            <w:r>
              <w:rPr>
                <w:rFonts w:hint="eastAsia"/>
                <w:color w:val="0000FF"/>
                <w:szCs w:val="21"/>
              </w:rPr>
              <w:t>煤泥</w:t>
            </w:r>
          </w:p>
        </w:tc>
        <w:tc>
          <w:tcPr>
            <w:tcW w:w="2552" w:type="dxa"/>
            <w:gridSpan w:val="2"/>
            <w:tcBorders>
              <w:top w:val="single" w:color="auto" w:sz="4" w:space="0"/>
              <w:left w:val="single" w:color="auto" w:sz="4" w:space="0"/>
              <w:right w:val="single" w:color="auto" w:sz="4" w:space="0"/>
            </w:tcBorders>
            <w:vAlign w:val="center"/>
          </w:tcPr>
          <w:p>
            <w:pPr>
              <w:spacing w:line="240" w:lineRule="exact"/>
              <w:jc w:val="center"/>
              <w:rPr>
                <w:rFonts w:hint="eastAsia"/>
                <w:color w:val="0000FF"/>
                <w:szCs w:val="21"/>
              </w:rPr>
            </w:pPr>
            <w:r>
              <w:rPr>
                <w:rFonts w:hint="eastAsia"/>
                <w:color w:val="0000FF"/>
                <w:szCs w:val="21"/>
              </w:rPr>
              <w:t>3t/a</w:t>
            </w:r>
          </w:p>
        </w:tc>
        <w:tc>
          <w:tcPr>
            <w:tcW w:w="2325" w:type="dxa"/>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955" w:type="dxa"/>
            <w:vMerge w:val="continue"/>
            <w:tcBorders>
              <w:left w:val="single" w:color="auto" w:sz="4" w:space="0"/>
              <w:right w:val="single" w:color="auto" w:sz="4" w:space="0"/>
            </w:tcBorders>
            <w:vAlign w:val="center"/>
          </w:tcPr>
          <w:p>
            <w:pPr>
              <w:jc w:val="center"/>
              <w:rPr>
                <w:color w:val="0000FF"/>
                <w:sz w:val="24"/>
              </w:rPr>
            </w:pPr>
          </w:p>
        </w:tc>
        <w:tc>
          <w:tcPr>
            <w:tcW w:w="1639" w:type="dxa"/>
            <w:tcBorders>
              <w:left w:val="single" w:color="auto" w:sz="4" w:space="0"/>
              <w:right w:val="single" w:color="auto" w:sz="4" w:space="0"/>
            </w:tcBorders>
            <w:vAlign w:val="center"/>
          </w:tcPr>
          <w:p>
            <w:pPr>
              <w:jc w:val="center"/>
              <w:rPr>
                <w:color w:val="0000FF"/>
                <w:szCs w:val="21"/>
              </w:rPr>
            </w:pPr>
            <w:r>
              <w:rPr>
                <w:rFonts w:hint="eastAsia"/>
                <w:color w:val="0000FF"/>
                <w:szCs w:val="21"/>
              </w:rPr>
              <w:t>布袋除尘器收集灰</w:t>
            </w:r>
          </w:p>
        </w:tc>
        <w:tc>
          <w:tcPr>
            <w:tcW w:w="10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FF"/>
                <w:szCs w:val="21"/>
              </w:rPr>
            </w:pPr>
            <w:r>
              <w:rPr>
                <w:rFonts w:hint="eastAsia"/>
                <w:color w:val="0000FF"/>
                <w:szCs w:val="21"/>
              </w:rPr>
              <w:t>收集灰尘</w:t>
            </w:r>
          </w:p>
        </w:tc>
        <w:tc>
          <w:tcPr>
            <w:tcW w:w="255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FF"/>
                <w:szCs w:val="21"/>
              </w:rPr>
            </w:pPr>
            <w:r>
              <w:rPr>
                <w:rFonts w:hint="eastAsia"/>
                <w:color w:val="0000FF"/>
                <w:szCs w:val="21"/>
              </w:rPr>
              <w:t>22.31</w:t>
            </w:r>
            <w:r>
              <w:rPr>
                <w:color w:val="0000FF"/>
                <w:szCs w:val="21"/>
              </w:rPr>
              <w:t>t/a</w:t>
            </w:r>
          </w:p>
        </w:tc>
        <w:tc>
          <w:tcPr>
            <w:tcW w:w="2325"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955" w:type="dxa"/>
            <w:tcBorders>
              <w:left w:val="single" w:color="auto" w:sz="4" w:space="0"/>
              <w:bottom w:val="single" w:color="auto" w:sz="4" w:space="0"/>
              <w:right w:val="single" w:color="auto" w:sz="4" w:space="0"/>
            </w:tcBorders>
            <w:vAlign w:val="center"/>
          </w:tcPr>
          <w:p>
            <w:pPr>
              <w:jc w:val="center"/>
              <w:rPr>
                <w:color w:val="0000FF"/>
                <w:sz w:val="24"/>
              </w:rPr>
            </w:pPr>
            <w:r>
              <w:rPr>
                <w:color w:val="0000FF"/>
                <w:sz w:val="24"/>
              </w:rPr>
              <w:t>噪 声</w:t>
            </w:r>
          </w:p>
        </w:tc>
        <w:tc>
          <w:tcPr>
            <w:tcW w:w="7574" w:type="dxa"/>
            <w:gridSpan w:val="6"/>
            <w:tcBorders>
              <w:top w:val="single" w:color="auto" w:sz="4" w:space="0"/>
              <w:left w:val="single" w:color="auto" w:sz="4" w:space="0"/>
              <w:right w:val="single" w:color="auto" w:sz="4" w:space="0"/>
            </w:tcBorders>
            <w:vAlign w:val="center"/>
          </w:tcPr>
          <w:p>
            <w:pPr>
              <w:rPr>
                <w:color w:val="0000FF"/>
              </w:rPr>
            </w:pPr>
            <w:r>
              <w:rPr>
                <w:color w:val="0000FF"/>
              </w:rPr>
              <w:t>项目拟选用低噪声设备，采取安装消声器，高噪声设备合理布置并设基础减震措施后进行场界衰减达到《工业企业厂界环境噪声排放标准》（GB12348-2008）</w:t>
            </w:r>
            <w:r>
              <w:rPr>
                <w:rFonts w:hint="eastAsia"/>
                <w:color w:val="0000FF"/>
              </w:rPr>
              <w:t>3</w:t>
            </w:r>
            <w:r>
              <w:rPr>
                <w:color w:val="0000FF"/>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trPr>
        <w:tc>
          <w:tcPr>
            <w:tcW w:w="8529" w:type="dxa"/>
            <w:gridSpan w:val="7"/>
            <w:tcBorders>
              <w:top w:val="single" w:color="auto" w:sz="4" w:space="0"/>
              <w:left w:val="single" w:color="auto" w:sz="4" w:space="0"/>
              <w:bottom w:val="single" w:color="auto" w:sz="4" w:space="0"/>
              <w:right w:val="single" w:color="auto" w:sz="4" w:space="0"/>
            </w:tcBorders>
            <w:vAlign w:val="center"/>
          </w:tcPr>
          <w:p>
            <w:pPr>
              <w:pStyle w:val="94"/>
              <w:spacing w:beforeLines="50" w:line="360" w:lineRule="auto"/>
              <w:ind w:firstLine="0" w:firstLineChars="0"/>
              <w:rPr>
                <w:b/>
                <w:color w:val="0000FF"/>
                <w:spacing w:val="0"/>
                <w:sz w:val="24"/>
                <w:szCs w:val="28"/>
              </w:rPr>
            </w:pPr>
            <w:r>
              <w:rPr>
                <w:b/>
                <w:color w:val="0000FF"/>
                <w:spacing w:val="0"/>
                <w:sz w:val="24"/>
                <w:szCs w:val="28"/>
              </w:rPr>
              <w:t>主要生态影响（不够时可附另页）</w:t>
            </w:r>
          </w:p>
          <w:p>
            <w:pPr>
              <w:autoSpaceDE w:val="0"/>
              <w:autoSpaceDN w:val="0"/>
              <w:spacing w:line="500" w:lineRule="exact"/>
              <w:ind w:firstLine="570"/>
              <w:jc w:val="left"/>
              <w:rPr>
                <w:color w:val="0000FF"/>
                <w:sz w:val="24"/>
                <w:szCs w:val="21"/>
              </w:rPr>
            </w:pPr>
            <w:r>
              <w:rPr>
                <w:color w:val="0000FF"/>
                <w:sz w:val="24"/>
                <w:szCs w:val="21"/>
              </w:rPr>
              <w:t>项目生态影响主要在施工期，建设时期将进行大量填土，大量的填土一方面破坏取土厂的景观、易引起水土流失，同时建设项目所在地的地表景观也受到破坏，地表裸露，对风力、水力作用明显，易砂化扬尘，但是随着施工期的结束，地表将绿化及硬化，对地表环境影响即可消失。</w:t>
            </w: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rFonts w:hint="eastAsia"/>
                <w:color w:val="0000FF"/>
                <w:sz w:val="24"/>
              </w:rPr>
            </w:pPr>
          </w:p>
          <w:p>
            <w:pPr>
              <w:rPr>
                <w:color w:val="0000FF"/>
                <w:sz w:val="24"/>
              </w:rPr>
            </w:pPr>
          </w:p>
        </w:tc>
      </w:tr>
    </w:tbl>
    <w:p>
      <w:pPr>
        <w:pStyle w:val="15"/>
        <w:adjustRightInd w:val="0"/>
        <w:snapToGrid w:val="0"/>
        <w:spacing w:after="0" w:line="360" w:lineRule="auto"/>
        <w:ind w:left="0" w:leftChars="0"/>
        <w:outlineLvl w:val="0"/>
        <w:rPr>
          <w:rFonts w:eastAsia="黑体"/>
          <w:sz w:val="30"/>
          <w:szCs w:val="30"/>
        </w:rPr>
      </w:pPr>
      <w:r>
        <w:rPr>
          <w:rFonts w:eastAsia="黑体"/>
          <w:sz w:val="30"/>
          <w:szCs w:val="30"/>
        </w:rPr>
        <w:t>环境影响分析</w:t>
      </w:r>
    </w:p>
    <w:tbl>
      <w:tblPr>
        <w:tblStyle w:val="24"/>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16" w:hRule="atLeast"/>
        </w:trPr>
        <w:tc>
          <w:tcPr>
            <w:tcW w:w="8563" w:type="dxa"/>
            <w:tcBorders>
              <w:bottom w:val="single" w:color="auto" w:sz="4" w:space="0"/>
            </w:tcBorders>
          </w:tcPr>
          <w:p>
            <w:pPr>
              <w:pStyle w:val="94"/>
              <w:spacing w:beforeLines="50" w:line="360" w:lineRule="auto"/>
              <w:ind w:firstLine="0" w:firstLineChars="0"/>
              <w:rPr>
                <w:b/>
                <w:color w:val="0000FF"/>
                <w:spacing w:val="0"/>
                <w:sz w:val="24"/>
                <w:szCs w:val="28"/>
              </w:rPr>
            </w:pPr>
            <w:r>
              <w:rPr>
                <w:b/>
                <w:spacing w:val="0"/>
                <w:sz w:val="24"/>
                <w:szCs w:val="28"/>
              </w:rPr>
              <w:t>施</w:t>
            </w:r>
            <w:r>
              <w:rPr>
                <w:b/>
                <w:color w:val="0000FF"/>
                <w:spacing w:val="0"/>
                <w:sz w:val="24"/>
                <w:szCs w:val="28"/>
              </w:rPr>
              <w:t>工期影响分析：</w:t>
            </w:r>
          </w:p>
          <w:p>
            <w:pPr>
              <w:pStyle w:val="94"/>
              <w:spacing w:beforeLines="50" w:line="360" w:lineRule="auto"/>
              <w:ind w:firstLine="0" w:firstLineChars="0"/>
              <w:rPr>
                <w:color w:val="0000FF"/>
                <w:sz w:val="24"/>
                <w:szCs w:val="28"/>
              </w:rPr>
            </w:pPr>
            <w:r>
              <w:rPr>
                <w:b/>
                <w:color w:val="0000FF"/>
                <w:spacing w:val="0"/>
                <w:sz w:val="24"/>
                <w:szCs w:val="28"/>
              </w:rPr>
              <w:t>1、大气</w:t>
            </w:r>
          </w:p>
          <w:p>
            <w:pPr>
              <w:spacing w:line="360" w:lineRule="auto"/>
              <w:ind w:firstLine="480" w:firstLineChars="200"/>
              <w:rPr>
                <w:color w:val="0000FF"/>
                <w:sz w:val="24"/>
                <w:szCs w:val="28"/>
              </w:rPr>
            </w:pPr>
            <w:r>
              <w:rPr>
                <w:color w:val="0000FF"/>
                <w:sz w:val="24"/>
                <w:szCs w:val="28"/>
              </w:rPr>
              <w:t>施工期的大气污染物主要来源于运输沙石、水泥等材料的车辆进出会产生一定的施工扬尘，同时</w:t>
            </w:r>
            <w:r>
              <w:rPr>
                <w:bCs/>
                <w:color w:val="0000FF"/>
                <w:sz w:val="24"/>
              </w:rPr>
              <w:t>施工机械会有燃油烟气产生</w:t>
            </w:r>
            <w:r>
              <w:rPr>
                <w:color w:val="0000FF"/>
                <w:sz w:val="24"/>
                <w:szCs w:val="28"/>
              </w:rPr>
              <w:t>。由于扬尘的源强较低，且具有流动性、瞬时性、无组织性等特点，据类比调查，扬尘的影响范围主要在施工场地附近，因此要求施工时在场地周围就行洒水降尘。对于燃油烟气，应合理安排施工机械的使用，减少其使用次数，以减少尾气排放量。</w:t>
            </w:r>
          </w:p>
          <w:p>
            <w:pPr>
              <w:pStyle w:val="94"/>
              <w:spacing w:beforeLines="50" w:line="360" w:lineRule="auto"/>
              <w:ind w:firstLine="0" w:firstLineChars="0"/>
              <w:rPr>
                <w:b/>
                <w:color w:val="0000FF"/>
                <w:spacing w:val="0"/>
                <w:sz w:val="24"/>
                <w:szCs w:val="28"/>
              </w:rPr>
            </w:pPr>
            <w:r>
              <w:rPr>
                <w:b/>
                <w:color w:val="0000FF"/>
                <w:spacing w:val="0"/>
                <w:sz w:val="24"/>
                <w:szCs w:val="28"/>
              </w:rPr>
              <w:t>2、废水</w:t>
            </w:r>
          </w:p>
          <w:p>
            <w:pPr>
              <w:spacing w:line="360" w:lineRule="auto"/>
              <w:ind w:firstLine="480" w:firstLineChars="200"/>
              <w:rPr>
                <w:color w:val="0000FF"/>
                <w:sz w:val="24"/>
                <w:szCs w:val="28"/>
              </w:rPr>
            </w:pPr>
            <w:r>
              <w:rPr>
                <w:color w:val="0000FF"/>
                <w:sz w:val="24"/>
                <w:szCs w:val="28"/>
              </w:rPr>
              <w:t>施工时水污染物主要为施工废水和员工的生活</w:t>
            </w:r>
            <w:r>
              <w:rPr>
                <w:rFonts w:hint="eastAsia"/>
                <w:color w:val="0000FF"/>
                <w:sz w:val="24"/>
                <w:szCs w:val="28"/>
              </w:rPr>
              <w:t>污</w:t>
            </w:r>
            <w:r>
              <w:rPr>
                <w:color w:val="0000FF"/>
                <w:sz w:val="24"/>
                <w:szCs w:val="28"/>
              </w:rPr>
              <w:t>水。</w:t>
            </w:r>
          </w:p>
          <w:p>
            <w:pPr>
              <w:spacing w:line="360" w:lineRule="auto"/>
              <w:ind w:firstLine="480" w:firstLineChars="200"/>
              <w:jc w:val="left"/>
              <w:rPr>
                <w:color w:val="0000FF"/>
                <w:sz w:val="24"/>
                <w:szCs w:val="28"/>
              </w:rPr>
            </w:pPr>
            <w:r>
              <w:rPr>
                <w:rFonts w:hint="eastAsia" w:ascii="宋体" w:hAnsi="宋体" w:cs="宋体"/>
                <w:color w:val="0000FF"/>
                <w:sz w:val="24"/>
                <w:szCs w:val="28"/>
              </w:rPr>
              <w:t>①</w:t>
            </w:r>
            <w:r>
              <w:rPr>
                <w:color w:val="0000FF"/>
                <w:sz w:val="24"/>
                <w:szCs w:val="28"/>
              </w:rPr>
              <w:t>项目施工期生产废水包括平整地面时排放入地基沟渠中的污水、地面冲洗带来的建筑废水、砂石料冲洗废水等。</w:t>
            </w:r>
          </w:p>
          <w:p>
            <w:pPr>
              <w:spacing w:line="360" w:lineRule="auto"/>
              <w:ind w:firstLine="480" w:firstLineChars="200"/>
              <w:rPr>
                <w:color w:val="0000FF"/>
                <w:sz w:val="24"/>
                <w:szCs w:val="28"/>
              </w:rPr>
            </w:pPr>
            <w:r>
              <w:rPr>
                <w:color w:val="0000FF"/>
                <w:sz w:val="24"/>
                <w:szCs w:val="28"/>
              </w:rPr>
              <w:t>施工废水排放的随意性较大，会顺着地势流向低洼处，这些废水含有大量的泥沙。因此，项目施工方应在施工场地内修建一些简易沟渠或沉淀池，将建筑废水引入沉淀池进行沉淀处理，处理后回用。</w:t>
            </w:r>
          </w:p>
          <w:p>
            <w:pPr>
              <w:autoSpaceDE w:val="0"/>
              <w:autoSpaceDN w:val="0"/>
              <w:spacing w:line="360" w:lineRule="auto"/>
              <w:ind w:firstLine="480" w:firstLineChars="200"/>
              <w:jc w:val="left"/>
              <w:rPr>
                <w:color w:val="0000FF"/>
                <w:sz w:val="24"/>
                <w:szCs w:val="28"/>
              </w:rPr>
            </w:pPr>
            <w:r>
              <w:rPr>
                <w:rFonts w:hint="eastAsia" w:ascii="宋体" w:hAnsi="宋体" w:cs="宋体"/>
                <w:color w:val="0000FF"/>
                <w:sz w:val="24"/>
                <w:szCs w:val="28"/>
              </w:rPr>
              <w:t>②</w:t>
            </w:r>
            <w:r>
              <w:rPr>
                <w:color w:val="0000FF"/>
                <w:sz w:val="24"/>
                <w:szCs w:val="28"/>
              </w:rPr>
              <w:t>施工场地设有旱厕，由</w:t>
            </w:r>
            <w:r>
              <w:rPr>
                <w:rFonts w:hint="eastAsia"/>
                <w:color w:val="0000FF"/>
                <w:sz w:val="24"/>
                <w:szCs w:val="28"/>
              </w:rPr>
              <w:t>周围农户定期清掏</w:t>
            </w:r>
            <w:r>
              <w:rPr>
                <w:color w:val="0000FF"/>
                <w:sz w:val="24"/>
                <w:szCs w:val="28"/>
              </w:rPr>
              <w:t>。施工场地设</w:t>
            </w:r>
            <w:r>
              <w:rPr>
                <w:rFonts w:hint="eastAsia"/>
                <w:color w:val="0000FF"/>
                <w:sz w:val="24"/>
                <w:szCs w:val="28"/>
              </w:rPr>
              <w:t>施工营地</w:t>
            </w:r>
            <w:r>
              <w:rPr>
                <w:color w:val="0000FF"/>
                <w:sz w:val="24"/>
                <w:szCs w:val="28"/>
              </w:rPr>
              <w:t>，废水主要为洗漱废水，水质简单，可泼洒抑尘、自然蒸发。因此废水对环境的影响较小。</w:t>
            </w:r>
          </w:p>
          <w:p>
            <w:pPr>
              <w:pStyle w:val="94"/>
              <w:spacing w:beforeLines="50" w:line="360" w:lineRule="auto"/>
              <w:ind w:firstLine="0" w:firstLineChars="0"/>
              <w:rPr>
                <w:b/>
                <w:color w:val="0000FF"/>
                <w:spacing w:val="0"/>
                <w:sz w:val="24"/>
                <w:szCs w:val="28"/>
              </w:rPr>
            </w:pPr>
            <w:r>
              <w:rPr>
                <w:b/>
                <w:color w:val="0000FF"/>
                <w:spacing w:val="0"/>
                <w:sz w:val="24"/>
                <w:szCs w:val="28"/>
              </w:rPr>
              <w:t>3、噪声</w:t>
            </w:r>
          </w:p>
          <w:p>
            <w:pPr>
              <w:adjustRightInd w:val="0"/>
              <w:snapToGrid w:val="0"/>
              <w:spacing w:line="360" w:lineRule="auto"/>
              <w:ind w:firstLine="480" w:firstLineChars="200"/>
              <w:rPr>
                <w:color w:val="0000FF"/>
                <w:kern w:val="0"/>
                <w:sz w:val="18"/>
                <w:szCs w:val="18"/>
              </w:rPr>
            </w:pPr>
            <w:r>
              <w:rPr>
                <w:color w:val="0000FF"/>
                <w:kern w:val="28"/>
                <w:sz w:val="24"/>
                <w:szCs w:val="20"/>
              </w:rPr>
              <w:t>施工噪声可分为机械噪声、施工作业噪声和施工车辆噪声。机械噪声主要由施工机械所造成，如推土机、挖掘机、电焊机、拌和机等，多为点声源；施工作业噪声主要指一些零星的敲打声、吆喝声、拆卸模板的撞击声等，多为瞬时噪声；施工车辆的噪声属于交通噪声。在这些施工噪声中，对声环境影响最大的是机械噪声。</w:t>
            </w:r>
          </w:p>
          <w:p>
            <w:pPr>
              <w:spacing w:line="360" w:lineRule="auto"/>
              <w:ind w:firstLine="480" w:firstLineChars="200"/>
              <w:rPr>
                <w:color w:val="0000FF"/>
                <w:sz w:val="24"/>
                <w:szCs w:val="22"/>
              </w:rPr>
            </w:pPr>
            <w:r>
              <w:rPr>
                <w:color w:val="0000FF"/>
                <w:sz w:val="24"/>
                <w:szCs w:val="22"/>
              </w:rPr>
              <w:t>项目</w:t>
            </w:r>
            <w:r>
              <w:rPr>
                <w:rFonts w:hint="eastAsia"/>
                <w:color w:val="0000FF"/>
                <w:sz w:val="24"/>
                <w:szCs w:val="22"/>
              </w:rPr>
              <w:t>选址周边100m内无居民</w:t>
            </w:r>
            <w:r>
              <w:rPr>
                <w:color w:val="0000FF"/>
                <w:sz w:val="24"/>
                <w:szCs w:val="22"/>
              </w:rPr>
              <w:t>，</w:t>
            </w:r>
            <w:r>
              <w:rPr>
                <w:rFonts w:hint="eastAsia"/>
                <w:color w:val="0000FF"/>
                <w:sz w:val="24"/>
                <w:szCs w:val="22"/>
              </w:rPr>
              <w:t>且</w:t>
            </w:r>
            <w:r>
              <w:rPr>
                <w:color w:val="0000FF"/>
                <w:sz w:val="24"/>
                <w:szCs w:val="22"/>
              </w:rPr>
              <w:t>施工期噪声贡献值较小，不会发生扰民现象。</w:t>
            </w:r>
          </w:p>
          <w:p>
            <w:pPr>
              <w:autoSpaceDE w:val="0"/>
              <w:autoSpaceDN w:val="0"/>
              <w:adjustRightInd w:val="0"/>
              <w:spacing w:line="360" w:lineRule="auto"/>
              <w:ind w:firstLine="480" w:firstLineChars="200"/>
              <w:rPr>
                <w:b/>
                <w:color w:val="0000FF"/>
                <w:sz w:val="24"/>
                <w:szCs w:val="20"/>
                <w:lang w:val="zh-CN"/>
              </w:rPr>
            </w:pPr>
            <w:r>
              <w:rPr>
                <w:color w:val="0000FF"/>
                <w:sz w:val="24"/>
                <w:szCs w:val="20"/>
              </w:rPr>
              <w:t>运输车辆交通噪声影响：由于项目所在地周边有部分企业，为减少运输噪声对周边企业的影响，运输材料车辆在进出入施工场地时，应严格控制车速，在所进行路段禁止鸣号，减少交通噪声影响。</w:t>
            </w:r>
          </w:p>
          <w:p>
            <w:pPr>
              <w:pStyle w:val="94"/>
              <w:spacing w:beforeLines="50" w:line="360" w:lineRule="auto"/>
              <w:ind w:firstLine="0" w:firstLineChars="0"/>
              <w:rPr>
                <w:b/>
                <w:color w:val="0000FF"/>
                <w:spacing w:val="0"/>
                <w:sz w:val="24"/>
                <w:szCs w:val="28"/>
              </w:rPr>
            </w:pPr>
            <w:r>
              <w:rPr>
                <w:b/>
                <w:color w:val="0000FF"/>
                <w:spacing w:val="0"/>
                <w:sz w:val="24"/>
                <w:szCs w:val="28"/>
              </w:rPr>
              <w:t>4、固体废弃物</w:t>
            </w:r>
          </w:p>
          <w:p>
            <w:pPr>
              <w:spacing w:line="360" w:lineRule="auto"/>
              <w:ind w:firstLine="480" w:firstLineChars="200"/>
              <w:jc w:val="left"/>
              <w:rPr>
                <w:color w:val="0000FF"/>
                <w:sz w:val="24"/>
                <w:szCs w:val="28"/>
              </w:rPr>
            </w:pPr>
            <w:r>
              <w:rPr>
                <w:color w:val="0000FF"/>
                <w:sz w:val="24"/>
                <w:szCs w:val="28"/>
              </w:rPr>
              <w:t>项目施工期固体废物主要</w:t>
            </w:r>
            <w:r>
              <w:rPr>
                <w:color w:val="0000FF"/>
                <w:kern w:val="0"/>
                <w:sz w:val="24"/>
                <w:szCs w:val="28"/>
              </w:rPr>
              <w:t>为</w:t>
            </w:r>
            <w:r>
              <w:rPr>
                <w:color w:val="0000FF"/>
                <w:sz w:val="24"/>
                <w:szCs w:val="28"/>
              </w:rPr>
              <w:t>施工作业固体废物和施工人员生活垃圾等。</w:t>
            </w:r>
          </w:p>
          <w:p>
            <w:pPr>
              <w:spacing w:line="360" w:lineRule="auto"/>
              <w:ind w:firstLine="480" w:firstLineChars="200"/>
              <w:jc w:val="left"/>
              <w:rPr>
                <w:color w:val="0000FF"/>
                <w:sz w:val="24"/>
                <w:szCs w:val="28"/>
              </w:rPr>
            </w:pPr>
            <w:r>
              <w:rPr>
                <w:color w:val="0000FF"/>
                <w:sz w:val="24"/>
                <w:szCs w:val="28"/>
              </w:rPr>
              <w:t>项目占地面积为</w:t>
            </w:r>
            <w:r>
              <w:rPr>
                <w:rFonts w:hint="eastAsia"/>
                <w:color w:val="0000FF"/>
                <w:sz w:val="24"/>
                <w:szCs w:val="28"/>
              </w:rPr>
              <w:t>8000</w:t>
            </w:r>
            <w:r>
              <w:rPr>
                <w:color w:val="0000FF"/>
                <w:sz w:val="24"/>
                <w:szCs w:val="28"/>
              </w:rPr>
              <w:t>m</w:t>
            </w:r>
            <w:r>
              <w:rPr>
                <w:color w:val="0000FF"/>
                <w:sz w:val="24"/>
                <w:szCs w:val="28"/>
                <w:vertAlign w:val="superscript"/>
              </w:rPr>
              <w:t>2</w:t>
            </w:r>
            <w:r>
              <w:rPr>
                <w:color w:val="0000FF"/>
                <w:sz w:val="24"/>
                <w:szCs w:val="28"/>
              </w:rPr>
              <w:t>，</w:t>
            </w:r>
            <w:r>
              <w:rPr>
                <w:rFonts w:hint="eastAsia"/>
                <w:color w:val="0000FF"/>
                <w:sz w:val="24"/>
                <w:szCs w:val="28"/>
              </w:rPr>
              <w:t>新增</w:t>
            </w:r>
            <w:r>
              <w:rPr>
                <w:color w:val="0000FF"/>
                <w:sz w:val="24"/>
                <w:szCs w:val="28"/>
              </w:rPr>
              <w:t>建筑面积</w:t>
            </w:r>
            <w:r>
              <w:rPr>
                <w:rFonts w:hint="eastAsia"/>
                <w:color w:val="0000FF"/>
                <w:sz w:val="24"/>
                <w:szCs w:val="28"/>
              </w:rPr>
              <w:t>4000</w:t>
            </w:r>
            <w:r>
              <w:rPr>
                <w:color w:val="0000FF"/>
                <w:sz w:val="24"/>
                <w:szCs w:val="28"/>
              </w:rPr>
              <w:t>m</w:t>
            </w:r>
            <w:r>
              <w:rPr>
                <w:color w:val="0000FF"/>
                <w:sz w:val="24"/>
                <w:szCs w:val="28"/>
                <w:vertAlign w:val="superscript"/>
              </w:rPr>
              <w:t>2</w:t>
            </w:r>
            <w:r>
              <w:rPr>
                <w:color w:val="0000FF"/>
                <w:sz w:val="24"/>
                <w:szCs w:val="28"/>
              </w:rPr>
              <w:t>。根据建设单位资料，本项目在建设期间</w:t>
            </w:r>
            <w:r>
              <w:rPr>
                <w:rFonts w:hint="eastAsia"/>
                <w:color w:val="0000FF"/>
                <w:sz w:val="24"/>
                <w:szCs w:val="28"/>
              </w:rPr>
              <w:t>在实施过程中挖方总量为8000m</w:t>
            </w:r>
            <w:r>
              <w:rPr>
                <w:rFonts w:hint="eastAsia"/>
                <w:color w:val="0000FF"/>
                <w:sz w:val="24"/>
                <w:szCs w:val="28"/>
                <w:vertAlign w:val="superscript"/>
              </w:rPr>
              <w:t>3</w:t>
            </w:r>
            <w:r>
              <w:rPr>
                <w:rFonts w:hint="eastAsia"/>
                <w:color w:val="0000FF"/>
                <w:sz w:val="24"/>
                <w:szCs w:val="28"/>
              </w:rPr>
              <w:t>，填方量8000m</w:t>
            </w:r>
            <w:r>
              <w:rPr>
                <w:rFonts w:hint="eastAsia"/>
                <w:color w:val="0000FF"/>
                <w:sz w:val="24"/>
                <w:szCs w:val="28"/>
                <w:vertAlign w:val="superscript"/>
              </w:rPr>
              <w:t>3</w:t>
            </w:r>
            <w:r>
              <w:rPr>
                <w:rFonts w:hint="eastAsia"/>
                <w:color w:val="0000FF"/>
                <w:sz w:val="24"/>
                <w:szCs w:val="28"/>
              </w:rPr>
              <w:t>，项目厂区土方填挖平衡，无弃方产生。</w:t>
            </w:r>
          </w:p>
          <w:p>
            <w:pPr>
              <w:spacing w:line="360" w:lineRule="auto"/>
              <w:ind w:firstLine="480" w:firstLineChars="200"/>
              <w:jc w:val="left"/>
              <w:rPr>
                <w:rFonts w:hint="eastAsia"/>
                <w:color w:val="0000FF"/>
                <w:sz w:val="24"/>
                <w:szCs w:val="28"/>
              </w:rPr>
            </w:pPr>
            <w:r>
              <w:rPr>
                <w:color w:val="0000FF"/>
                <w:sz w:val="24"/>
                <w:szCs w:val="28"/>
              </w:rPr>
              <w:t>生活垃圾总量为</w:t>
            </w:r>
            <w:r>
              <w:rPr>
                <w:rFonts w:hint="eastAsia"/>
                <w:color w:val="0000FF"/>
                <w:sz w:val="24"/>
                <w:szCs w:val="28"/>
              </w:rPr>
              <w:t>1.17</w:t>
            </w:r>
            <w:r>
              <w:rPr>
                <w:color w:val="0000FF"/>
                <w:sz w:val="24"/>
                <w:szCs w:val="28"/>
              </w:rPr>
              <w:t>t/施工周期。生活垃圾经集中收集后由环卫部门定期清运，严禁任意抛洒、任意掩埋。</w:t>
            </w:r>
          </w:p>
          <w:p>
            <w:pPr>
              <w:pStyle w:val="94"/>
              <w:spacing w:beforeLines="50" w:line="360" w:lineRule="auto"/>
              <w:ind w:firstLine="0" w:firstLineChars="0"/>
              <w:rPr>
                <w:b/>
                <w:color w:val="0000FF"/>
                <w:spacing w:val="0"/>
                <w:sz w:val="24"/>
                <w:szCs w:val="28"/>
              </w:rPr>
            </w:pPr>
            <w:r>
              <w:rPr>
                <w:b/>
                <w:color w:val="0000FF"/>
                <w:spacing w:val="0"/>
                <w:sz w:val="24"/>
                <w:szCs w:val="28"/>
              </w:rPr>
              <w:t>运营期环境影响分析：</w:t>
            </w:r>
          </w:p>
          <w:p>
            <w:pPr>
              <w:pStyle w:val="94"/>
              <w:spacing w:beforeLines="50" w:line="360" w:lineRule="auto"/>
              <w:ind w:firstLine="0" w:firstLineChars="0"/>
              <w:rPr>
                <w:b/>
                <w:color w:val="0000FF"/>
                <w:spacing w:val="0"/>
                <w:sz w:val="24"/>
                <w:szCs w:val="28"/>
              </w:rPr>
            </w:pPr>
            <w:r>
              <w:rPr>
                <w:b/>
                <w:color w:val="0000FF"/>
                <w:spacing w:val="0"/>
                <w:sz w:val="24"/>
                <w:szCs w:val="28"/>
              </w:rPr>
              <w:t>1、大气环境影响分析</w:t>
            </w:r>
          </w:p>
          <w:p>
            <w:pPr>
              <w:pStyle w:val="104"/>
              <w:spacing w:line="360" w:lineRule="auto"/>
              <w:ind w:firstLine="480"/>
              <w:rPr>
                <w:rFonts w:eastAsia="宋体"/>
                <w:color w:val="0000FF"/>
                <w:spacing w:val="0"/>
                <w:sz w:val="24"/>
                <w:szCs w:val="28"/>
              </w:rPr>
            </w:pPr>
            <w:r>
              <w:rPr>
                <w:rFonts w:eastAsia="宋体"/>
                <w:color w:val="0000FF"/>
                <w:spacing w:val="0"/>
                <w:sz w:val="24"/>
                <w:szCs w:val="28"/>
              </w:rPr>
              <w:t>本项目运营期间主要有</w:t>
            </w:r>
            <w:r>
              <w:rPr>
                <w:rFonts w:hint="eastAsia" w:eastAsia="宋体"/>
                <w:color w:val="0000FF"/>
                <w:spacing w:val="0"/>
                <w:sz w:val="24"/>
                <w:szCs w:val="28"/>
              </w:rPr>
              <w:t>项目产生废气主要有煤炭堆存、装卸过程中产生的粉尘；物料皮带运输、转载产尘；筛分生产作业产生的煤尘；运输车辆进出厂扬尘；运输车辆汽车尾气。</w:t>
            </w:r>
          </w:p>
          <w:p>
            <w:pPr>
              <w:pStyle w:val="104"/>
              <w:spacing w:line="360" w:lineRule="auto"/>
              <w:ind w:firstLine="504"/>
              <w:rPr>
                <w:rFonts w:hint="eastAsia" w:eastAsia="宋体"/>
                <w:color w:val="0000FF"/>
                <w:sz w:val="24"/>
              </w:rPr>
            </w:pPr>
            <w:r>
              <w:rPr>
                <w:rFonts w:hint="eastAsia" w:eastAsia="宋体"/>
                <w:color w:val="0000FF"/>
                <w:sz w:val="24"/>
              </w:rPr>
              <w:t>1.1评价等级及评价范围确定</w:t>
            </w:r>
          </w:p>
          <w:p>
            <w:pPr>
              <w:pStyle w:val="104"/>
              <w:spacing w:line="360" w:lineRule="auto"/>
              <w:ind w:firstLine="504"/>
              <w:rPr>
                <w:rFonts w:hint="eastAsia" w:eastAsia="宋体"/>
                <w:color w:val="0000FF"/>
                <w:sz w:val="24"/>
              </w:rPr>
            </w:pPr>
            <w:r>
              <w:rPr>
                <w:rFonts w:hint="eastAsia" w:eastAsia="宋体"/>
                <w:color w:val="0000FF"/>
                <w:sz w:val="24"/>
              </w:rPr>
              <w:t>根据导则要求，本项目使用估算模型AERSCREEN进行评价等级判定，估算模型参数取值情况见表25，估算模型计算结果见表26。</w:t>
            </w:r>
          </w:p>
          <w:p>
            <w:pPr>
              <w:spacing w:line="480" w:lineRule="exact"/>
              <w:ind w:firstLine="422" w:firstLineChars="176"/>
              <w:jc w:val="center"/>
              <w:rPr>
                <w:b/>
                <w:color w:val="0000FF"/>
                <w:sz w:val="24"/>
              </w:rPr>
            </w:pPr>
            <w:r>
              <w:rPr>
                <w:b/>
                <w:color w:val="0000FF"/>
                <w:sz w:val="24"/>
              </w:rPr>
              <w:t>表</w:t>
            </w:r>
            <w:r>
              <w:rPr>
                <w:rFonts w:hint="eastAsia"/>
                <w:b/>
                <w:color w:val="0000FF"/>
                <w:sz w:val="24"/>
              </w:rPr>
              <w:t xml:space="preserve">25 </w:t>
            </w:r>
            <w:r>
              <w:rPr>
                <w:b/>
                <w:color w:val="0000FF"/>
                <w:sz w:val="24"/>
              </w:rPr>
              <w:t xml:space="preserve"> 估算模型参数</w:t>
            </w:r>
            <w:r>
              <w:rPr>
                <w:rFonts w:hint="eastAsia"/>
                <w:b/>
                <w:color w:val="0000FF"/>
                <w:sz w:val="24"/>
              </w:rPr>
              <w:t>取值情况一览表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2598"/>
              <w:gridCol w:w="3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1" w:type="dxa"/>
                  <w:gridSpan w:val="2"/>
                  <w:vAlign w:val="center"/>
                </w:tcPr>
                <w:p>
                  <w:pPr>
                    <w:jc w:val="center"/>
                    <w:rPr>
                      <w:color w:val="0000FF"/>
                      <w:szCs w:val="21"/>
                    </w:rPr>
                  </w:pPr>
                  <w:r>
                    <w:rPr>
                      <w:color w:val="0000FF"/>
                      <w:szCs w:val="21"/>
                    </w:rPr>
                    <w:t>参数</w:t>
                  </w:r>
                </w:p>
              </w:tc>
              <w:tc>
                <w:tcPr>
                  <w:tcW w:w="3496" w:type="dxa"/>
                  <w:vAlign w:val="center"/>
                </w:tcPr>
                <w:p>
                  <w:pPr>
                    <w:jc w:val="center"/>
                    <w:rPr>
                      <w:color w:val="0000FF"/>
                      <w:szCs w:val="21"/>
                    </w:rPr>
                  </w:pPr>
                  <w:r>
                    <w:rPr>
                      <w:color w:val="0000FF"/>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restart"/>
                  <w:vAlign w:val="center"/>
                </w:tcPr>
                <w:p>
                  <w:pPr>
                    <w:jc w:val="center"/>
                    <w:rPr>
                      <w:color w:val="0000FF"/>
                      <w:szCs w:val="21"/>
                    </w:rPr>
                  </w:pPr>
                  <w:r>
                    <w:rPr>
                      <w:color w:val="0000FF"/>
                      <w:szCs w:val="21"/>
                    </w:rPr>
                    <w:t>城市农村/选项</w:t>
                  </w:r>
                </w:p>
              </w:tc>
              <w:tc>
                <w:tcPr>
                  <w:tcW w:w="2598" w:type="dxa"/>
                  <w:vAlign w:val="center"/>
                </w:tcPr>
                <w:p>
                  <w:pPr>
                    <w:jc w:val="center"/>
                    <w:rPr>
                      <w:color w:val="0000FF"/>
                      <w:szCs w:val="21"/>
                    </w:rPr>
                  </w:pPr>
                  <w:r>
                    <w:rPr>
                      <w:color w:val="0000FF"/>
                      <w:szCs w:val="21"/>
                    </w:rPr>
                    <w:t>城市/农村</w:t>
                  </w:r>
                </w:p>
              </w:tc>
              <w:tc>
                <w:tcPr>
                  <w:tcW w:w="3496" w:type="dxa"/>
                  <w:vAlign w:val="center"/>
                </w:tcPr>
                <w:p>
                  <w:pPr>
                    <w:jc w:val="center"/>
                    <w:rPr>
                      <w:color w:val="0000FF"/>
                      <w:szCs w:val="21"/>
                    </w:rPr>
                  </w:pPr>
                  <w:r>
                    <w:rPr>
                      <w:color w:val="0000FF"/>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continue"/>
                  <w:vAlign w:val="center"/>
                </w:tcPr>
                <w:p>
                  <w:pPr>
                    <w:jc w:val="center"/>
                    <w:rPr>
                      <w:color w:val="0000FF"/>
                      <w:szCs w:val="21"/>
                    </w:rPr>
                  </w:pPr>
                </w:p>
              </w:tc>
              <w:tc>
                <w:tcPr>
                  <w:tcW w:w="2598" w:type="dxa"/>
                  <w:vAlign w:val="center"/>
                </w:tcPr>
                <w:p>
                  <w:pPr>
                    <w:jc w:val="center"/>
                    <w:rPr>
                      <w:color w:val="0000FF"/>
                      <w:szCs w:val="21"/>
                    </w:rPr>
                  </w:pPr>
                  <w:r>
                    <w:rPr>
                      <w:color w:val="0000FF"/>
                      <w:szCs w:val="21"/>
                    </w:rPr>
                    <w:t>人口数(城市人口数)</w:t>
                  </w:r>
                </w:p>
              </w:tc>
              <w:tc>
                <w:tcPr>
                  <w:tcW w:w="3496" w:type="dxa"/>
                  <w:vAlign w:val="center"/>
                </w:tcPr>
                <w:p>
                  <w:pPr>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1" w:type="dxa"/>
                  <w:gridSpan w:val="2"/>
                  <w:vAlign w:val="center"/>
                </w:tcPr>
                <w:p>
                  <w:pPr>
                    <w:jc w:val="center"/>
                    <w:rPr>
                      <w:color w:val="0000FF"/>
                      <w:szCs w:val="21"/>
                    </w:rPr>
                  </w:pPr>
                  <w:r>
                    <w:rPr>
                      <w:color w:val="0000FF"/>
                      <w:szCs w:val="21"/>
                    </w:rPr>
                    <w:t>最高环境温度</w:t>
                  </w:r>
                </w:p>
              </w:tc>
              <w:tc>
                <w:tcPr>
                  <w:tcW w:w="3496" w:type="dxa"/>
                  <w:vAlign w:val="center"/>
                </w:tcPr>
                <w:p>
                  <w:pPr>
                    <w:jc w:val="center"/>
                    <w:rPr>
                      <w:color w:val="0000FF"/>
                      <w:szCs w:val="21"/>
                    </w:rPr>
                  </w:pPr>
                  <w:r>
                    <w:rPr>
                      <w:color w:val="0000FF"/>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1" w:type="dxa"/>
                  <w:gridSpan w:val="2"/>
                  <w:vAlign w:val="center"/>
                </w:tcPr>
                <w:p>
                  <w:pPr>
                    <w:jc w:val="center"/>
                    <w:rPr>
                      <w:color w:val="0000FF"/>
                      <w:szCs w:val="21"/>
                    </w:rPr>
                  </w:pPr>
                  <w:r>
                    <w:rPr>
                      <w:color w:val="0000FF"/>
                      <w:szCs w:val="21"/>
                    </w:rPr>
                    <w:t>最低环境温度</w:t>
                  </w:r>
                </w:p>
              </w:tc>
              <w:tc>
                <w:tcPr>
                  <w:tcW w:w="3496" w:type="dxa"/>
                  <w:vAlign w:val="center"/>
                </w:tcPr>
                <w:p>
                  <w:pPr>
                    <w:jc w:val="center"/>
                    <w:rPr>
                      <w:color w:val="0000FF"/>
                      <w:szCs w:val="21"/>
                    </w:rPr>
                  </w:pPr>
                  <w:r>
                    <w:rPr>
                      <w:color w:val="0000FF"/>
                      <w:szCs w:val="21"/>
                    </w:rPr>
                    <w:t>-25.4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1" w:type="dxa"/>
                  <w:gridSpan w:val="2"/>
                  <w:vAlign w:val="center"/>
                </w:tcPr>
                <w:p>
                  <w:pPr>
                    <w:jc w:val="center"/>
                    <w:rPr>
                      <w:color w:val="0000FF"/>
                      <w:szCs w:val="21"/>
                    </w:rPr>
                  </w:pPr>
                  <w:r>
                    <w:rPr>
                      <w:color w:val="0000FF"/>
                      <w:szCs w:val="21"/>
                    </w:rPr>
                    <w:t>土地利用类型</w:t>
                  </w:r>
                </w:p>
              </w:tc>
              <w:tc>
                <w:tcPr>
                  <w:tcW w:w="3496" w:type="dxa"/>
                  <w:vAlign w:val="center"/>
                </w:tcPr>
                <w:p>
                  <w:pPr>
                    <w:jc w:val="center"/>
                    <w:rPr>
                      <w:color w:val="0000FF"/>
                      <w:szCs w:val="21"/>
                    </w:rPr>
                  </w:pPr>
                  <w:r>
                    <w:rPr>
                      <w:color w:val="0000FF"/>
                      <w:szCs w:val="21"/>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1" w:type="dxa"/>
                  <w:gridSpan w:val="2"/>
                  <w:vAlign w:val="center"/>
                </w:tcPr>
                <w:p>
                  <w:pPr>
                    <w:jc w:val="center"/>
                    <w:rPr>
                      <w:color w:val="0000FF"/>
                      <w:szCs w:val="21"/>
                    </w:rPr>
                  </w:pPr>
                  <w:r>
                    <w:rPr>
                      <w:color w:val="0000FF"/>
                      <w:szCs w:val="21"/>
                    </w:rPr>
                    <w:t>区域湿度条件</w:t>
                  </w:r>
                </w:p>
              </w:tc>
              <w:tc>
                <w:tcPr>
                  <w:tcW w:w="3496" w:type="dxa"/>
                  <w:vAlign w:val="center"/>
                </w:tcPr>
                <w:p>
                  <w:pPr>
                    <w:jc w:val="center"/>
                    <w:rPr>
                      <w:color w:val="0000FF"/>
                      <w:szCs w:val="21"/>
                    </w:rPr>
                  </w:pPr>
                  <w:r>
                    <w:rPr>
                      <w:color w:val="0000FF"/>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restart"/>
                  <w:vAlign w:val="center"/>
                </w:tcPr>
                <w:p>
                  <w:pPr>
                    <w:jc w:val="center"/>
                    <w:rPr>
                      <w:color w:val="0000FF"/>
                      <w:szCs w:val="21"/>
                    </w:rPr>
                  </w:pPr>
                  <w:r>
                    <w:rPr>
                      <w:color w:val="0000FF"/>
                      <w:szCs w:val="21"/>
                    </w:rPr>
                    <w:t>是否考虑地形</w:t>
                  </w:r>
                </w:p>
              </w:tc>
              <w:tc>
                <w:tcPr>
                  <w:tcW w:w="2598" w:type="dxa"/>
                  <w:vAlign w:val="center"/>
                </w:tcPr>
                <w:p>
                  <w:pPr>
                    <w:jc w:val="center"/>
                    <w:rPr>
                      <w:color w:val="0000FF"/>
                      <w:szCs w:val="21"/>
                    </w:rPr>
                  </w:pPr>
                  <w:r>
                    <w:rPr>
                      <w:color w:val="0000FF"/>
                      <w:szCs w:val="21"/>
                    </w:rPr>
                    <w:t>考虑地形</w:t>
                  </w:r>
                </w:p>
              </w:tc>
              <w:tc>
                <w:tcPr>
                  <w:tcW w:w="3496" w:type="dxa"/>
                  <w:vAlign w:val="center"/>
                </w:tcPr>
                <w:p>
                  <w:pPr>
                    <w:jc w:val="center"/>
                    <w:rPr>
                      <w:color w:val="0000FF"/>
                      <w:szCs w:val="21"/>
                    </w:rPr>
                  </w:pPr>
                  <w:r>
                    <w:rPr>
                      <w:color w:val="0000FF"/>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continue"/>
                  <w:vAlign w:val="center"/>
                </w:tcPr>
                <w:p>
                  <w:pPr>
                    <w:jc w:val="center"/>
                    <w:rPr>
                      <w:color w:val="0000FF"/>
                      <w:szCs w:val="21"/>
                    </w:rPr>
                  </w:pPr>
                </w:p>
              </w:tc>
              <w:tc>
                <w:tcPr>
                  <w:tcW w:w="2598" w:type="dxa"/>
                  <w:vAlign w:val="center"/>
                </w:tcPr>
                <w:p>
                  <w:pPr>
                    <w:jc w:val="center"/>
                    <w:rPr>
                      <w:color w:val="0000FF"/>
                      <w:szCs w:val="21"/>
                    </w:rPr>
                  </w:pPr>
                  <w:r>
                    <w:rPr>
                      <w:color w:val="0000FF"/>
                      <w:szCs w:val="21"/>
                    </w:rPr>
                    <w:t>地形数据分辨率(m)</w:t>
                  </w:r>
                </w:p>
              </w:tc>
              <w:tc>
                <w:tcPr>
                  <w:tcW w:w="3496" w:type="dxa"/>
                  <w:vAlign w:val="center"/>
                </w:tcPr>
                <w:p>
                  <w:pPr>
                    <w:jc w:val="center"/>
                    <w:rPr>
                      <w:color w:val="0000FF"/>
                      <w:szCs w:val="21"/>
                    </w:rPr>
                  </w:pPr>
                  <w:r>
                    <w:rPr>
                      <w:color w:val="0000FF"/>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restart"/>
                  <w:vAlign w:val="center"/>
                </w:tcPr>
                <w:p>
                  <w:pPr>
                    <w:jc w:val="center"/>
                    <w:rPr>
                      <w:color w:val="0000FF"/>
                      <w:szCs w:val="21"/>
                    </w:rPr>
                  </w:pPr>
                  <w:r>
                    <w:rPr>
                      <w:color w:val="0000FF"/>
                      <w:szCs w:val="21"/>
                    </w:rPr>
                    <w:t>是否考虑岸线熏烟</w:t>
                  </w:r>
                </w:p>
              </w:tc>
              <w:tc>
                <w:tcPr>
                  <w:tcW w:w="2598" w:type="dxa"/>
                  <w:vAlign w:val="center"/>
                </w:tcPr>
                <w:p>
                  <w:pPr>
                    <w:jc w:val="center"/>
                    <w:rPr>
                      <w:color w:val="0000FF"/>
                      <w:szCs w:val="21"/>
                    </w:rPr>
                  </w:pPr>
                  <w:r>
                    <w:rPr>
                      <w:color w:val="0000FF"/>
                      <w:szCs w:val="21"/>
                    </w:rPr>
                    <w:t>考虑岸线熏烟</w:t>
                  </w:r>
                </w:p>
              </w:tc>
              <w:tc>
                <w:tcPr>
                  <w:tcW w:w="3496" w:type="dxa"/>
                  <w:vAlign w:val="center"/>
                </w:tcPr>
                <w:p>
                  <w:pPr>
                    <w:jc w:val="center"/>
                    <w:rPr>
                      <w:color w:val="0000FF"/>
                      <w:szCs w:val="21"/>
                    </w:rPr>
                  </w:pPr>
                  <w:r>
                    <w:rPr>
                      <w:color w:val="0000FF"/>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continue"/>
                  <w:vAlign w:val="center"/>
                </w:tcPr>
                <w:p>
                  <w:pPr>
                    <w:jc w:val="center"/>
                    <w:rPr>
                      <w:color w:val="0000FF"/>
                      <w:szCs w:val="21"/>
                    </w:rPr>
                  </w:pPr>
                </w:p>
              </w:tc>
              <w:tc>
                <w:tcPr>
                  <w:tcW w:w="2598" w:type="dxa"/>
                  <w:vAlign w:val="center"/>
                </w:tcPr>
                <w:p>
                  <w:pPr>
                    <w:jc w:val="center"/>
                    <w:rPr>
                      <w:color w:val="0000FF"/>
                      <w:szCs w:val="21"/>
                    </w:rPr>
                  </w:pPr>
                  <w:r>
                    <w:rPr>
                      <w:color w:val="0000FF"/>
                      <w:szCs w:val="21"/>
                    </w:rPr>
                    <w:t>岸线距离/km</w:t>
                  </w:r>
                </w:p>
              </w:tc>
              <w:tc>
                <w:tcPr>
                  <w:tcW w:w="3496" w:type="dxa"/>
                  <w:vAlign w:val="center"/>
                </w:tcPr>
                <w:p>
                  <w:pPr>
                    <w:jc w:val="center"/>
                    <w:rPr>
                      <w:color w:val="0000FF"/>
                      <w:szCs w:val="21"/>
                    </w:rPr>
                  </w:pPr>
                  <w:r>
                    <w:rPr>
                      <w:color w:val="0000FF"/>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3" w:type="dxa"/>
                  <w:vMerge w:val="continue"/>
                  <w:vAlign w:val="center"/>
                </w:tcPr>
                <w:p>
                  <w:pPr>
                    <w:jc w:val="center"/>
                    <w:rPr>
                      <w:color w:val="0000FF"/>
                      <w:szCs w:val="21"/>
                    </w:rPr>
                  </w:pPr>
                </w:p>
              </w:tc>
              <w:tc>
                <w:tcPr>
                  <w:tcW w:w="2598" w:type="dxa"/>
                  <w:vAlign w:val="center"/>
                </w:tcPr>
                <w:p>
                  <w:pPr>
                    <w:jc w:val="center"/>
                    <w:rPr>
                      <w:color w:val="0000FF"/>
                      <w:szCs w:val="21"/>
                    </w:rPr>
                  </w:pPr>
                  <w:r>
                    <w:rPr>
                      <w:color w:val="0000FF"/>
                      <w:szCs w:val="21"/>
                    </w:rPr>
                    <w:t>岸线方向/</w:t>
                  </w:r>
                  <w:r>
                    <w:rPr>
                      <w:color w:val="0000FF"/>
                      <w:szCs w:val="21"/>
                      <w:vertAlign w:val="superscript"/>
                    </w:rPr>
                    <w:t>o</w:t>
                  </w:r>
                </w:p>
              </w:tc>
              <w:tc>
                <w:tcPr>
                  <w:tcW w:w="3496" w:type="dxa"/>
                  <w:vAlign w:val="center"/>
                </w:tcPr>
                <w:p>
                  <w:pPr>
                    <w:jc w:val="center"/>
                    <w:rPr>
                      <w:color w:val="0000FF"/>
                      <w:szCs w:val="21"/>
                    </w:rPr>
                  </w:pPr>
                  <w:r>
                    <w:rPr>
                      <w:color w:val="0000FF"/>
                      <w:szCs w:val="21"/>
                    </w:rPr>
                    <w:t>/</w:t>
                  </w:r>
                </w:p>
              </w:tc>
            </w:tr>
          </w:tbl>
          <w:p>
            <w:pPr>
              <w:spacing w:line="480" w:lineRule="exact"/>
              <w:ind w:firstLine="422" w:firstLineChars="176"/>
              <w:jc w:val="center"/>
              <w:rPr>
                <w:rFonts w:hint="eastAsia"/>
                <w:b/>
                <w:color w:val="0000FF"/>
              </w:rPr>
            </w:pPr>
            <w:r>
              <w:rPr>
                <w:b/>
                <w:color w:val="0000FF"/>
                <w:sz w:val="24"/>
              </w:rPr>
              <w:t>表</w:t>
            </w:r>
            <w:r>
              <w:rPr>
                <w:rFonts w:hint="eastAsia"/>
                <w:b/>
                <w:color w:val="0000FF"/>
                <w:sz w:val="24"/>
              </w:rPr>
              <w:t>26（a）有组织</w:t>
            </w:r>
            <w:r>
              <w:rPr>
                <w:b/>
                <w:color w:val="0000FF"/>
                <w:sz w:val="24"/>
              </w:rPr>
              <w:t>大气污染物排放源强</w:t>
            </w:r>
            <w:r>
              <w:rPr>
                <w:rFonts w:hint="eastAsia"/>
                <w:b/>
                <w:color w:val="0000FF"/>
                <w:sz w:val="24"/>
              </w:rPr>
              <w:t xml:space="preserve"> </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00"/>
              <w:gridCol w:w="828"/>
              <w:gridCol w:w="973"/>
              <w:gridCol w:w="1244"/>
              <w:gridCol w:w="1072"/>
              <w:gridCol w:w="1200"/>
              <w:gridCol w:w="1017"/>
              <w:gridCol w:w="1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00" w:type="dxa"/>
                  <w:vMerge w:val="restart"/>
                  <w:vAlign w:val="center"/>
                </w:tcPr>
                <w:p>
                  <w:pPr>
                    <w:jc w:val="center"/>
                    <w:rPr>
                      <w:color w:val="0000FF"/>
                    </w:rPr>
                  </w:pPr>
                  <w:r>
                    <w:rPr>
                      <w:color w:val="0000FF"/>
                    </w:rPr>
                    <w:t>污染源名称</w:t>
                  </w:r>
                </w:p>
              </w:tc>
              <w:tc>
                <w:tcPr>
                  <w:tcW w:w="4117" w:type="dxa"/>
                  <w:gridSpan w:val="4"/>
                  <w:vAlign w:val="center"/>
                </w:tcPr>
                <w:p>
                  <w:pPr>
                    <w:snapToGrid w:val="0"/>
                    <w:jc w:val="center"/>
                    <w:rPr>
                      <w:color w:val="0000FF"/>
                      <w:szCs w:val="21"/>
                    </w:rPr>
                  </w:pPr>
                  <w:r>
                    <w:rPr>
                      <w:color w:val="0000FF"/>
                      <w:szCs w:val="21"/>
                    </w:rPr>
                    <w:t>排气筒参数</w:t>
                  </w:r>
                </w:p>
              </w:tc>
              <w:tc>
                <w:tcPr>
                  <w:tcW w:w="1200" w:type="dxa"/>
                  <w:vMerge w:val="restart"/>
                  <w:vAlign w:val="center"/>
                </w:tcPr>
                <w:p>
                  <w:pPr>
                    <w:snapToGrid w:val="0"/>
                    <w:jc w:val="center"/>
                    <w:rPr>
                      <w:color w:val="0000FF"/>
                      <w:szCs w:val="21"/>
                    </w:rPr>
                  </w:pPr>
                  <w:r>
                    <w:rPr>
                      <w:color w:val="0000FF"/>
                      <w:szCs w:val="21"/>
                    </w:rPr>
                    <w:t>污染物名称</w:t>
                  </w:r>
                </w:p>
              </w:tc>
              <w:tc>
                <w:tcPr>
                  <w:tcW w:w="1017" w:type="dxa"/>
                  <w:vMerge w:val="restart"/>
                  <w:vAlign w:val="center"/>
                </w:tcPr>
                <w:p>
                  <w:pPr>
                    <w:snapToGrid w:val="0"/>
                    <w:jc w:val="center"/>
                    <w:rPr>
                      <w:color w:val="0000FF"/>
                      <w:szCs w:val="21"/>
                    </w:rPr>
                  </w:pPr>
                  <w:r>
                    <w:rPr>
                      <w:color w:val="0000FF"/>
                      <w:szCs w:val="21"/>
                    </w:rPr>
                    <w:t>排放速率</w:t>
                  </w:r>
                </w:p>
              </w:tc>
              <w:tc>
                <w:tcPr>
                  <w:tcW w:w="1013" w:type="dxa"/>
                  <w:vMerge w:val="restart"/>
                  <w:vAlign w:val="center"/>
                </w:tcPr>
                <w:p>
                  <w:pPr>
                    <w:snapToGrid w:val="0"/>
                    <w:jc w:val="center"/>
                    <w:rPr>
                      <w:color w:val="0000FF"/>
                      <w:szCs w:val="21"/>
                    </w:rPr>
                  </w:pPr>
                  <w:r>
                    <w:rPr>
                      <w:color w:val="0000FF"/>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00" w:type="dxa"/>
                  <w:vMerge w:val="continue"/>
                  <w:vAlign w:val="center"/>
                </w:tcPr>
                <w:p>
                  <w:pPr>
                    <w:snapToGrid w:val="0"/>
                    <w:jc w:val="center"/>
                    <w:rPr>
                      <w:color w:val="0000FF"/>
                      <w:szCs w:val="21"/>
                    </w:rPr>
                  </w:pPr>
                </w:p>
              </w:tc>
              <w:tc>
                <w:tcPr>
                  <w:tcW w:w="828" w:type="dxa"/>
                  <w:vAlign w:val="center"/>
                </w:tcPr>
                <w:p>
                  <w:pPr>
                    <w:snapToGrid w:val="0"/>
                    <w:jc w:val="center"/>
                    <w:rPr>
                      <w:color w:val="0000FF"/>
                      <w:szCs w:val="21"/>
                    </w:rPr>
                  </w:pPr>
                  <w:r>
                    <w:rPr>
                      <w:color w:val="0000FF"/>
                      <w:szCs w:val="21"/>
                    </w:rPr>
                    <w:t>高度</w:t>
                  </w:r>
                </w:p>
                <w:p>
                  <w:pPr>
                    <w:snapToGrid w:val="0"/>
                    <w:jc w:val="center"/>
                    <w:rPr>
                      <w:color w:val="0000FF"/>
                      <w:szCs w:val="21"/>
                    </w:rPr>
                  </w:pPr>
                  <w:r>
                    <w:rPr>
                      <w:color w:val="0000FF"/>
                      <w:szCs w:val="21"/>
                    </w:rPr>
                    <w:t>(m)</w:t>
                  </w:r>
                </w:p>
              </w:tc>
              <w:tc>
                <w:tcPr>
                  <w:tcW w:w="973" w:type="dxa"/>
                  <w:vAlign w:val="center"/>
                </w:tcPr>
                <w:p>
                  <w:pPr>
                    <w:snapToGrid w:val="0"/>
                    <w:jc w:val="center"/>
                    <w:rPr>
                      <w:color w:val="0000FF"/>
                      <w:szCs w:val="21"/>
                    </w:rPr>
                  </w:pPr>
                  <w:r>
                    <w:rPr>
                      <w:color w:val="0000FF"/>
                      <w:szCs w:val="21"/>
                    </w:rPr>
                    <w:t>内径</w:t>
                  </w:r>
                </w:p>
                <w:p>
                  <w:pPr>
                    <w:snapToGrid w:val="0"/>
                    <w:jc w:val="center"/>
                    <w:rPr>
                      <w:color w:val="0000FF"/>
                      <w:szCs w:val="21"/>
                    </w:rPr>
                  </w:pPr>
                  <w:r>
                    <w:rPr>
                      <w:color w:val="0000FF"/>
                      <w:szCs w:val="21"/>
                    </w:rPr>
                    <w:t>(m)</w:t>
                  </w:r>
                </w:p>
              </w:tc>
              <w:tc>
                <w:tcPr>
                  <w:tcW w:w="1244" w:type="dxa"/>
                  <w:vAlign w:val="center"/>
                </w:tcPr>
                <w:p>
                  <w:pPr>
                    <w:snapToGrid w:val="0"/>
                    <w:jc w:val="center"/>
                    <w:rPr>
                      <w:color w:val="0000FF"/>
                      <w:szCs w:val="21"/>
                    </w:rPr>
                  </w:pPr>
                  <w:r>
                    <w:rPr>
                      <w:color w:val="0000FF"/>
                      <w:szCs w:val="21"/>
                    </w:rPr>
                    <w:t>温度</w:t>
                  </w:r>
                </w:p>
                <w:p>
                  <w:pPr>
                    <w:snapToGrid w:val="0"/>
                    <w:jc w:val="center"/>
                    <w:rPr>
                      <w:color w:val="0000FF"/>
                      <w:szCs w:val="21"/>
                    </w:rPr>
                  </w:pPr>
                  <w:r>
                    <w:rPr>
                      <w:color w:val="0000FF"/>
                      <w:szCs w:val="21"/>
                    </w:rPr>
                    <w:t>(</w:t>
                  </w:r>
                  <w:r>
                    <w:rPr>
                      <w:rFonts w:hint="eastAsia" w:ascii="宋体" w:hAnsi="宋体" w:cs="宋体"/>
                      <w:color w:val="0000FF"/>
                      <w:szCs w:val="21"/>
                    </w:rPr>
                    <w:t>℃</w:t>
                  </w:r>
                  <w:r>
                    <w:rPr>
                      <w:color w:val="0000FF"/>
                      <w:szCs w:val="21"/>
                    </w:rPr>
                    <w:t>)</w:t>
                  </w:r>
                </w:p>
              </w:tc>
              <w:tc>
                <w:tcPr>
                  <w:tcW w:w="1072" w:type="dxa"/>
                  <w:vAlign w:val="center"/>
                </w:tcPr>
                <w:p>
                  <w:pPr>
                    <w:snapToGrid w:val="0"/>
                    <w:jc w:val="center"/>
                    <w:rPr>
                      <w:color w:val="0000FF"/>
                      <w:szCs w:val="21"/>
                    </w:rPr>
                  </w:pPr>
                  <w:r>
                    <w:rPr>
                      <w:color w:val="0000FF"/>
                      <w:szCs w:val="21"/>
                    </w:rPr>
                    <w:t>流速</w:t>
                  </w:r>
                </w:p>
                <w:p>
                  <w:pPr>
                    <w:snapToGrid w:val="0"/>
                    <w:jc w:val="center"/>
                    <w:rPr>
                      <w:color w:val="0000FF"/>
                      <w:szCs w:val="21"/>
                    </w:rPr>
                  </w:pPr>
                  <w:r>
                    <w:rPr>
                      <w:color w:val="0000FF"/>
                      <w:szCs w:val="21"/>
                    </w:rPr>
                    <w:t>(m/s)</w:t>
                  </w:r>
                </w:p>
              </w:tc>
              <w:tc>
                <w:tcPr>
                  <w:tcW w:w="1200" w:type="dxa"/>
                  <w:vMerge w:val="continue"/>
                  <w:vAlign w:val="center"/>
                </w:tcPr>
                <w:p>
                  <w:pPr>
                    <w:snapToGrid w:val="0"/>
                    <w:jc w:val="center"/>
                    <w:rPr>
                      <w:color w:val="0000FF"/>
                      <w:szCs w:val="21"/>
                    </w:rPr>
                  </w:pPr>
                </w:p>
              </w:tc>
              <w:tc>
                <w:tcPr>
                  <w:tcW w:w="1017" w:type="dxa"/>
                  <w:vMerge w:val="continue"/>
                  <w:vAlign w:val="center"/>
                </w:tcPr>
                <w:p>
                  <w:pPr>
                    <w:snapToGrid w:val="0"/>
                    <w:jc w:val="center"/>
                    <w:rPr>
                      <w:color w:val="0000FF"/>
                      <w:szCs w:val="21"/>
                    </w:rPr>
                  </w:pPr>
                </w:p>
              </w:tc>
              <w:tc>
                <w:tcPr>
                  <w:tcW w:w="1013" w:type="dxa"/>
                  <w:vMerge w:val="continue"/>
                  <w:vAlign w:val="center"/>
                </w:tcPr>
                <w:p>
                  <w:pPr>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000" w:type="dxa"/>
                  <w:vAlign w:val="center"/>
                </w:tcPr>
                <w:p>
                  <w:pPr>
                    <w:jc w:val="center"/>
                    <w:rPr>
                      <w:color w:val="0000FF"/>
                    </w:rPr>
                  </w:pPr>
                  <w:r>
                    <w:rPr>
                      <w:color w:val="0000FF"/>
                    </w:rPr>
                    <w:t>点源</w:t>
                  </w:r>
                </w:p>
              </w:tc>
              <w:tc>
                <w:tcPr>
                  <w:tcW w:w="828" w:type="dxa"/>
                  <w:vAlign w:val="center"/>
                </w:tcPr>
                <w:p>
                  <w:pPr>
                    <w:jc w:val="center"/>
                    <w:rPr>
                      <w:color w:val="0000FF"/>
                    </w:rPr>
                  </w:pPr>
                  <w:r>
                    <w:rPr>
                      <w:color w:val="0000FF"/>
                    </w:rPr>
                    <w:t>15.0</w:t>
                  </w:r>
                </w:p>
              </w:tc>
              <w:tc>
                <w:tcPr>
                  <w:tcW w:w="973" w:type="dxa"/>
                  <w:vAlign w:val="center"/>
                </w:tcPr>
                <w:p>
                  <w:pPr>
                    <w:jc w:val="center"/>
                    <w:rPr>
                      <w:color w:val="0000FF"/>
                    </w:rPr>
                  </w:pPr>
                  <w:r>
                    <w:rPr>
                      <w:color w:val="0000FF"/>
                    </w:rPr>
                    <w:t>0.3</w:t>
                  </w:r>
                </w:p>
              </w:tc>
              <w:tc>
                <w:tcPr>
                  <w:tcW w:w="1244" w:type="dxa"/>
                  <w:vAlign w:val="center"/>
                </w:tcPr>
                <w:p>
                  <w:pPr>
                    <w:jc w:val="center"/>
                    <w:rPr>
                      <w:color w:val="0000FF"/>
                    </w:rPr>
                  </w:pPr>
                  <w:r>
                    <w:rPr>
                      <w:color w:val="0000FF"/>
                    </w:rPr>
                    <w:t>25.0</w:t>
                  </w:r>
                </w:p>
              </w:tc>
              <w:tc>
                <w:tcPr>
                  <w:tcW w:w="1072" w:type="dxa"/>
                  <w:vAlign w:val="center"/>
                </w:tcPr>
                <w:p>
                  <w:pPr>
                    <w:jc w:val="center"/>
                    <w:rPr>
                      <w:color w:val="0000FF"/>
                    </w:rPr>
                  </w:pPr>
                  <w:r>
                    <w:rPr>
                      <w:color w:val="0000FF"/>
                    </w:rPr>
                    <w:t>26.84</w:t>
                  </w:r>
                </w:p>
              </w:tc>
              <w:tc>
                <w:tcPr>
                  <w:tcW w:w="1200" w:type="dxa"/>
                  <w:vAlign w:val="center"/>
                </w:tcPr>
                <w:p>
                  <w:pPr>
                    <w:jc w:val="center"/>
                    <w:rPr>
                      <w:color w:val="0000FF"/>
                    </w:rPr>
                  </w:pPr>
                  <w:r>
                    <w:rPr>
                      <w:color w:val="0000FF"/>
                    </w:rPr>
                    <w:t>PM10</w:t>
                  </w:r>
                </w:p>
              </w:tc>
              <w:tc>
                <w:tcPr>
                  <w:tcW w:w="1017" w:type="dxa"/>
                  <w:vAlign w:val="center"/>
                </w:tcPr>
                <w:p>
                  <w:pPr>
                    <w:jc w:val="center"/>
                    <w:rPr>
                      <w:color w:val="0000FF"/>
                    </w:rPr>
                  </w:pPr>
                  <w:r>
                    <w:rPr>
                      <w:color w:val="0000FF"/>
                    </w:rPr>
                    <w:t>0.032</w:t>
                  </w:r>
                </w:p>
              </w:tc>
              <w:tc>
                <w:tcPr>
                  <w:tcW w:w="1013" w:type="dxa"/>
                  <w:vAlign w:val="center"/>
                </w:tcPr>
                <w:p>
                  <w:pPr>
                    <w:jc w:val="center"/>
                    <w:rPr>
                      <w:color w:val="0000FF"/>
                    </w:rPr>
                  </w:pPr>
                  <w:r>
                    <w:rPr>
                      <w:color w:val="0000FF"/>
                    </w:rPr>
                    <w:t>kg/h</w:t>
                  </w:r>
                </w:p>
              </w:tc>
            </w:tr>
          </w:tbl>
          <w:p>
            <w:pPr>
              <w:spacing w:line="480" w:lineRule="exact"/>
              <w:ind w:firstLine="422" w:firstLineChars="176"/>
              <w:jc w:val="center"/>
              <w:rPr>
                <w:rFonts w:hint="eastAsia"/>
                <w:b/>
                <w:color w:val="0000FF"/>
                <w:sz w:val="24"/>
              </w:rPr>
            </w:pPr>
            <w:r>
              <w:rPr>
                <w:b/>
                <w:color w:val="0000FF"/>
                <w:sz w:val="24"/>
              </w:rPr>
              <w:t>表</w:t>
            </w:r>
            <w:r>
              <w:rPr>
                <w:rFonts w:hint="eastAsia"/>
                <w:b/>
                <w:color w:val="0000FF"/>
                <w:sz w:val="24"/>
              </w:rPr>
              <w:t>26（b）无组织</w:t>
            </w:r>
            <w:r>
              <w:rPr>
                <w:b/>
                <w:color w:val="0000FF"/>
                <w:sz w:val="24"/>
              </w:rPr>
              <w:t>大气污染物排放源强</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66"/>
              <w:gridCol w:w="1279"/>
              <w:gridCol w:w="1381"/>
              <w:gridCol w:w="1528"/>
              <w:gridCol w:w="1401"/>
              <w:gridCol w:w="1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1366" w:type="dxa"/>
                  <w:vMerge w:val="restart"/>
                  <w:vAlign w:val="center"/>
                </w:tcPr>
                <w:p>
                  <w:pPr>
                    <w:jc w:val="center"/>
                    <w:rPr>
                      <w:color w:val="0000FF"/>
                    </w:rPr>
                  </w:pPr>
                  <w:r>
                    <w:rPr>
                      <w:color w:val="0000FF"/>
                    </w:rPr>
                    <w:t>污染源名称</w:t>
                  </w:r>
                </w:p>
              </w:tc>
              <w:tc>
                <w:tcPr>
                  <w:tcW w:w="1279" w:type="dxa"/>
                  <w:vMerge w:val="restart"/>
                  <w:vAlign w:val="center"/>
                </w:tcPr>
                <w:p>
                  <w:pPr>
                    <w:snapToGrid w:val="0"/>
                    <w:jc w:val="center"/>
                    <w:rPr>
                      <w:color w:val="0000FF"/>
                      <w:szCs w:val="21"/>
                    </w:rPr>
                  </w:pPr>
                  <w:r>
                    <w:rPr>
                      <w:color w:val="0000FF"/>
                      <w:szCs w:val="21"/>
                    </w:rPr>
                    <w:t>面源</w:t>
                  </w:r>
                  <w:r>
                    <w:rPr>
                      <w:rFonts w:hint="eastAsia"/>
                      <w:color w:val="0000FF"/>
                      <w:szCs w:val="21"/>
                    </w:rPr>
                    <w:t>有效排放</w:t>
                  </w:r>
                  <w:r>
                    <w:rPr>
                      <w:color w:val="0000FF"/>
                      <w:szCs w:val="21"/>
                    </w:rPr>
                    <w:t>高度</w:t>
                  </w:r>
                  <w:r>
                    <w:rPr>
                      <w:rFonts w:hint="eastAsia"/>
                      <w:color w:val="0000FF"/>
                      <w:szCs w:val="21"/>
                    </w:rPr>
                    <w:t>(</w:t>
                  </w:r>
                  <w:r>
                    <w:rPr>
                      <w:color w:val="0000FF"/>
                      <w:szCs w:val="21"/>
                    </w:rPr>
                    <w:t>m</w:t>
                  </w:r>
                  <w:r>
                    <w:rPr>
                      <w:rFonts w:hint="eastAsia"/>
                      <w:color w:val="0000FF"/>
                      <w:szCs w:val="21"/>
                    </w:rPr>
                    <w:t>)</w:t>
                  </w:r>
                </w:p>
              </w:tc>
              <w:tc>
                <w:tcPr>
                  <w:tcW w:w="1381" w:type="dxa"/>
                  <w:vMerge w:val="restart"/>
                  <w:vAlign w:val="center"/>
                </w:tcPr>
                <w:p>
                  <w:pPr>
                    <w:snapToGrid w:val="0"/>
                    <w:jc w:val="center"/>
                    <w:rPr>
                      <w:color w:val="0000FF"/>
                      <w:szCs w:val="21"/>
                    </w:rPr>
                  </w:pPr>
                  <w:r>
                    <w:rPr>
                      <w:color w:val="0000FF"/>
                      <w:szCs w:val="21"/>
                    </w:rPr>
                    <w:t>圆形面源半径</w:t>
                  </w:r>
                  <w:r>
                    <w:rPr>
                      <w:rFonts w:hint="eastAsia"/>
                      <w:color w:val="0000FF"/>
                      <w:szCs w:val="21"/>
                    </w:rPr>
                    <w:t>(</w:t>
                  </w:r>
                  <w:r>
                    <w:rPr>
                      <w:color w:val="0000FF"/>
                      <w:szCs w:val="21"/>
                    </w:rPr>
                    <w:t>m</w:t>
                  </w:r>
                  <w:r>
                    <w:rPr>
                      <w:rFonts w:hint="eastAsia"/>
                      <w:color w:val="0000FF"/>
                      <w:szCs w:val="21"/>
                    </w:rPr>
                    <w:t>)</w:t>
                  </w:r>
                </w:p>
              </w:tc>
              <w:tc>
                <w:tcPr>
                  <w:tcW w:w="1528" w:type="dxa"/>
                  <w:vMerge w:val="restart"/>
                  <w:vAlign w:val="center"/>
                </w:tcPr>
                <w:p>
                  <w:pPr>
                    <w:snapToGrid w:val="0"/>
                    <w:jc w:val="center"/>
                    <w:rPr>
                      <w:color w:val="0000FF"/>
                      <w:szCs w:val="21"/>
                    </w:rPr>
                  </w:pPr>
                  <w:r>
                    <w:rPr>
                      <w:color w:val="0000FF"/>
                      <w:szCs w:val="21"/>
                    </w:rPr>
                    <w:t>污染物</w:t>
                  </w:r>
                </w:p>
              </w:tc>
              <w:tc>
                <w:tcPr>
                  <w:tcW w:w="1401" w:type="dxa"/>
                  <w:vMerge w:val="restart"/>
                  <w:vAlign w:val="center"/>
                </w:tcPr>
                <w:p>
                  <w:pPr>
                    <w:snapToGrid w:val="0"/>
                    <w:jc w:val="center"/>
                    <w:rPr>
                      <w:color w:val="0000FF"/>
                      <w:szCs w:val="21"/>
                    </w:rPr>
                  </w:pPr>
                  <w:r>
                    <w:rPr>
                      <w:color w:val="0000FF"/>
                      <w:szCs w:val="21"/>
                    </w:rPr>
                    <w:t>排放速率</w:t>
                  </w:r>
                </w:p>
              </w:tc>
              <w:tc>
                <w:tcPr>
                  <w:tcW w:w="1392" w:type="dxa"/>
                  <w:vMerge w:val="restart"/>
                  <w:vAlign w:val="center"/>
                </w:tcPr>
                <w:p>
                  <w:pPr>
                    <w:snapToGrid w:val="0"/>
                    <w:jc w:val="center"/>
                    <w:rPr>
                      <w:color w:val="0000FF"/>
                      <w:szCs w:val="21"/>
                    </w:rPr>
                  </w:pPr>
                  <w:r>
                    <w:rPr>
                      <w:color w:val="0000FF"/>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1" w:hRule="atLeast"/>
              </w:trPr>
              <w:tc>
                <w:tcPr>
                  <w:tcW w:w="1366" w:type="dxa"/>
                  <w:vMerge w:val="continue"/>
                  <w:vAlign w:val="center"/>
                </w:tcPr>
                <w:p>
                  <w:pPr>
                    <w:snapToGrid w:val="0"/>
                    <w:jc w:val="center"/>
                    <w:rPr>
                      <w:color w:val="0000FF"/>
                      <w:szCs w:val="21"/>
                    </w:rPr>
                  </w:pPr>
                </w:p>
              </w:tc>
              <w:tc>
                <w:tcPr>
                  <w:tcW w:w="1279" w:type="dxa"/>
                  <w:vMerge w:val="continue"/>
                  <w:vAlign w:val="center"/>
                </w:tcPr>
                <w:p>
                  <w:pPr>
                    <w:snapToGrid w:val="0"/>
                    <w:jc w:val="center"/>
                    <w:rPr>
                      <w:color w:val="0000FF"/>
                      <w:szCs w:val="21"/>
                    </w:rPr>
                  </w:pPr>
                </w:p>
              </w:tc>
              <w:tc>
                <w:tcPr>
                  <w:tcW w:w="1381" w:type="dxa"/>
                  <w:vMerge w:val="continue"/>
                  <w:vAlign w:val="center"/>
                </w:tcPr>
                <w:p>
                  <w:pPr>
                    <w:snapToGrid w:val="0"/>
                    <w:jc w:val="center"/>
                    <w:rPr>
                      <w:color w:val="0000FF"/>
                      <w:szCs w:val="21"/>
                    </w:rPr>
                  </w:pPr>
                </w:p>
              </w:tc>
              <w:tc>
                <w:tcPr>
                  <w:tcW w:w="1528" w:type="dxa"/>
                  <w:vMerge w:val="continue"/>
                  <w:vAlign w:val="center"/>
                </w:tcPr>
                <w:p>
                  <w:pPr>
                    <w:snapToGrid w:val="0"/>
                    <w:jc w:val="center"/>
                    <w:rPr>
                      <w:color w:val="0000FF"/>
                      <w:szCs w:val="21"/>
                    </w:rPr>
                  </w:pPr>
                </w:p>
              </w:tc>
              <w:tc>
                <w:tcPr>
                  <w:tcW w:w="1401" w:type="dxa"/>
                  <w:vMerge w:val="continue"/>
                  <w:vAlign w:val="center"/>
                </w:tcPr>
                <w:p>
                  <w:pPr>
                    <w:snapToGrid w:val="0"/>
                    <w:jc w:val="center"/>
                    <w:rPr>
                      <w:color w:val="0000FF"/>
                      <w:szCs w:val="21"/>
                    </w:rPr>
                  </w:pPr>
                </w:p>
              </w:tc>
              <w:tc>
                <w:tcPr>
                  <w:tcW w:w="1392" w:type="dxa"/>
                  <w:vMerge w:val="continue"/>
                </w:tcPr>
                <w:p>
                  <w:pPr>
                    <w:snapToGrid w:val="0"/>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1366" w:type="dxa"/>
                  <w:vAlign w:val="center"/>
                </w:tcPr>
                <w:p>
                  <w:pPr>
                    <w:jc w:val="center"/>
                    <w:rPr>
                      <w:color w:val="0000FF"/>
                    </w:rPr>
                  </w:pPr>
                  <w:r>
                    <w:rPr>
                      <w:color w:val="0000FF"/>
                    </w:rPr>
                    <w:t>圆形面源</w:t>
                  </w:r>
                </w:p>
              </w:tc>
              <w:tc>
                <w:tcPr>
                  <w:tcW w:w="1279" w:type="dxa"/>
                  <w:vAlign w:val="center"/>
                </w:tcPr>
                <w:p>
                  <w:pPr>
                    <w:jc w:val="center"/>
                    <w:rPr>
                      <w:color w:val="0000FF"/>
                    </w:rPr>
                  </w:pPr>
                  <w:r>
                    <w:rPr>
                      <w:color w:val="0000FF"/>
                    </w:rPr>
                    <w:t>1</w:t>
                  </w:r>
                  <w:r>
                    <w:rPr>
                      <w:rFonts w:hint="eastAsia"/>
                      <w:color w:val="0000FF"/>
                    </w:rPr>
                    <w:t>0</w:t>
                  </w:r>
                  <w:r>
                    <w:rPr>
                      <w:color w:val="0000FF"/>
                    </w:rPr>
                    <w:t>.0</w:t>
                  </w:r>
                </w:p>
              </w:tc>
              <w:tc>
                <w:tcPr>
                  <w:tcW w:w="1381" w:type="dxa"/>
                  <w:vAlign w:val="center"/>
                </w:tcPr>
                <w:p>
                  <w:pPr>
                    <w:jc w:val="center"/>
                    <w:rPr>
                      <w:color w:val="0000FF"/>
                    </w:rPr>
                  </w:pPr>
                  <w:r>
                    <w:rPr>
                      <w:rFonts w:hint="eastAsia"/>
                      <w:color w:val="0000FF"/>
                    </w:rPr>
                    <w:t>43</w:t>
                  </w:r>
                </w:p>
              </w:tc>
              <w:tc>
                <w:tcPr>
                  <w:tcW w:w="1528" w:type="dxa"/>
                  <w:vAlign w:val="center"/>
                </w:tcPr>
                <w:p>
                  <w:pPr>
                    <w:jc w:val="center"/>
                    <w:rPr>
                      <w:color w:val="0000FF"/>
                    </w:rPr>
                  </w:pPr>
                  <w:r>
                    <w:rPr>
                      <w:color w:val="0000FF"/>
                    </w:rPr>
                    <w:t>PM10</w:t>
                  </w:r>
                </w:p>
              </w:tc>
              <w:tc>
                <w:tcPr>
                  <w:tcW w:w="1401" w:type="dxa"/>
                  <w:vAlign w:val="center"/>
                </w:tcPr>
                <w:p>
                  <w:pPr>
                    <w:jc w:val="center"/>
                    <w:rPr>
                      <w:color w:val="0000FF"/>
                    </w:rPr>
                  </w:pPr>
                  <w:r>
                    <w:rPr>
                      <w:color w:val="0000FF"/>
                    </w:rPr>
                    <w:t>0.</w:t>
                  </w:r>
                  <w:r>
                    <w:rPr>
                      <w:rFonts w:hint="eastAsia"/>
                      <w:color w:val="0000FF"/>
                    </w:rPr>
                    <w:t>18</w:t>
                  </w:r>
                </w:p>
              </w:tc>
              <w:tc>
                <w:tcPr>
                  <w:tcW w:w="1392" w:type="dxa"/>
                  <w:vAlign w:val="center"/>
                </w:tcPr>
                <w:p>
                  <w:pPr>
                    <w:jc w:val="center"/>
                    <w:rPr>
                      <w:color w:val="0000FF"/>
                    </w:rPr>
                  </w:pPr>
                  <w:r>
                    <w:rPr>
                      <w:color w:val="0000FF"/>
                    </w:rPr>
                    <w:t>kg/h</w:t>
                  </w:r>
                </w:p>
              </w:tc>
            </w:tr>
          </w:tbl>
          <w:p>
            <w:pPr>
              <w:pStyle w:val="104"/>
              <w:spacing w:line="360" w:lineRule="auto"/>
              <w:ind w:firstLine="506"/>
              <w:jc w:val="center"/>
              <w:rPr>
                <w:rFonts w:hint="eastAsia" w:eastAsia="宋体"/>
                <w:b/>
                <w:color w:val="0000FF"/>
                <w:sz w:val="24"/>
              </w:rPr>
            </w:pPr>
            <w:r>
              <w:rPr>
                <w:rFonts w:hint="eastAsia" w:eastAsia="宋体"/>
                <w:b/>
                <w:color w:val="0000FF"/>
                <w:sz w:val="24"/>
              </w:rPr>
              <w:t>表27  估算模型计算结果一览表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416"/>
              <w:gridCol w:w="1845"/>
              <w:gridCol w:w="1275"/>
              <w:gridCol w:w="1134"/>
              <w:gridCol w:w="1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94" w:type="dxa"/>
                  <w:vAlign w:val="center"/>
                </w:tcPr>
                <w:p>
                  <w:pPr>
                    <w:jc w:val="center"/>
                    <w:rPr>
                      <w:color w:val="0000FF"/>
                    </w:rPr>
                  </w:pPr>
                  <w:r>
                    <w:rPr>
                      <w:color w:val="0000FF"/>
                    </w:rPr>
                    <w:t>污染源名称</w:t>
                  </w:r>
                </w:p>
              </w:tc>
              <w:tc>
                <w:tcPr>
                  <w:tcW w:w="1416" w:type="dxa"/>
                  <w:vAlign w:val="center"/>
                </w:tcPr>
                <w:p>
                  <w:pPr>
                    <w:jc w:val="center"/>
                    <w:rPr>
                      <w:color w:val="0000FF"/>
                      <w:szCs w:val="21"/>
                    </w:rPr>
                  </w:pPr>
                  <w:r>
                    <w:rPr>
                      <w:color w:val="0000FF"/>
                      <w:szCs w:val="21"/>
                    </w:rPr>
                    <w:t>评价因子</w:t>
                  </w:r>
                </w:p>
              </w:tc>
              <w:tc>
                <w:tcPr>
                  <w:tcW w:w="1845" w:type="dxa"/>
                  <w:vAlign w:val="center"/>
                </w:tcPr>
                <w:p>
                  <w:pPr>
                    <w:jc w:val="center"/>
                    <w:rPr>
                      <w:color w:val="0000FF"/>
                      <w:szCs w:val="21"/>
                    </w:rPr>
                  </w:pPr>
                  <w:r>
                    <w:rPr>
                      <w:color w:val="0000FF"/>
                      <w:szCs w:val="21"/>
                    </w:rPr>
                    <w:t>评价标准</w:t>
                  </w:r>
                  <w:r>
                    <w:rPr>
                      <w:rFonts w:hint="eastAsia"/>
                      <w:color w:val="0000FF"/>
                      <w:szCs w:val="21"/>
                    </w:rPr>
                    <w:t>(</w:t>
                  </w:r>
                  <w:r>
                    <w:rPr>
                      <w:color w:val="0000FF"/>
                      <w:szCs w:val="21"/>
                    </w:rPr>
                    <w:t>μg/m</w:t>
                  </w:r>
                  <w:r>
                    <w:rPr>
                      <w:color w:val="0000FF"/>
                      <w:szCs w:val="21"/>
                      <w:vertAlign w:val="superscript"/>
                    </w:rPr>
                    <w:t>3</w:t>
                  </w:r>
                  <w:r>
                    <w:rPr>
                      <w:rFonts w:hint="eastAsia"/>
                      <w:color w:val="0000FF"/>
                      <w:szCs w:val="21"/>
                    </w:rPr>
                    <w:t>)</w:t>
                  </w:r>
                </w:p>
              </w:tc>
              <w:tc>
                <w:tcPr>
                  <w:tcW w:w="1275" w:type="dxa"/>
                  <w:vAlign w:val="center"/>
                </w:tcPr>
                <w:p>
                  <w:pPr>
                    <w:jc w:val="center"/>
                    <w:rPr>
                      <w:color w:val="0000FF"/>
                      <w:szCs w:val="21"/>
                    </w:rPr>
                  </w:pPr>
                  <w:r>
                    <w:rPr>
                      <w:color w:val="0000FF"/>
                      <w:szCs w:val="21"/>
                    </w:rPr>
                    <w:t>C</w:t>
                  </w:r>
                  <w:r>
                    <w:rPr>
                      <w:rFonts w:hint="eastAsia"/>
                      <w:color w:val="0000FF"/>
                      <w:szCs w:val="21"/>
                      <w:vertAlign w:val="subscript"/>
                    </w:rPr>
                    <w:t>max</w:t>
                  </w:r>
                  <w:r>
                    <w:rPr>
                      <w:color w:val="0000FF"/>
                      <w:szCs w:val="21"/>
                    </w:rPr>
                    <w:t>(μg/m</w:t>
                  </w:r>
                  <w:r>
                    <w:rPr>
                      <w:color w:val="0000FF"/>
                      <w:szCs w:val="21"/>
                      <w:vertAlign w:val="superscript"/>
                    </w:rPr>
                    <w:t>3</w:t>
                  </w:r>
                  <w:r>
                    <w:rPr>
                      <w:color w:val="0000FF"/>
                      <w:szCs w:val="21"/>
                    </w:rPr>
                    <w:t>)</w:t>
                  </w:r>
                </w:p>
              </w:tc>
              <w:tc>
                <w:tcPr>
                  <w:tcW w:w="1134" w:type="dxa"/>
                  <w:vAlign w:val="center"/>
                </w:tcPr>
                <w:p>
                  <w:pPr>
                    <w:jc w:val="center"/>
                    <w:rPr>
                      <w:color w:val="0000FF"/>
                      <w:szCs w:val="21"/>
                    </w:rPr>
                  </w:pPr>
                  <w:r>
                    <w:rPr>
                      <w:color w:val="0000FF"/>
                      <w:szCs w:val="21"/>
                    </w:rPr>
                    <w:t>P</w:t>
                  </w:r>
                  <w:r>
                    <w:rPr>
                      <w:rFonts w:hint="eastAsia"/>
                      <w:color w:val="0000FF"/>
                      <w:szCs w:val="21"/>
                      <w:vertAlign w:val="subscript"/>
                    </w:rPr>
                    <w:t>max</w:t>
                  </w:r>
                  <w:r>
                    <w:rPr>
                      <w:color w:val="0000FF"/>
                      <w:szCs w:val="21"/>
                    </w:rPr>
                    <w:t>(%)</w:t>
                  </w:r>
                </w:p>
              </w:tc>
              <w:tc>
                <w:tcPr>
                  <w:tcW w:w="1083" w:type="dxa"/>
                  <w:vAlign w:val="center"/>
                </w:tcPr>
                <w:p>
                  <w:pPr>
                    <w:jc w:val="center"/>
                    <w:rPr>
                      <w:color w:val="0000FF"/>
                      <w:szCs w:val="21"/>
                    </w:rPr>
                  </w:pPr>
                  <w:r>
                    <w:rPr>
                      <w:color w:val="0000FF"/>
                      <w:szCs w:val="21"/>
                    </w:rPr>
                    <w:t>D</w:t>
                  </w:r>
                  <w:r>
                    <w:rPr>
                      <w:color w:val="0000FF"/>
                      <w:szCs w:val="21"/>
                      <w:vertAlign w:val="subscript"/>
                    </w:rPr>
                    <w:t>10%</w:t>
                  </w:r>
                  <w:r>
                    <w:rPr>
                      <w:color w:val="0000FF"/>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4" w:type="dxa"/>
                  <w:vAlign w:val="center"/>
                </w:tcPr>
                <w:p>
                  <w:pPr>
                    <w:jc w:val="center"/>
                    <w:rPr>
                      <w:color w:val="0000FF"/>
                    </w:rPr>
                  </w:pPr>
                  <w:r>
                    <w:rPr>
                      <w:rFonts w:hint="eastAsia"/>
                      <w:color w:val="0000FF"/>
                    </w:rPr>
                    <w:t>筛分粉尘</w:t>
                  </w:r>
                </w:p>
              </w:tc>
              <w:tc>
                <w:tcPr>
                  <w:tcW w:w="1416" w:type="dxa"/>
                  <w:vAlign w:val="center"/>
                </w:tcPr>
                <w:p>
                  <w:pPr>
                    <w:jc w:val="center"/>
                    <w:rPr>
                      <w:color w:val="0000FF"/>
                    </w:rPr>
                  </w:pPr>
                  <w:r>
                    <w:rPr>
                      <w:color w:val="0000FF"/>
                    </w:rPr>
                    <w:t>PM</w:t>
                  </w:r>
                  <w:r>
                    <w:rPr>
                      <w:color w:val="0000FF"/>
                      <w:vertAlign w:val="subscript"/>
                    </w:rPr>
                    <w:t>10</w:t>
                  </w:r>
                </w:p>
              </w:tc>
              <w:tc>
                <w:tcPr>
                  <w:tcW w:w="1845" w:type="dxa"/>
                  <w:vAlign w:val="center"/>
                </w:tcPr>
                <w:p>
                  <w:pPr>
                    <w:jc w:val="center"/>
                    <w:rPr>
                      <w:color w:val="0000FF"/>
                    </w:rPr>
                  </w:pPr>
                  <w:r>
                    <w:rPr>
                      <w:color w:val="0000FF"/>
                    </w:rPr>
                    <w:t>450.0</w:t>
                  </w:r>
                </w:p>
              </w:tc>
              <w:tc>
                <w:tcPr>
                  <w:tcW w:w="1275" w:type="dxa"/>
                  <w:vAlign w:val="center"/>
                </w:tcPr>
                <w:p>
                  <w:pPr>
                    <w:jc w:val="center"/>
                    <w:rPr>
                      <w:color w:val="0000FF"/>
                    </w:rPr>
                  </w:pPr>
                  <w:r>
                    <w:rPr>
                      <w:color w:val="0000FF"/>
                    </w:rPr>
                    <w:t>17.0</w:t>
                  </w:r>
                </w:p>
              </w:tc>
              <w:tc>
                <w:tcPr>
                  <w:tcW w:w="1134" w:type="dxa"/>
                  <w:vAlign w:val="center"/>
                </w:tcPr>
                <w:p>
                  <w:pPr>
                    <w:jc w:val="center"/>
                    <w:rPr>
                      <w:color w:val="0000FF"/>
                    </w:rPr>
                  </w:pPr>
                  <w:r>
                    <w:rPr>
                      <w:color w:val="0000FF"/>
                    </w:rPr>
                    <w:t>4.0</w:t>
                  </w:r>
                </w:p>
              </w:tc>
              <w:tc>
                <w:tcPr>
                  <w:tcW w:w="1083" w:type="dxa"/>
                  <w:vAlign w:val="center"/>
                </w:tcPr>
                <w:p>
                  <w:pPr>
                    <w:jc w:val="center"/>
                    <w:rPr>
                      <w:color w:val="0000FF"/>
                    </w:rPr>
                  </w:pPr>
                  <w:r>
                    <w:rPr>
                      <w:color w:val="0000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94" w:type="dxa"/>
                  <w:vAlign w:val="center"/>
                </w:tcPr>
                <w:p>
                  <w:pPr>
                    <w:jc w:val="center"/>
                    <w:rPr>
                      <w:color w:val="0000FF"/>
                    </w:rPr>
                  </w:pPr>
                  <w:r>
                    <w:rPr>
                      <w:rFonts w:hint="eastAsia"/>
                      <w:color w:val="0000FF"/>
                    </w:rPr>
                    <w:t>无组织废气</w:t>
                  </w:r>
                </w:p>
              </w:tc>
              <w:tc>
                <w:tcPr>
                  <w:tcW w:w="1416" w:type="dxa"/>
                  <w:vAlign w:val="center"/>
                </w:tcPr>
                <w:p>
                  <w:pPr>
                    <w:jc w:val="center"/>
                    <w:rPr>
                      <w:color w:val="0000FF"/>
                    </w:rPr>
                  </w:pPr>
                  <w:r>
                    <w:rPr>
                      <w:color w:val="0000FF"/>
                    </w:rPr>
                    <w:t>PM</w:t>
                  </w:r>
                  <w:r>
                    <w:rPr>
                      <w:color w:val="0000FF"/>
                      <w:vertAlign w:val="subscript"/>
                    </w:rPr>
                    <w:t>10</w:t>
                  </w:r>
                </w:p>
              </w:tc>
              <w:tc>
                <w:tcPr>
                  <w:tcW w:w="1845" w:type="dxa"/>
                  <w:vAlign w:val="center"/>
                </w:tcPr>
                <w:p>
                  <w:pPr>
                    <w:jc w:val="center"/>
                    <w:rPr>
                      <w:color w:val="0000FF"/>
                    </w:rPr>
                  </w:pPr>
                  <w:r>
                    <w:rPr>
                      <w:color w:val="0000FF"/>
                    </w:rPr>
                    <w:t>450.0</w:t>
                  </w:r>
                </w:p>
              </w:tc>
              <w:tc>
                <w:tcPr>
                  <w:tcW w:w="1275" w:type="dxa"/>
                  <w:vAlign w:val="center"/>
                </w:tcPr>
                <w:p>
                  <w:pPr>
                    <w:jc w:val="center"/>
                    <w:rPr>
                      <w:color w:val="0000FF"/>
                    </w:rPr>
                  </w:pPr>
                  <w:r>
                    <w:rPr>
                      <w:rFonts w:hint="eastAsia"/>
                      <w:color w:val="0000FF"/>
                    </w:rPr>
                    <w:t>42</w:t>
                  </w:r>
                  <w:r>
                    <w:rPr>
                      <w:color w:val="0000FF"/>
                    </w:rPr>
                    <w:t>.0</w:t>
                  </w:r>
                </w:p>
              </w:tc>
              <w:tc>
                <w:tcPr>
                  <w:tcW w:w="1134" w:type="dxa"/>
                  <w:vAlign w:val="center"/>
                </w:tcPr>
                <w:p>
                  <w:pPr>
                    <w:jc w:val="center"/>
                    <w:rPr>
                      <w:color w:val="0000FF"/>
                    </w:rPr>
                  </w:pPr>
                  <w:r>
                    <w:rPr>
                      <w:rFonts w:hint="eastAsia"/>
                      <w:color w:val="0000FF"/>
                    </w:rPr>
                    <w:t>9.6</w:t>
                  </w:r>
                </w:p>
              </w:tc>
              <w:tc>
                <w:tcPr>
                  <w:tcW w:w="1083" w:type="dxa"/>
                  <w:vAlign w:val="center"/>
                </w:tcPr>
                <w:p>
                  <w:pPr>
                    <w:jc w:val="center"/>
                    <w:rPr>
                      <w:color w:val="0000FF"/>
                    </w:rPr>
                  </w:pPr>
                  <w:r>
                    <w:rPr>
                      <w:color w:val="0000FF"/>
                    </w:rPr>
                    <w:t>/</w:t>
                  </w:r>
                </w:p>
              </w:tc>
            </w:tr>
          </w:tbl>
          <w:p>
            <w:pPr>
              <w:pStyle w:val="104"/>
              <w:spacing w:line="360" w:lineRule="auto"/>
              <w:ind w:firstLine="504"/>
              <w:rPr>
                <w:rFonts w:hint="eastAsia" w:eastAsia="宋体"/>
                <w:color w:val="0000FF"/>
                <w:sz w:val="24"/>
              </w:rPr>
            </w:pPr>
            <w:r>
              <w:rPr>
                <w:rFonts w:hint="eastAsia" w:eastAsia="宋体"/>
                <w:color w:val="0000FF"/>
                <w:sz w:val="24"/>
              </w:rPr>
              <w:t>从上表可以看出，本项目最大地面空气质量浓度占标率为9.6%（无组织粉尘）。根据《环境影响评价技术导则 大气环境》（HJ2.2-2018），本项目大气环境影响评价等级为二级，大气环境影响评价范围边长为5km</w:t>
            </w:r>
          </w:p>
          <w:p>
            <w:pPr>
              <w:pStyle w:val="104"/>
              <w:spacing w:line="360" w:lineRule="auto"/>
              <w:ind w:firstLine="504"/>
              <w:rPr>
                <w:rFonts w:hint="eastAsia" w:eastAsia="宋体"/>
                <w:color w:val="0000FF"/>
                <w:sz w:val="24"/>
              </w:rPr>
            </w:pPr>
            <w:r>
              <w:rPr>
                <w:rFonts w:hint="eastAsia" w:eastAsia="宋体"/>
                <w:color w:val="0000FF"/>
                <w:sz w:val="24"/>
              </w:rPr>
              <w:t>1.2环境空气影响分析</w:t>
            </w:r>
          </w:p>
          <w:p>
            <w:pPr>
              <w:pStyle w:val="104"/>
              <w:spacing w:line="360" w:lineRule="auto"/>
              <w:ind w:firstLine="504"/>
              <w:rPr>
                <w:rFonts w:hint="eastAsia" w:eastAsia="宋体"/>
                <w:color w:val="0000FF"/>
                <w:sz w:val="24"/>
              </w:rPr>
            </w:pPr>
            <w:r>
              <w:rPr>
                <w:rFonts w:hint="eastAsia" w:eastAsia="宋体"/>
                <w:color w:val="0000FF"/>
                <w:sz w:val="24"/>
              </w:rPr>
              <w:t>本项目有组织废气主要包括筛分粉尘，无组织废气主要为堆场及装卸粉尘、皮带运输粉尘、汽车动力扬尘等。根据估算模型 AERSCREEN 计算结果，本项目各污染源排放的污染物贡献浓度较小，对周围大气环境影响较小。</w:t>
            </w:r>
          </w:p>
          <w:p>
            <w:pPr>
              <w:pStyle w:val="104"/>
              <w:spacing w:line="360" w:lineRule="auto"/>
              <w:ind w:firstLine="504"/>
              <w:rPr>
                <w:rFonts w:hint="eastAsia" w:eastAsia="宋体"/>
                <w:color w:val="0000FF"/>
                <w:sz w:val="24"/>
              </w:rPr>
            </w:pPr>
            <w:r>
              <w:rPr>
                <w:rFonts w:hint="eastAsia" w:eastAsia="宋体"/>
                <w:color w:val="0000FF"/>
                <w:sz w:val="24"/>
              </w:rPr>
              <w:t>1.3无组织排放污染源预测</w:t>
            </w:r>
          </w:p>
          <w:p>
            <w:pPr>
              <w:tabs>
                <w:tab w:val="left" w:pos="0"/>
              </w:tabs>
              <w:spacing w:line="360" w:lineRule="auto"/>
              <w:ind w:firstLine="480" w:firstLineChars="200"/>
              <w:rPr>
                <w:rFonts w:hint="eastAsia"/>
                <w:color w:val="0000FF"/>
                <w:sz w:val="24"/>
                <w:szCs w:val="20"/>
              </w:rPr>
            </w:pPr>
            <w:r>
              <w:rPr>
                <w:rFonts w:hint="eastAsia"/>
                <w:color w:val="0000FF"/>
                <w:sz w:val="24"/>
                <w:szCs w:val="20"/>
              </w:rPr>
              <w:t>本项目无组织排放源强一览表。</w:t>
            </w:r>
          </w:p>
          <w:p>
            <w:pPr>
              <w:tabs>
                <w:tab w:val="left" w:pos="0"/>
              </w:tabs>
              <w:ind w:firstLine="480" w:firstLineChars="200"/>
              <w:jc w:val="center"/>
              <w:rPr>
                <w:rFonts w:hint="eastAsia"/>
                <w:color w:val="0000FF"/>
                <w:sz w:val="24"/>
                <w:szCs w:val="20"/>
              </w:rPr>
            </w:pPr>
            <w:r>
              <w:rPr>
                <w:rFonts w:hint="eastAsia"/>
                <w:b/>
                <w:color w:val="0000FF"/>
                <w:sz w:val="24"/>
                <w:szCs w:val="20"/>
              </w:rPr>
              <w:t>表28  无组织排放参数</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217"/>
              <w:gridCol w:w="1707"/>
              <w:gridCol w:w="2337"/>
              <w:gridCol w:w="110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Align w:val="center"/>
                </w:tcPr>
                <w:p>
                  <w:pPr>
                    <w:tabs>
                      <w:tab w:val="left" w:pos="0"/>
                    </w:tabs>
                    <w:jc w:val="center"/>
                    <w:rPr>
                      <w:rFonts w:hint="eastAsia"/>
                      <w:b/>
                      <w:color w:val="0000FF"/>
                      <w:szCs w:val="21"/>
                    </w:rPr>
                  </w:pPr>
                  <w:r>
                    <w:rPr>
                      <w:rFonts w:hint="eastAsia"/>
                      <w:b/>
                      <w:color w:val="0000FF"/>
                      <w:szCs w:val="21"/>
                    </w:rPr>
                    <w:t>产生单元</w:t>
                  </w:r>
                </w:p>
              </w:tc>
              <w:tc>
                <w:tcPr>
                  <w:tcW w:w="2217" w:type="dxa"/>
                  <w:vAlign w:val="center"/>
                </w:tcPr>
                <w:p>
                  <w:pPr>
                    <w:tabs>
                      <w:tab w:val="left" w:pos="0"/>
                    </w:tabs>
                    <w:jc w:val="center"/>
                    <w:rPr>
                      <w:rFonts w:hint="eastAsia"/>
                      <w:b/>
                      <w:color w:val="0000FF"/>
                      <w:szCs w:val="21"/>
                    </w:rPr>
                  </w:pPr>
                  <w:r>
                    <w:rPr>
                      <w:rFonts w:hint="eastAsia"/>
                      <w:b/>
                      <w:color w:val="0000FF"/>
                      <w:szCs w:val="21"/>
                    </w:rPr>
                    <w:t>污染物</w:t>
                  </w:r>
                </w:p>
              </w:tc>
              <w:tc>
                <w:tcPr>
                  <w:tcW w:w="1707" w:type="dxa"/>
                  <w:vAlign w:val="center"/>
                </w:tcPr>
                <w:p>
                  <w:pPr>
                    <w:tabs>
                      <w:tab w:val="left" w:pos="0"/>
                    </w:tabs>
                    <w:jc w:val="center"/>
                    <w:rPr>
                      <w:rFonts w:hint="eastAsia"/>
                      <w:b/>
                      <w:color w:val="0000FF"/>
                      <w:szCs w:val="21"/>
                    </w:rPr>
                  </w:pPr>
                  <w:r>
                    <w:rPr>
                      <w:rFonts w:hint="eastAsia"/>
                      <w:b/>
                      <w:color w:val="0000FF"/>
                      <w:szCs w:val="21"/>
                    </w:rPr>
                    <w:t>排放速率（kg/h）</w:t>
                  </w:r>
                </w:p>
              </w:tc>
              <w:tc>
                <w:tcPr>
                  <w:tcW w:w="2337" w:type="dxa"/>
                  <w:vAlign w:val="center"/>
                </w:tcPr>
                <w:p>
                  <w:pPr>
                    <w:tabs>
                      <w:tab w:val="left" w:pos="0"/>
                    </w:tabs>
                    <w:jc w:val="center"/>
                    <w:rPr>
                      <w:rFonts w:hint="eastAsia"/>
                      <w:b/>
                      <w:color w:val="0000FF"/>
                      <w:szCs w:val="21"/>
                    </w:rPr>
                  </w:pPr>
                  <w:r>
                    <w:rPr>
                      <w:rFonts w:hint="eastAsia"/>
                      <w:b/>
                      <w:color w:val="0000FF"/>
                      <w:szCs w:val="21"/>
                    </w:rPr>
                    <w:t>等效直径（m）</w:t>
                  </w:r>
                </w:p>
              </w:tc>
              <w:tc>
                <w:tcPr>
                  <w:tcW w:w="1109" w:type="dxa"/>
                  <w:vAlign w:val="center"/>
                </w:tcPr>
                <w:p>
                  <w:pPr>
                    <w:tabs>
                      <w:tab w:val="left" w:pos="0"/>
                    </w:tabs>
                    <w:jc w:val="center"/>
                    <w:rPr>
                      <w:rFonts w:hint="eastAsia"/>
                      <w:b/>
                      <w:color w:val="0000FF"/>
                      <w:szCs w:val="21"/>
                    </w:rPr>
                  </w:pPr>
                  <w:r>
                    <w:rPr>
                      <w:rFonts w:hint="eastAsia"/>
                      <w:b/>
                      <w:color w:val="0000FF"/>
                      <w:szCs w:val="21"/>
                    </w:rPr>
                    <w:t>高度(m)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77" w:type="dxa"/>
                  <w:vAlign w:val="center"/>
                </w:tcPr>
                <w:p>
                  <w:pPr>
                    <w:tabs>
                      <w:tab w:val="left" w:pos="0"/>
                    </w:tabs>
                    <w:jc w:val="center"/>
                    <w:rPr>
                      <w:rFonts w:hint="eastAsia"/>
                      <w:color w:val="0000FF"/>
                      <w:szCs w:val="21"/>
                    </w:rPr>
                  </w:pPr>
                  <w:r>
                    <w:rPr>
                      <w:rFonts w:hint="eastAsia"/>
                      <w:color w:val="0000FF"/>
                      <w:szCs w:val="21"/>
                    </w:rPr>
                    <w:t>储煤库</w:t>
                  </w:r>
                </w:p>
              </w:tc>
              <w:tc>
                <w:tcPr>
                  <w:tcW w:w="2217" w:type="dxa"/>
                  <w:vAlign w:val="center"/>
                </w:tcPr>
                <w:p>
                  <w:pPr>
                    <w:tabs>
                      <w:tab w:val="left" w:pos="0"/>
                    </w:tabs>
                    <w:jc w:val="center"/>
                    <w:rPr>
                      <w:rFonts w:hint="eastAsia"/>
                      <w:color w:val="0000FF"/>
                      <w:szCs w:val="21"/>
                    </w:rPr>
                  </w:pPr>
                  <w:r>
                    <w:rPr>
                      <w:rFonts w:hint="eastAsia"/>
                      <w:color w:val="0000FF"/>
                      <w:szCs w:val="21"/>
                    </w:rPr>
                    <w:t>颗粒物</w:t>
                  </w:r>
                </w:p>
              </w:tc>
              <w:tc>
                <w:tcPr>
                  <w:tcW w:w="1707" w:type="dxa"/>
                  <w:vAlign w:val="center"/>
                </w:tcPr>
                <w:p>
                  <w:pPr>
                    <w:tabs>
                      <w:tab w:val="left" w:pos="0"/>
                    </w:tabs>
                    <w:jc w:val="center"/>
                    <w:rPr>
                      <w:rFonts w:hint="eastAsia"/>
                      <w:color w:val="0000FF"/>
                      <w:szCs w:val="21"/>
                    </w:rPr>
                  </w:pPr>
                  <w:r>
                    <w:rPr>
                      <w:rFonts w:hint="eastAsia"/>
                      <w:color w:val="0000FF"/>
                      <w:szCs w:val="21"/>
                    </w:rPr>
                    <w:t>0.18</w:t>
                  </w:r>
                </w:p>
              </w:tc>
              <w:tc>
                <w:tcPr>
                  <w:tcW w:w="2337" w:type="dxa"/>
                  <w:vAlign w:val="center"/>
                </w:tcPr>
                <w:p>
                  <w:pPr>
                    <w:tabs>
                      <w:tab w:val="left" w:pos="0"/>
                    </w:tabs>
                    <w:jc w:val="center"/>
                    <w:rPr>
                      <w:rFonts w:hint="eastAsia"/>
                      <w:color w:val="0000FF"/>
                      <w:szCs w:val="21"/>
                    </w:rPr>
                  </w:pPr>
                  <w:r>
                    <w:rPr>
                      <w:rFonts w:hint="eastAsia"/>
                      <w:color w:val="0000FF"/>
                      <w:szCs w:val="21"/>
                    </w:rPr>
                    <w:t>43</w:t>
                  </w:r>
                </w:p>
              </w:tc>
              <w:tc>
                <w:tcPr>
                  <w:tcW w:w="1109" w:type="dxa"/>
                  <w:vAlign w:val="center"/>
                </w:tcPr>
                <w:p>
                  <w:pPr>
                    <w:tabs>
                      <w:tab w:val="left" w:pos="0"/>
                    </w:tabs>
                    <w:jc w:val="center"/>
                    <w:rPr>
                      <w:rFonts w:hint="eastAsia"/>
                      <w:color w:val="0000FF"/>
                      <w:szCs w:val="21"/>
                    </w:rPr>
                  </w:pPr>
                  <w:r>
                    <w:rPr>
                      <w:rFonts w:hint="eastAsia"/>
                      <w:color w:val="0000FF"/>
                      <w:szCs w:val="21"/>
                    </w:rPr>
                    <w:t>11.5</w:t>
                  </w:r>
                </w:p>
              </w:tc>
            </w:tr>
          </w:tbl>
          <w:p>
            <w:pPr>
              <w:tabs>
                <w:tab w:val="left" w:pos="0"/>
              </w:tabs>
              <w:spacing w:beforeLines="50" w:line="360" w:lineRule="auto"/>
              <w:ind w:firstLine="480" w:firstLineChars="200"/>
              <w:rPr>
                <w:rFonts w:hint="eastAsia"/>
                <w:b/>
                <w:color w:val="0000FF"/>
                <w:sz w:val="24"/>
                <w:szCs w:val="20"/>
              </w:rPr>
            </w:pPr>
            <w:r>
              <w:rPr>
                <w:rFonts w:hint="eastAsia"/>
                <w:b/>
                <w:color w:val="0000FF"/>
                <w:sz w:val="24"/>
                <w:szCs w:val="20"/>
              </w:rPr>
              <w:t>（1）大气环境防护距离确定</w:t>
            </w:r>
          </w:p>
          <w:p>
            <w:pPr>
              <w:tabs>
                <w:tab w:val="left" w:pos="0"/>
              </w:tabs>
              <w:spacing w:line="360" w:lineRule="auto"/>
              <w:ind w:firstLine="480" w:firstLineChars="200"/>
              <w:rPr>
                <w:rFonts w:hint="eastAsia"/>
                <w:color w:val="0000FF"/>
                <w:sz w:val="24"/>
                <w:szCs w:val="20"/>
              </w:rPr>
            </w:pPr>
            <w:r>
              <w:rPr>
                <w:rFonts w:hint="eastAsia"/>
                <w:color w:val="0000FF"/>
                <w:sz w:val="24"/>
                <w:szCs w:val="20"/>
              </w:rPr>
              <w:t>根据《环境影响评价技术导则 大气环境》（HJ2.2-2018）8.7.5，对于项目厂界浓度满足大气污染物厂界浓度限值，但厂界外大气环境污染物短期浓度贡献值超过质量浓度限值的，可自厂界向外设置一定范围的大气环境防护区域，以确保大气环境防护区域外的污染物贡献值满足环境质量标准。</w:t>
            </w:r>
          </w:p>
          <w:p>
            <w:pPr>
              <w:tabs>
                <w:tab w:val="left" w:pos="0"/>
              </w:tabs>
              <w:spacing w:line="360" w:lineRule="auto"/>
              <w:ind w:firstLine="480" w:firstLineChars="200"/>
              <w:rPr>
                <w:rFonts w:hint="eastAsia"/>
                <w:color w:val="0000FF"/>
                <w:sz w:val="24"/>
                <w:szCs w:val="20"/>
              </w:rPr>
            </w:pPr>
            <w:r>
              <w:rPr>
                <w:rFonts w:hint="eastAsia"/>
                <w:color w:val="0000FF"/>
                <w:sz w:val="24"/>
                <w:szCs w:val="20"/>
              </w:rPr>
              <w:t>正常工况下，本项目各污染物在厂界外浓度满足《环境影响评价技术导则 大气环境》(HJ/T2.2-2018)附录D 标准要求，项目无需设置大气环境防护距离。</w:t>
            </w:r>
          </w:p>
          <w:p>
            <w:pPr>
              <w:tabs>
                <w:tab w:val="left" w:pos="0"/>
              </w:tabs>
              <w:spacing w:line="360" w:lineRule="auto"/>
              <w:ind w:firstLine="480" w:firstLineChars="200"/>
              <w:rPr>
                <w:rFonts w:hint="eastAsia"/>
                <w:b/>
                <w:color w:val="0000FF"/>
                <w:sz w:val="24"/>
                <w:szCs w:val="20"/>
              </w:rPr>
            </w:pPr>
            <w:r>
              <w:rPr>
                <w:rFonts w:hint="eastAsia"/>
                <w:b/>
                <w:color w:val="0000FF"/>
                <w:sz w:val="24"/>
                <w:szCs w:val="20"/>
              </w:rPr>
              <w:t>（2）卫生防护距离确定</w:t>
            </w:r>
          </w:p>
          <w:p>
            <w:pPr>
              <w:spacing w:line="360" w:lineRule="auto"/>
              <w:ind w:firstLine="480" w:firstLineChars="200"/>
              <w:jc w:val="left"/>
              <w:rPr>
                <w:color w:val="0000FF"/>
                <w:sz w:val="24"/>
              </w:rPr>
            </w:pPr>
            <w:r>
              <w:rPr>
                <w:color w:val="0000FF"/>
                <w:sz w:val="24"/>
              </w:rPr>
              <w:t>卫生防护距离是指在正常生产条件下，无组织排放的有害气体（大气污染物）自生产单元边界到居住区的范围内，能够满足国家居住区容许浓度限值相关标准规定的所需的最小距离。</w:t>
            </w:r>
          </w:p>
          <w:p>
            <w:pPr>
              <w:spacing w:line="360" w:lineRule="auto"/>
              <w:ind w:firstLine="480" w:firstLineChars="200"/>
              <w:rPr>
                <w:color w:val="0000FF"/>
                <w:sz w:val="24"/>
              </w:rPr>
            </w:pPr>
            <w:r>
              <w:rPr>
                <w:color w:val="0000FF"/>
                <w:sz w:val="24"/>
              </w:rPr>
              <w:t>根据国家《制定地方大气污染物排放标准的技术方法》（GB/T13201-91）中“有害气体无组织排放控制与工业企业卫生防护距离标准的制定方法”，凡不通过排气筒或通过15m高度以下排气筒的有害气体排放，均属无组织排放。工业企业应采用合理的生产工艺流程，加强生产管理与设备维护，最大限度地减少有害气体的无组织排放。</w:t>
            </w:r>
          </w:p>
          <w:p>
            <w:pPr>
              <w:spacing w:line="360" w:lineRule="auto"/>
              <w:ind w:firstLine="480" w:firstLineChars="200"/>
              <w:jc w:val="left"/>
              <w:rPr>
                <w:color w:val="0000FF"/>
                <w:sz w:val="24"/>
              </w:rPr>
            </w:pPr>
            <w:r>
              <w:rPr>
                <w:color w:val="0000FF"/>
                <w:sz w:val="24"/>
              </w:rPr>
              <w:t>根据《制定地方大气污染物排放标准的技术方法》（GB/T13201-91）中计算方法，卫生防护距离计算公式如下：</w:t>
            </w:r>
          </w:p>
          <w:p>
            <w:pPr>
              <w:spacing w:line="360" w:lineRule="auto"/>
              <w:ind w:firstLine="480" w:firstLineChars="200"/>
              <w:rPr>
                <w:color w:val="0000FF"/>
                <w:sz w:val="24"/>
              </w:rPr>
            </w:pPr>
            <w:r>
              <w:rPr>
                <w:color w:val="0000FF"/>
                <w:sz w:val="24"/>
              </w:rPr>
              <w:object>
                <v:shape id="_x0000_i1028" o:spt="75" type="#_x0000_t75" style="height:30pt;width:139.5pt;" o:ole="t" filled="f" o:preferrelative="t" stroked="f" coordsize="21600,21600">
                  <v:path/>
                  <v:fill on="f" focussize="0,0"/>
                  <v:stroke on="f" joinstyle="miter"/>
                  <v:imagedata r:id="rId22" o:title=""/>
                  <o:lock v:ext="edit" aspectratio="t"/>
                  <w10:wrap type="none"/>
                  <w10:anchorlock/>
                </v:shape>
                <o:OLEObject Type="Embed" ProgID="Equations" ShapeID="_x0000_i1028" DrawAspect="Content" ObjectID="_1468075728" r:id="rId21">
                  <o:LockedField>false</o:LockedField>
                </o:OLEObject>
              </w:object>
            </w:r>
          </w:p>
          <w:p>
            <w:pPr>
              <w:spacing w:line="360" w:lineRule="auto"/>
              <w:ind w:firstLine="480" w:firstLineChars="200"/>
              <w:jc w:val="left"/>
              <w:rPr>
                <w:color w:val="0000FF"/>
                <w:sz w:val="24"/>
              </w:rPr>
            </w:pPr>
            <w:r>
              <w:rPr>
                <w:color w:val="0000FF"/>
                <w:sz w:val="24"/>
              </w:rPr>
              <w:t>式中：Qc—有害气体无组织排放量可以达到的控制水平（kg/h）；</w:t>
            </w:r>
          </w:p>
          <w:p>
            <w:pPr>
              <w:spacing w:line="360" w:lineRule="auto"/>
              <w:ind w:firstLine="480" w:firstLineChars="200"/>
              <w:jc w:val="left"/>
              <w:rPr>
                <w:color w:val="0000FF"/>
                <w:sz w:val="24"/>
              </w:rPr>
            </w:pPr>
            <w:r>
              <w:rPr>
                <w:color w:val="0000FF"/>
                <w:sz w:val="24"/>
              </w:rPr>
              <w:t>Cm—标准浓度限值（mg/m</w:t>
            </w:r>
            <w:r>
              <w:rPr>
                <w:color w:val="0000FF"/>
                <w:sz w:val="24"/>
                <w:vertAlign w:val="superscript"/>
              </w:rPr>
              <w:t>3</w:t>
            </w:r>
            <w:r>
              <w:rPr>
                <w:color w:val="0000FF"/>
                <w:sz w:val="24"/>
              </w:rPr>
              <w:t>）；</w:t>
            </w:r>
          </w:p>
          <w:p>
            <w:pPr>
              <w:spacing w:line="360" w:lineRule="auto"/>
              <w:ind w:firstLine="480" w:firstLineChars="200"/>
              <w:jc w:val="left"/>
              <w:rPr>
                <w:color w:val="0000FF"/>
                <w:sz w:val="24"/>
              </w:rPr>
            </w:pPr>
            <w:r>
              <w:rPr>
                <w:color w:val="0000FF"/>
                <w:sz w:val="24"/>
              </w:rPr>
              <w:t>L—所需的卫生防护距离（m）；</w:t>
            </w:r>
          </w:p>
          <w:p>
            <w:pPr>
              <w:spacing w:line="360" w:lineRule="auto"/>
              <w:ind w:firstLine="480" w:firstLineChars="200"/>
              <w:jc w:val="left"/>
              <w:rPr>
                <w:color w:val="0000FF"/>
                <w:sz w:val="24"/>
              </w:rPr>
            </w:pPr>
            <w:r>
              <w:rPr>
                <w:color w:val="0000FF"/>
                <w:sz w:val="24"/>
              </w:rPr>
              <w:t>r—有害气体无组织排放源在生产单元的等效半径（m），根据该生产单元占地面积S（m</w:t>
            </w:r>
            <w:r>
              <w:rPr>
                <w:color w:val="0000FF"/>
                <w:sz w:val="24"/>
                <w:vertAlign w:val="superscript"/>
              </w:rPr>
              <w:t>2</w:t>
            </w:r>
            <w:r>
              <w:rPr>
                <w:color w:val="0000FF"/>
                <w:sz w:val="24"/>
              </w:rPr>
              <w:t>）计算r=（S/π）0.5；</w:t>
            </w:r>
          </w:p>
          <w:p>
            <w:pPr>
              <w:spacing w:line="360" w:lineRule="auto"/>
              <w:ind w:firstLine="480" w:firstLineChars="200"/>
              <w:jc w:val="left"/>
              <w:rPr>
                <w:color w:val="0000FF"/>
                <w:sz w:val="24"/>
              </w:rPr>
            </w:pPr>
            <w:r>
              <w:rPr>
                <w:color w:val="0000FF"/>
                <w:sz w:val="24"/>
              </w:rPr>
              <w:t>A，B，C，D—卫生防护距离计算系数。</w:t>
            </w:r>
          </w:p>
          <w:p>
            <w:pPr>
              <w:spacing w:line="360" w:lineRule="auto"/>
              <w:ind w:firstLine="480" w:firstLineChars="200"/>
              <w:rPr>
                <w:color w:val="0000FF"/>
                <w:sz w:val="24"/>
              </w:rPr>
            </w:pPr>
            <w:r>
              <w:rPr>
                <w:color w:val="0000FF"/>
                <w:sz w:val="24"/>
              </w:rPr>
              <w:t>运用上述方法，本项目</w:t>
            </w:r>
            <w:r>
              <w:rPr>
                <w:rFonts w:hint="eastAsia"/>
                <w:color w:val="0000FF"/>
                <w:sz w:val="24"/>
              </w:rPr>
              <w:t>各生产单元</w:t>
            </w:r>
            <w:r>
              <w:rPr>
                <w:color w:val="0000FF"/>
                <w:sz w:val="24"/>
              </w:rPr>
              <w:t>卫生防护距离计算结果见表</w:t>
            </w:r>
            <w:r>
              <w:rPr>
                <w:rFonts w:hint="eastAsia"/>
                <w:color w:val="0000FF"/>
                <w:sz w:val="24"/>
              </w:rPr>
              <w:t>29</w:t>
            </w:r>
            <w:r>
              <w:rPr>
                <w:color w:val="0000FF"/>
                <w:sz w:val="24"/>
              </w:rPr>
              <w:t>所示。</w:t>
            </w:r>
          </w:p>
          <w:p>
            <w:pPr>
              <w:spacing w:line="360" w:lineRule="auto"/>
              <w:ind w:firstLine="480" w:firstLineChars="200"/>
              <w:jc w:val="center"/>
              <w:rPr>
                <w:b/>
                <w:color w:val="0000FF"/>
                <w:sz w:val="24"/>
              </w:rPr>
            </w:pPr>
            <w:r>
              <w:rPr>
                <w:rFonts w:hint="eastAsia"/>
                <w:b/>
                <w:color w:val="0000FF"/>
                <w:sz w:val="24"/>
              </w:rPr>
              <w:t>表29  本项目卫生防护距离模式计算参数及计算结果</w:t>
            </w:r>
          </w:p>
          <w:tbl>
            <w:tblPr>
              <w:tblStyle w:val="24"/>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487"/>
              <w:gridCol w:w="1245"/>
              <w:gridCol w:w="1566"/>
              <w:gridCol w:w="1556"/>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61" w:type="dxa"/>
                  <w:vAlign w:val="center"/>
                </w:tcPr>
                <w:p>
                  <w:pPr>
                    <w:jc w:val="center"/>
                    <w:rPr>
                      <w:snapToGrid w:val="0"/>
                      <w:color w:val="0000FF"/>
                      <w:szCs w:val="21"/>
                    </w:rPr>
                  </w:pPr>
                  <w:r>
                    <w:rPr>
                      <w:rFonts w:hint="eastAsia"/>
                      <w:snapToGrid w:val="0"/>
                      <w:color w:val="0000FF"/>
                      <w:szCs w:val="21"/>
                    </w:rPr>
                    <w:t>污染源</w:t>
                  </w:r>
                </w:p>
              </w:tc>
              <w:tc>
                <w:tcPr>
                  <w:tcW w:w="1487" w:type="dxa"/>
                  <w:vAlign w:val="center"/>
                </w:tcPr>
                <w:p>
                  <w:pPr>
                    <w:jc w:val="center"/>
                    <w:rPr>
                      <w:snapToGrid w:val="0"/>
                      <w:color w:val="0000FF"/>
                      <w:szCs w:val="21"/>
                    </w:rPr>
                  </w:pPr>
                  <w:r>
                    <w:rPr>
                      <w:rFonts w:hint="eastAsia"/>
                      <w:snapToGrid w:val="0"/>
                      <w:color w:val="0000FF"/>
                      <w:szCs w:val="21"/>
                    </w:rPr>
                    <w:t>污染物</w:t>
                  </w:r>
                </w:p>
              </w:tc>
              <w:tc>
                <w:tcPr>
                  <w:tcW w:w="1245" w:type="dxa"/>
                  <w:vAlign w:val="center"/>
                </w:tcPr>
                <w:p>
                  <w:pPr>
                    <w:jc w:val="center"/>
                    <w:rPr>
                      <w:snapToGrid w:val="0"/>
                      <w:color w:val="0000FF"/>
                      <w:szCs w:val="21"/>
                    </w:rPr>
                  </w:pPr>
                  <w:r>
                    <w:rPr>
                      <w:rFonts w:hint="eastAsia"/>
                      <w:snapToGrid w:val="0"/>
                      <w:color w:val="0000FF"/>
                      <w:szCs w:val="21"/>
                    </w:rPr>
                    <w:t>生产单元占地面积（m</w:t>
                  </w:r>
                  <w:r>
                    <w:rPr>
                      <w:rFonts w:hint="eastAsia"/>
                      <w:snapToGrid w:val="0"/>
                      <w:color w:val="0000FF"/>
                      <w:szCs w:val="21"/>
                      <w:vertAlign w:val="superscript"/>
                    </w:rPr>
                    <w:t>2</w:t>
                  </w:r>
                  <w:r>
                    <w:rPr>
                      <w:rFonts w:hint="eastAsia"/>
                      <w:snapToGrid w:val="0"/>
                      <w:color w:val="0000FF"/>
                      <w:szCs w:val="21"/>
                    </w:rPr>
                    <w:t>）</w:t>
                  </w:r>
                </w:p>
              </w:tc>
              <w:tc>
                <w:tcPr>
                  <w:tcW w:w="1566" w:type="dxa"/>
                  <w:vAlign w:val="center"/>
                </w:tcPr>
                <w:p>
                  <w:pPr>
                    <w:jc w:val="center"/>
                    <w:rPr>
                      <w:rFonts w:hint="eastAsia"/>
                      <w:snapToGrid w:val="0"/>
                      <w:color w:val="0000FF"/>
                      <w:szCs w:val="21"/>
                    </w:rPr>
                  </w:pPr>
                  <w:r>
                    <w:rPr>
                      <w:rFonts w:hint="eastAsia"/>
                      <w:snapToGrid w:val="0"/>
                      <w:color w:val="0000FF"/>
                      <w:szCs w:val="21"/>
                    </w:rPr>
                    <w:t>排放速率</w:t>
                  </w:r>
                </w:p>
                <w:p>
                  <w:pPr>
                    <w:jc w:val="center"/>
                    <w:rPr>
                      <w:snapToGrid w:val="0"/>
                      <w:color w:val="0000FF"/>
                      <w:szCs w:val="21"/>
                    </w:rPr>
                  </w:pPr>
                  <w:r>
                    <w:rPr>
                      <w:rFonts w:hint="eastAsia"/>
                      <w:snapToGrid w:val="0"/>
                      <w:color w:val="0000FF"/>
                      <w:szCs w:val="21"/>
                    </w:rPr>
                    <w:t>(kg/h)</w:t>
                  </w:r>
                </w:p>
              </w:tc>
              <w:tc>
                <w:tcPr>
                  <w:tcW w:w="1556" w:type="dxa"/>
                  <w:vAlign w:val="center"/>
                </w:tcPr>
                <w:p>
                  <w:pPr>
                    <w:jc w:val="center"/>
                    <w:rPr>
                      <w:rFonts w:hint="eastAsia"/>
                      <w:snapToGrid w:val="0"/>
                      <w:color w:val="0000FF"/>
                      <w:szCs w:val="21"/>
                    </w:rPr>
                  </w:pPr>
                  <w:r>
                    <w:rPr>
                      <w:rFonts w:hint="eastAsia"/>
                      <w:snapToGrid w:val="0"/>
                      <w:color w:val="0000FF"/>
                      <w:szCs w:val="21"/>
                    </w:rPr>
                    <w:t>卫生防护距离</w:t>
                  </w:r>
                </w:p>
                <w:p>
                  <w:pPr>
                    <w:jc w:val="center"/>
                    <w:rPr>
                      <w:snapToGrid w:val="0"/>
                      <w:color w:val="0000FF"/>
                      <w:szCs w:val="21"/>
                    </w:rPr>
                  </w:pPr>
                  <w:r>
                    <w:rPr>
                      <w:rFonts w:hint="eastAsia"/>
                      <w:snapToGrid w:val="0"/>
                      <w:color w:val="0000FF"/>
                      <w:szCs w:val="21"/>
                    </w:rPr>
                    <w:t>计算值(m)</w:t>
                  </w:r>
                </w:p>
              </w:tc>
              <w:tc>
                <w:tcPr>
                  <w:tcW w:w="1432" w:type="dxa"/>
                  <w:vAlign w:val="center"/>
                </w:tcPr>
                <w:p>
                  <w:pPr>
                    <w:widowControl/>
                    <w:jc w:val="center"/>
                    <w:rPr>
                      <w:snapToGrid w:val="0"/>
                      <w:color w:val="0000FF"/>
                      <w:szCs w:val="21"/>
                    </w:rPr>
                  </w:pPr>
                  <w:r>
                    <w:rPr>
                      <w:rFonts w:hint="eastAsia"/>
                      <w:snapToGrid w:val="0"/>
                      <w:color w:val="0000FF"/>
                      <w:szCs w:val="21"/>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1" w:type="dxa"/>
                  <w:vAlign w:val="center"/>
                </w:tcPr>
                <w:p>
                  <w:pPr>
                    <w:jc w:val="center"/>
                    <w:rPr>
                      <w:snapToGrid w:val="0"/>
                      <w:color w:val="0000FF"/>
                      <w:szCs w:val="21"/>
                    </w:rPr>
                  </w:pPr>
                  <w:r>
                    <w:rPr>
                      <w:rFonts w:hint="eastAsia"/>
                      <w:snapToGrid w:val="0"/>
                      <w:color w:val="0000FF"/>
                      <w:szCs w:val="21"/>
                    </w:rPr>
                    <w:t>储煤库</w:t>
                  </w:r>
                </w:p>
              </w:tc>
              <w:tc>
                <w:tcPr>
                  <w:tcW w:w="1487" w:type="dxa"/>
                  <w:vAlign w:val="center"/>
                </w:tcPr>
                <w:p>
                  <w:pPr>
                    <w:tabs>
                      <w:tab w:val="left" w:pos="0"/>
                    </w:tabs>
                    <w:jc w:val="center"/>
                    <w:rPr>
                      <w:rFonts w:hint="eastAsia"/>
                      <w:color w:val="0000FF"/>
                      <w:szCs w:val="21"/>
                    </w:rPr>
                  </w:pPr>
                  <w:r>
                    <w:rPr>
                      <w:rFonts w:hint="eastAsia"/>
                      <w:color w:val="0000FF"/>
                      <w:szCs w:val="21"/>
                    </w:rPr>
                    <w:t>颗粒物</w:t>
                  </w:r>
                </w:p>
              </w:tc>
              <w:tc>
                <w:tcPr>
                  <w:tcW w:w="1245" w:type="dxa"/>
                  <w:vAlign w:val="center"/>
                </w:tcPr>
                <w:p>
                  <w:pPr>
                    <w:jc w:val="center"/>
                    <w:rPr>
                      <w:snapToGrid w:val="0"/>
                      <w:color w:val="0000FF"/>
                      <w:szCs w:val="21"/>
                    </w:rPr>
                  </w:pPr>
                  <w:r>
                    <w:rPr>
                      <w:rFonts w:hint="eastAsia"/>
                      <w:snapToGrid w:val="0"/>
                      <w:color w:val="0000FF"/>
                      <w:szCs w:val="21"/>
                    </w:rPr>
                    <w:t>8000</w:t>
                  </w:r>
                </w:p>
              </w:tc>
              <w:tc>
                <w:tcPr>
                  <w:tcW w:w="1566" w:type="dxa"/>
                  <w:vAlign w:val="center"/>
                </w:tcPr>
                <w:p>
                  <w:pPr>
                    <w:jc w:val="center"/>
                    <w:rPr>
                      <w:snapToGrid w:val="0"/>
                      <w:color w:val="0000FF"/>
                      <w:szCs w:val="21"/>
                    </w:rPr>
                  </w:pPr>
                  <w:r>
                    <w:rPr>
                      <w:rFonts w:hint="eastAsia"/>
                      <w:snapToGrid w:val="0"/>
                      <w:color w:val="0000FF"/>
                      <w:szCs w:val="21"/>
                    </w:rPr>
                    <w:t>0.18</w:t>
                  </w:r>
                </w:p>
              </w:tc>
              <w:tc>
                <w:tcPr>
                  <w:tcW w:w="1556" w:type="dxa"/>
                  <w:vAlign w:val="center"/>
                </w:tcPr>
                <w:p>
                  <w:pPr>
                    <w:jc w:val="center"/>
                    <w:rPr>
                      <w:color w:val="0000FF"/>
                      <w:szCs w:val="21"/>
                    </w:rPr>
                  </w:pPr>
                  <w:r>
                    <w:rPr>
                      <w:rFonts w:hint="eastAsia"/>
                      <w:color w:val="0000FF"/>
                      <w:szCs w:val="21"/>
                    </w:rPr>
                    <w:t>7.684</w:t>
                  </w:r>
                </w:p>
              </w:tc>
              <w:tc>
                <w:tcPr>
                  <w:tcW w:w="1432" w:type="dxa"/>
                  <w:vAlign w:val="center"/>
                </w:tcPr>
                <w:p>
                  <w:pPr>
                    <w:widowControl/>
                    <w:jc w:val="center"/>
                    <w:rPr>
                      <w:rFonts w:hint="eastAsia"/>
                      <w:snapToGrid w:val="0"/>
                      <w:color w:val="0000FF"/>
                      <w:szCs w:val="21"/>
                    </w:rPr>
                  </w:pPr>
                  <w:r>
                    <w:rPr>
                      <w:rFonts w:hint="eastAsia"/>
                      <w:snapToGrid w:val="0"/>
                      <w:color w:val="0000FF"/>
                      <w:szCs w:val="21"/>
                    </w:rPr>
                    <w:t>50</w:t>
                  </w:r>
                </w:p>
              </w:tc>
            </w:tr>
          </w:tbl>
          <w:p>
            <w:pPr>
              <w:tabs>
                <w:tab w:val="left" w:pos="0"/>
              </w:tabs>
              <w:spacing w:line="360" w:lineRule="auto"/>
              <w:ind w:firstLine="480" w:firstLineChars="200"/>
              <w:rPr>
                <w:rFonts w:hint="eastAsia"/>
                <w:color w:val="0000FF"/>
                <w:sz w:val="24"/>
                <w:szCs w:val="20"/>
              </w:rPr>
            </w:pPr>
            <w:r>
              <w:rPr>
                <w:rFonts w:hint="eastAsia"/>
                <w:color w:val="0000FF"/>
                <w:sz w:val="24"/>
                <w:szCs w:val="20"/>
              </w:rPr>
              <w:t>根据《制定地方大气污染物排放标准的技术方法》中规定：卫生防护距离在100m以内时，级差为50m；当按两种或两种以上有害气体的Qc/Cm 计算卫生防护距离在同一级别时，该类工业企业的卫生防护距离提高一级。</w:t>
            </w:r>
          </w:p>
          <w:p>
            <w:pPr>
              <w:tabs>
                <w:tab w:val="left" w:pos="0"/>
              </w:tabs>
              <w:spacing w:line="360" w:lineRule="auto"/>
              <w:ind w:firstLine="480" w:firstLineChars="200"/>
              <w:rPr>
                <w:rFonts w:hint="eastAsia"/>
                <w:color w:val="0000FF"/>
                <w:sz w:val="24"/>
                <w:szCs w:val="20"/>
              </w:rPr>
            </w:pPr>
            <w:r>
              <w:rPr>
                <w:rFonts w:hint="eastAsia"/>
                <w:color w:val="0000FF"/>
                <w:sz w:val="24"/>
                <w:szCs w:val="20"/>
              </w:rPr>
              <w:t>本项目的卫生防护距离计算结果为生产厂区外100m、在卫生防护距离内不宜建设学校、医院、居民住宅、办公楼等敏感建筑。</w:t>
            </w:r>
          </w:p>
          <w:p>
            <w:pPr>
              <w:pStyle w:val="104"/>
              <w:spacing w:line="240" w:lineRule="auto"/>
              <w:ind w:firstLine="0" w:firstLineChars="0"/>
              <w:jc w:val="center"/>
              <w:rPr>
                <w:rFonts w:hint="eastAsia" w:eastAsia="宋体"/>
                <w:color w:val="0000FF"/>
                <w:sz w:val="24"/>
              </w:rPr>
            </w:pPr>
            <w:r>
              <w:rPr>
                <w:sz w:val="21"/>
                <w:lang w:val="en-US" w:eastAsia="zh-CN"/>
              </w:rPr>
              <w:pict>
                <v:shape id="_x0000_s1110" o:spid="_x0000_s1110" o:spt="62" type="#_x0000_t62" style="position:absolute;left:0pt;margin-left:291.7pt;margin-top:210.5pt;height:139.55pt;width:70.25pt;z-index:251667456;mso-width-relative:margin;mso-height-relative:margin;mso-height-percent:200;" filled="f" coordsize="21600,21600" adj="-12207,-2265">
                  <v:path/>
                  <v:fill on="f" focussize="0,0"/>
                  <v:stroke joinstyle="miter"/>
                  <v:imagedata o:title=""/>
                  <o:lock v:ext="edit"/>
                  <v:textbox style="mso-fit-shape-to-text:t;">
                    <w:txbxContent>
                      <w:p>
                        <w:pPr>
                          <w:rPr>
                            <w:b/>
                          </w:rPr>
                        </w:pPr>
                        <w:r>
                          <w:rPr>
                            <w:rFonts w:hint="eastAsia"/>
                            <w:b/>
                          </w:rPr>
                          <w:t>项目厂区</w:t>
                        </w:r>
                      </w:p>
                    </w:txbxContent>
                  </v:textbox>
                </v:shape>
              </w:pict>
            </w:r>
            <w:r>
              <w:rPr>
                <w:sz w:val="21"/>
                <w:lang w:val="en-US" w:eastAsia="zh-CN"/>
              </w:rPr>
              <w:pict>
                <v:shape id="_x0000_s1113" o:spid="_x0000_s1113" o:spt="202" type="#_x0000_t202" style="position:absolute;left:0pt;margin-left:190pt;margin-top:176.8pt;height:139.55pt;width:41.55pt;z-index:251670528;mso-width-relative:margin;mso-height-relative:margin;mso-height-percent:200;" filled="f" stroked="f" coordsize="21600,21600">
                  <v:path/>
                  <v:fill on="f" focussize="0,0"/>
                  <v:stroke on="f" color="#0000FF" joinstyle="miter"/>
                  <v:imagedata o:title=""/>
                  <o:lock v:ext="edit"/>
                  <v:textbox style="mso-fit-shape-to-text:t;">
                    <w:txbxContent>
                      <w:p>
                        <w:pPr>
                          <w:rPr>
                            <w:b/>
                            <w:color w:val="FF0000"/>
                          </w:rPr>
                        </w:pPr>
                        <w:r>
                          <w:rPr>
                            <w:rFonts w:hint="eastAsia"/>
                            <w:b/>
                            <w:color w:val="FF0000"/>
                          </w:rPr>
                          <w:t>50m</w:t>
                        </w:r>
                      </w:p>
                    </w:txbxContent>
                  </v:textbox>
                </v:shape>
              </w:pict>
            </w:r>
            <w:r>
              <w:rPr>
                <w:sz w:val="21"/>
                <w:lang w:val="en-US" w:eastAsia="zh-CN"/>
              </w:rPr>
              <w:pict>
                <v:shape id="_x0000_s1112" o:spid="_x0000_s1112" o:spt="32" type="#_x0000_t32" style="position:absolute;left:0pt;flip:x y;margin-left:190pt;margin-top:188.4pt;height:11.2pt;width:18.7pt;z-index:251669504;mso-width-relative:margin;mso-height-relative:margin;" o:connectortype="straight" filled="f" coordsize="21600,21600">
                  <v:path arrowok="t"/>
                  <v:fill on="f" focussize="0,0"/>
                  <v:stroke startarrow="block" endarrow="block"/>
                  <v:imagedata o:title=""/>
                  <o:lock v:ext="edit"/>
                </v:shape>
              </w:pict>
            </w:r>
            <w:r>
              <w:rPr>
                <w:b/>
                <w:spacing w:val="0"/>
                <w:sz w:val="24"/>
                <w:szCs w:val="28"/>
                <w:lang w:val="en-US" w:eastAsia="zh-CN"/>
              </w:rPr>
              <w:pict>
                <v:shape id="_x0000_s1111" o:spid="_x0000_s1111" o:spt="62" type="#_x0000_t62" style="position:absolute;left:0pt;margin-left:74.85pt;margin-top:121pt;height:22.5pt;width:89.25pt;z-index:251668480;mso-width-relative:margin;mso-height-relative:margin;" filled="f" coordsize="21600,21600" adj="30688,37968">
                  <v:path/>
                  <v:fill on="f" focussize="0,0"/>
                  <v:stroke joinstyle="miter"/>
                  <v:imagedata o:title=""/>
                  <o:lock v:ext="edit"/>
                  <v:textbox>
                    <w:txbxContent>
                      <w:p>
                        <w:pPr>
                          <w:rPr>
                            <w:b/>
                          </w:rPr>
                        </w:pPr>
                        <w:r>
                          <w:rPr>
                            <w:rFonts w:hint="eastAsia"/>
                            <w:b/>
                          </w:rPr>
                          <w:t>卫生防护距离</w:t>
                        </w:r>
                      </w:p>
                    </w:txbxContent>
                  </v:textbox>
                </v:shape>
              </w:pict>
            </w:r>
            <w:r>
              <w:rPr>
                <w:sz w:val="21"/>
              </w:rPr>
              <w:drawing>
                <wp:anchor distT="0" distB="0" distL="114300" distR="114300" simplePos="0" relativeHeight="251660288" behindDoc="0" locked="0" layoutInCell="1" allowOverlap="1">
                  <wp:simplePos x="0" y="0"/>
                  <wp:positionH relativeFrom="column">
                    <wp:posOffset>4485005</wp:posOffset>
                  </wp:positionH>
                  <wp:positionV relativeFrom="paragraph">
                    <wp:posOffset>112395</wp:posOffset>
                  </wp:positionV>
                  <wp:extent cx="710565" cy="700405"/>
                  <wp:effectExtent l="19050" t="0" r="0" b="0"/>
                  <wp:wrapNone/>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23" cstate="print"/>
                          <a:srcRect/>
                          <a:stretch>
                            <a:fillRect/>
                          </a:stretch>
                        </pic:blipFill>
                        <pic:spPr>
                          <a:xfrm>
                            <a:off x="0" y="0"/>
                            <a:ext cx="710565" cy="700405"/>
                          </a:xfrm>
                          <a:prstGeom prst="rect">
                            <a:avLst/>
                          </a:prstGeom>
                          <a:noFill/>
                          <a:ln w="9525" cmpd="sng">
                            <a:noFill/>
                            <a:miter lim="800000"/>
                            <a:headEnd/>
                            <a:tailEnd/>
                          </a:ln>
                        </pic:spPr>
                      </pic:pic>
                    </a:graphicData>
                  </a:graphic>
                </wp:anchor>
              </w:drawing>
            </w:r>
            <w:r>
              <w:drawing>
                <wp:inline distT="0" distB="0" distL="0" distR="0">
                  <wp:extent cx="5145405" cy="437388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4" cstate="print"/>
                          <a:srcRect/>
                          <a:stretch>
                            <a:fillRect/>
                          </a:stretch>
                        </pic:blipFill>
                        <pic:spPr>
                          <a:xfrm>
                            <a:off x="0" y="0"/>
                            <a:ext cx="5145405" cy="4373880"/>
                          </a:xfrm>
                          <a:prstGeom prst="rect">
                            <a:avLst/>
                          </a:prstGeom>
                          <a:noFill/>
                          <a:ln w="9525" cmpd="sng">
                            <a:noFill/>
                            <a:miter lim="800000"/>
                            <a:headEnd/>
                            <a:tailEnd/>
                          </a:ln>
                        </pic:spPr>
                      </pic:pic>
                    </a:graphicData>
                  </a:graphic>
                </wp:inline>
              </w:drawing>
            </w:r>
          </w:p>
          <w:p>
            <w:pPr>
              <w:pStyle w:val="94"/>
              <w:spacing w:line="360" w:lineRule="auto"/>
              <w:ind w:firstLine="0" w:firstLineChars="0"/>
              <w:jc w:val="center"/>
              <w:rPr>
                <w:rFonts w:hint="eastAsia"/>
                <w:b/>
                <w:color w:val="0000FF"/>
                <w:spacing w:val="0"/>
                <w:sz w:val="24"/>
                <w:szCs w:val="28"/>
              </w:rPr>
            </w:pPr>
            <w:r>
              <w:rPr>
                <w:rFonts w:hint="eastAsia"/>
                <w:b/>
                <w:color w:val="0000FF"/>
                <w:spacing w:val="0"/>
                <w:sz w:val="24"/>
                <w:szCs w:val="28"/>
              </w:rPr>
              <w:t>图11  项目卫生防护距离示意图</w:t>
            </w:r>
          </w:p>
          <w:p>
            <w:pPr>
              <w:pStyle w:val="94"/>
              <w:spacing w:beforeLines="50" w:line="360" w:lineRule="auto"/>
              <w:ind w:firstLine="0" w:firstLineChars="0"/>
              <w:rPr>
                <w:rFonts w:hint="eastAsia"/>
                <w:b/>
                <w:color w:val="0000FF"/>
                <w:spacing w:val="0"/>
                <w:sz w:val="24"/>
                <w:szCs w:val="28"/>
              </w:rPr>
            </w:pPr>
            <w:r>
              <w:rPr>
                <w:rFonts w:hint="eastAsia"/>
                <w:b/>
                <w:color w:val="0000FF"/>
                <w:spacing w:val="0"/>
                <w:sz w:val="24"/>
                <w:szCs w:val="28"/>
              </w:rPr>
              <w:t>2、废水环境影响分析</w:t>
            </w:r>
          </w:p>
          <w:p>
            <w:pPr>
              <w:pStyle w:val="14"/>
              <w:spacing w:after="0" w:line="360" w:lineRule="auto"/>
              <w:ind w:firstLine="480" w:firstLineChars="200"/>
              <w:rPr>
                <w:rFonts w:hint="eastAsia"/>
                <w:b/>
                <w:color w:val="0000FF"/>
                <w:kern w:val="2"/>
                <w:sz w:val="24"/>
                <w:szCs w:val="22"/>
              </w:rPr>
            </w:pPr>
            <w:r>
              <w:rPr>
                <w:rFonts w:hint="eastAsia"/>
                <w:b/>
                <w:color w:val="0000FF"/>
                <w:kern w:val="2"/>
                <w:sz w:val="24"/>
                <w:szCs w:val="22"/>
              </w:rPr>
              <w:t>2.1地表水环境影响分析</w:t>
            </w:r>
          </w:p>
          <w:p>
            <w:pPr>
              <w:pStyle w:val="104"/>
              <w:spacing w:line="360" w:lineRule="auto"/>
              <w:ind w:firstLine="480"/>
              <w:rPr>
                <w:rFonts w:hint="eastAsia" w:eastAsia="宋体"/>
                <w:color w:val="0000FF"/>
                <w:spacing w:val="0"/>
                <w:sz w:val="24"/>
                <w:szCs w:val="28"/>
              </w:rPr>
            </w:pPr>
            <w:r>
              <w:rPr>
                <w:rFonts w:eastAsia="宋体"/>
                <w:color w:val="0000FF"/>
                <w:spacing w:val="0"/>
                <w:sz w:val="24"/>
                <w:szCs w:val="28"/>
              </w:rPr>
              <w:t>由前文分析可知，</w:t>
            </w:r>
            <w:r>
              <w:rPr>
                <w:rFonts w:hint="eastAsia" w:eastAsia="宋体"/>
                <w:color w:val="0000FF"/>
                <w:spacing w:val="0"/>
                <w:sz w:val="24"/>
                <w:szCs w:val="28"/>
              </w:rPr>
              <w:t>项目运营后产生的废水主要有生活废水和洗车废水。</w:t>
            </w:r>
          </w:p>
          <w:p>
            <w:pPr>
              <w:pStyle w:val="14"/>
              <w:spacing w:after="0" w:line="360" w:lineRule="auto"/>
              <w:ind w:firstLine="480" w:firstLineChars="200"/>
              <w:rPr>
                <w:rFonts w:hint="eastAsia"/>
                <w:color w:val="0000FF"/>
                <w:kern w:val="2"/>
                <w:sz w:val="24"/>
                <w:szCs w:val="22"/>
              </w:rPr>
            </w:pPr>
            <w:r>
              <w:rPr>
                <w:rFonts w:hint="eastAsia"/>
                <w:color w:val="0000FF"/>
                <w:kern w:val="2"/>
                <w:sz w:val="24"/>
                <w:szCs w:val="22"/>
              </w:rPr>
              <w:t>项目洗车废水产生量为1296</w:t>
            </w:r>
            <w:r>
              <w:rPr>
                <w:rFonts w:hint="eastAsia"/>
                <w:color w:val="0000FF"/>
                <w:sz w:val="24"/>
                <w:szCs w:val="28"/>
              </w:rPr>
              <w:t>m</w:t>
            </w:r>
            <w:r>
              <w:rPr>
                <w:rFonts w:hint="eastAsia"/>
                <w:color w:val="0000FF"/>
                <w:sz w:val="24"/>
                <w:szCs w:val="28"/>
                <w:vertAlign w:val="superscript"/>
              </w:rPr>
              <w:t>3</w:t>
            </w:r>
            <w:r>
              <w:rPr>
                <w:rFonts w:hint="eastAsia"/>
                <w:color w:val="0000FF"/>
                <w:sz w:val="24"/>
                <w:szCs w:val="28"/>
              </w:rPr>
              <w:t>/a，洗车废水中污染物主要为SS，SS浓度约为200mg/L，经厂区1座10m</w:t>
            </w:r>
            <w:r>
              <w:rPr>
                <w:rFonts w:hint="eastAsia"/>
                <w:color w:val="0000FF"/>
                <w:sz w:val="24"/>
                <w:szCs w:val="28"/>
                <w:vertAlign w:val="superscript"/>
              </w:rPr>
              <w:t>3</w:t>
            </w:r>
            <w:r>
              <w:rPr>
                <w:rFonts w:hint="eastAsia"/>
                <w:color w:val="0000FF"/>
                <w:sz w:val="24"/>
                <w:szCs w:val="28"/>
              </w:rPr>
              <w:t>的防渗沉淀池处理后，SS浓度减小，可回用于煤炭堆放场区和厂区道路泼洒抑尘。</w:t>
            </w:r>
          </w:p>
          <w:p>
            <w:pPr>
              <w:pStyle w:val="14"/>
              <w:spacing w:after="0" w:line="360" w:lineRule="auto"/>
              <w:ind w:firstLine="480" w:firstLineChars="200"/>
              <w:rPr>
                <w:rFonts w:hint="eastAsia"/>
                <w:color w:val="0000FF"/>
                <w:kern w:val="2"/>
                <w:sz w:val="24"/>
                <w:szCs w:val="22"/>
              </w:rPr>
            </w:pPr>
            <w:r>
              <w:rPr>
                <w:rFonts w:hint="eastAsia"/>
                <w:color w:val="0000FF"/>
                <w:kern w:val="2"/>
                <w:sz w:val="24"/>
                <w:szCs w:val="22"/>
              </w:rPr>
              <w:t>项目生活废水产生量为0.4</w:t>
            </w:r>
            <w:r>
              <w:rPr>
                <w:color w:val="0000FF"/>
                <w:kern w:val="2"/>
                <w:sz w:val="24"/>
                <w:szCs w:val="22"/>
              </w:rPr>
              <w:t>m</w:t>
            </w:r>
            <w:r>
              <w:rPr>
                <w:color w:val="0000FF"/>
                <w:kern w:val="2"/>
                <w:sz w:val="24"/>
                <w:szCs w:val="22"/>
                <w:vertAlign w:val="superscript"/>
              </w:rPr>
              <w:t>3</w:t>
            </w:r>
            <w:r>
              <w:rPr>
                <w:color w:val="0000FF"/>
                <w:kern w:val="2"/>
                <w:sz w:val="24"/>
                <w:szCs w:val="22"/>
              </w:rPr>
              <w:t>/d（</w:t>
            </w:r>
            <w:r>
              <w:rPr>
                <w:rFonts w:hint="eastAsia"/>
                <w:color w:val="0000FF"/>
                <w:kern w:val="2"/>
                <w:sz w:val="24"/>
                <w:szCs w:val="22"/>
              </w:rPr>
              <w:t>120</w:t>
            </w:r>
            <w:r>
              <w:rPr>
                <w:color w:val="0000FF"/>
                <w:kern w:val="2"/>
                <w:sz w:val="24"/>
                <w:szCs w:val="22"/>
              </w:rPr>
              <w:t>m</w:t>
            </w:r>
            <w:r>
              <w:rPr>
                <w:color w:val="0000FF"/>
                <w:kern w:val="2"/>
                <w:sz w:val="24"/>
                <w:szCs w:val="22"/>
                <w:vertAlign w:val="superscript"/>
              </w:rPr>
              <w:t>3</w:t>
            </w:r>
            <w:r>
              <w:rPr>
                <w:color w:val="0000FF"/>
                <w:kern w:val="2"/>
                <w:sz w:val="24"/>
                <w:szCs w:val="22"/>
              </w:rPr>
              <w:t>/a），</w:t>
            </w:r>
            <w:r>
              <w:rPr>
                <w:rFonts w:hint="eastAsia"/>
                <w:color w:val="0000FF"/>
                <w:kern w:val="2"/>
                <w:sz w:val="24"/>
                <w:szCs w:val="22"/>
              </w:rPr>
              <w:t>生活废水依托庆阳亿信肥业有限公司化粪池进行处理后由庆阳亿信肥业有限公司统一采用吸污车拉至宁县污水处理厂进行处理。</w:t>
            </w:r>
          </w:p>
          <w:p>
            <w:pPr>
              <w:pStyle w:val="14"/>
              <w:spacing w:after="0" w:line="360" w:lineRule="auto"/>
              <w:ind w:firstLine="480" w:firstLineChars="200"/>
              <w:rPr>
                <w:rFonts w:hint="eastAsia"/>
                <w:color w:val="0000FF"/>
                <w:kern w:val="2"/>
                <w:sz w:val="24"/>
                <w:szCs w:val="22"/>
              </w:rPr>
            </w:pPr>
            <w:r>
              <w:rPr>
                <w:color w:val="0000FF"/>
                <w:kern w:val="2"/>
                <w:sz w:val="24"/>
                <w:szCs w:val="22"/>
              </w:rPr>
              <w:t>综上所述，项目运营期产生的废水能够有效合理的处置，对地表水环境不会产生显著的影响。</w:t>
            </w:r>
          </w:p>
          <w:p>
            <w:pPr>
              <w:pStyle w:val="14"/>
              <w:spacing w:after="0" w:line="360" w:lineRule="auto"/>
              <w:ind w:firstLine="480" w:firstLineChars="200"/>
              <w:rPr>
                <w:rFonts w:hint="eastAsia"/>
                <w:b/>
                <w:color w:val="0000FF"/>
                <w:kern w:val="2"/>
                <w:sz w:val="24"/>
                <w:szCs w:val="22"/>
              </w:rPr>
            </w:pPr>
            <w:r>
              <w:rPr>
                <w:rFonts w:hint="eastAsia"/>
                <w:b/>
                <w:color w:val="0000FF"/>
                <w:kern w:val="2"/>
                <w:sz w:val="24"/>
                <w:szCs w:val="22"/>
              </w:rPr>
              <w:t>2.2地下水环境影响分析</w:t>
            </w:r>
          </w:p>
          <w:p>
            <w:pPr>
              <w:autoSpaceDE w:val="0"/>
              <w:autoSpaceDN w:val="0"/>
              <w:spacing w:line="360" w:lineRule="auto"/>
              <w:ind w:firstLine="480" w:firstLineChars="200"/>
              <w:textAlignment w:val="baseline"/>
              <w:rPr>
                <w:color w:val="0000FF"/>
                <w:sz w:val="24"/>
              </w:rPr>
            </w:pPr>
            <w:r>
              <w:rPr>
                <w:color w:val="0000FF"/>
                <w:sz w:val="24"/>
              </w:rPr>
              <w:t>（1）地下水影响识别</w:t>
            </w:r>
          </w:p>
          <w:p>
            <w:pPr>
              <w:autoSpaceDE w:val="0"/>
              <w:autoSpaceDN w:val="0"/>
              <w:spacing w:line="360" w:lineRule="auto"/>
              <w:ind w:firstLine="480" w:firstLineChars="200"/>
              <w:textAlignment w:val="baseline"/>
              <w:rPr>
                <w:color w:val="0000FF"/>
                <w:sz w:val="24"/>
              </w:rPr>
            </w:pPr>
            <w:r>
              <w:rPr>
                <w:rFonts w:hint="eastAsia" w:ascii="宋体" w:hAnsi="宋体" w:cs="宋体"/>
                <w:color w:val="0000FF"/>
                <w:sz w:val="24"/>
              </w:rPr>
              <w:t>①</w:t>
            </w:r>
            <w:r>
              <w:rPr>
                <w:color w:val="0000FF"/>
                <w:sz w:val="24"/>
              </w:rPr>
              <w:t>项目类型识别</w:t>
            </w:r>
          </w:p>
          <w:p>
            <w:pPr>
              <w:autoSpaceDE w:val="0"/>
              <w:autoSpaceDN w:val="0"/>
              <w:spacing w:line="360" w:lineRule="auto"/>
              <w:ind w:firstLine="480" w:firstLineChars="200"/>
              <w:textAlignment w:val="baseline"/>
              <w:rPr>
                <w:color w:val="0000FF"/>
                <w:sz w:val="24"/>
              </w:rPr>
            </w:pPr>
            <w:r>
              <w:rPr>
                <w:color w:val="0000FF"/>
                <w:sz w:val="24"/>
              </w:rPr>
              <w:t>根据《环境影响评价技术导则地下水环境》（HJ610-2016），将建设项目分为四类，其中</w:t>
            </w:r>
            <w:r>
              <w:rPr>
                <w:color w:val="0000FF"/>
                <w:sz w:val="24"/>
              </w:rPr>
              <w:fldChar w:fldCharType="begin"/>
            </w:r>
            <w:r>
              <w:rPr>
                <w:color w:val="0000FF"/>
                <w:sz w:val="24"/>
              </w:rPr>
              <w:instrText xml:space="preserve"> = 1 \* ROMAN </w:instrText>
            </w:r>
            <w:r>
              <w:rPr>
                <w:color w:val="0000FF"/>
                <w:sz w:val="24"/>
              </w:rPr>
              <w:fldChar w:fldCharType="separate"/>
            </w:r>
            <w:r>
              <w:rPr>
                <w:color w:val="0000FF"/>
                <w:sz w:val="24"/>
              </w:rPr>
              <w:t>I</w:t>
            </w:r>
            <w:r>
              <w:rPr>
                <w:color w:val="0000FF"/>
                <w:sz w:val="24"/>
              </w:rPr>
              <w:fldChar w:fldCharType="end"/>
            </w:r>
            <w:r>
              <w:rPr>
                <w:color w:val="0000FF"/>
                <w:sz w:val="24"/>
              </w:rPr>
              <w:t>类、</w:t>
            </w:r>
            <w:r>
              <w:rPr>
                <w:color w:val="0000FF"/>
                <w:sz w:val="24"/>
              </w:rPr>
              <w:fldChar w:fldCharType="begin"/>
            </w:r>
            <w:r>
              <w:rPr>
                <w:color w:val="0000FF"/>
                <w:sz w:val="24"/>
              </w:rPr>
              <w:instrText xml:space="preserve"> = 2 \* ROMAN </w:instrText>
            </w:r>
            <w:r>
              <w:rPr>
                <w:color w:val="0000FF"/>
                <w:sz w:val="24"/>
              </w:rPr>
              <w:fldChar w:fldCharType="separate"/>
            </w:r>
            <w:r>
              <w:rPr>
                <w:color w:val="0000FF"/>
                <w:sz w:val="24"/>
              </w:rPr>
              <w:t>II</w:t>
            </w:r>
            <w:r>
              <w:rPr>
                <w:color w:val="0000FF"/>
                <w:sz w:val="24"/>
              </w:rPr>
              <w:fldChar w:fldCharType="end"/>
            </w:r>
            <w:r>
              <w:rPr>
                <w:color w:val="0000FF"/>
                <w:sz w:val="24"/>
              </w:rPr>
              <w:t>类及</w:t>
            </w:r>
            <w:r>
              <w:rPr>
                <w:color w:val="0000FF"/>
                <w:sz w:val="24"/>
              </w:rPr>
              <w:fldChar w:fldCharType="begin"/>
            </w:r>
            <w:r>
              <w:rPr>
                <w:color w:val="0000FF"/>
                <w:sz w:val="24"/>
              </w:rPr>
              <w:instrText xml:space="preserve"> = 3 \* ROMAN </w:instrText>
            </w:r>
            <w:r>
              <w:rPr>
                <w:color w:val="0000FF"/>
                <w:sz w:val="24"/>
              </w:rPr>
              <w:fldChar w:fldCharType="separate"/>
            </w:r>
            <w:r>
              <w:rPr>
                <w:color w:val="0000FF"/>
                <w:sz w:val="24"/>
              </w:rPr>
              <w:t>III</w:t>
            </w:r>
            <w:r>
              <w:rPr>
                <w:color w:val="0000FF"/>
                <w:sz w:val="24"/>
              </w:rPr>
              <w:fldChar w:fldCharType="end"/>
            </w:r>
            <w:r>
              <w:rPr>
                <w:color w:val="0000FF"/>
                <w:sz w:val="24"/>
              </w:rPr>
              <w:t>类建设项目的地下水环境影响评价应执行本标准，</w:t>
            </w:r>
            <w:r>
              <w:rPr>
                <w:color w:val="0000FF"/>
                <w:sz w:val="24"/>
              </w:rPr>
              <w:fldChar w:fldCharType="begin"/>
            </w:r>
            <w:r>
              <w:rPr>
                <w:color w:val="0000FF"/>
                <w:sz w:val="24"/>
              </w:rPr>
              <w:instrText xml:space="preserve"> = 4 \* ROMAN </w:instrText>
            </w:r>
            <w:r>
              <w:rPr>
                <w:color w:val="0000FF"/>
                <w:sz w:val="24"/>
              </w:rPr>
              <w:fldChar w:fldCharType="separate"/>
            </w:r>
            <w:r>
              <w:rPr>
                <w:color w:val="0000FF"/>
                <w:sz w:val="24"/>
              </w:rPr>
              <w:t>IV</w:t>
            </w:r>
            <w:r>
              <w:rPr>
                <w:color w:val="0000FF"/>
                <w:sz w:val="24"/>
              </w:rPr>
              <w:fldChar w:fldCharType="end"/>
            </w:r>
            <w:r>
              <w:rPr>
                <w:color w:val="0000FF"/>
                <w:sz w:val="24"/>
              </w:rPr>
              <w:t>类建设项目不开展地下水环境影响评价，分类详见HJ610-2016附录A（以下简称附录A）。</w:t>
            </w:r>
          </w:p>
          <w:p>
            <w:pPr>
              <w:autoSpaceDE w:val="0"/>
              <w:autoSpaceDN w:val="0"/>
              <w:spacing w:line="360" w:lineRule="auto"/>
              <w:ind w:firstLine="480" w:firstLineChars="200"/>
              <w:textAlignment w:val="baseline"/>
              <w:rPr>
                <w:color w:val="0000FF"/>
                <w:sz w:val="24"/>
              </w:rPr>
            </w:pPr>
            <w:r>
              <w:rPr>
                <w:color w:val="0000FF"/>
                <w:sz w:val="24"/>
              </w:rPr>
              <w:t>根据附录A</w:t>
            </w:r>
            <w:r>
              <w:rPr>
                <w:rFonts w:hint="eastAsia"/>
                <w:color w:val="0000FF"/>
                <w:sz w:val="24"/>
              </w:rPr>
              <w:t>，</w:t>
            </w:r>
            <w:r>
              <w:rPr>
                <w:color w:val="0000FF"/>
                <w:sz w:val="24"/>
              </w:rPr>
              <w:t>本项目</w:t>
            </w:r>
            <w:r>
              <w:rPr>
                <w:rFonts w:hint="eastAsia"/>
                <w:color w:val="0000FF"/>
                <w:sz w:val="24"/>
              </w:rPr>
              <w:t>属于煤炭储存、集运</w:t>
            </w:r>
            <w:r>
              <w:rPr>
                <w:color w:val="0000FF"/>
                <w:sz w:val="24"/>
              </w:rPr>
              <w:t>，属</w:t>
            </w:r>
            <w:r>
              <w:rPr>
                <w:color w:val="0000FF"/>
                <w:sz w:val="24"/>
              </w:rPr>
              <w:fldChar w:fldCharType="begin"/>
            </w:r>
            <w:r>
              <w:rPr>
                <w:color w:val="0000FF"/>
                <w:sz w:val="24"/>
              </w:rPr>
              <w:instrText xml:space="preserve"> = 4 \* ROMAN </w:instrText>
            </w:r>
            <w:r>
              <w:rPr>
                <w:color w:val="0000FF"/>
                <w:sz w:val="24"/>
              </w:rPr>
              <w:fldChar w:fldCharType="separate"/>
            </w:r>
            <w:r>
              <w:rPr>
                <w:color w:val="0000FF"/>
                <w:sz w:val="24"/>
              </w:rPr>
              <w:t>IV</w:t>
            </w:r>
            <w:r>
              <w:rPr>
                <w:color w:val="0000FF"/>
                <w:sz w:val="24"/>
              </w:rPr>
              <w:fldChar w:fldCharType="end"/>
            </w:r>
            <w:r>
              <w:rPr>
                <w:color w:val="0000FF"/>
                <w:sz w:val="24"/>
              </w:rPr>
              <w:t>类项目。</w:t>
            </w:r>
            <w:r>
              <w:rPr>
                <w:rFonts w:hint="eastAsia"/>
                <w:color w:val="0000FF"/>
                <w:sz w:val="24"/>
              </w:rPr>
              <w:t>本次环评对项目对地下水环境影响进行简单分析。</w:t>
            </w:r>
          </w:p>
          <w:p>
            <w:pPr>
              <w:autoSpaceDE w:val="0"/>
              <w:autoSpaceDN w:val="0"/>
              <w:adjustRightInd w:val="0"/>
              <w:snapToGrid w:val="0"/>
              <w:spacing w:line="360" w:lineRule="auto"/>
              <w:ind w:firstLine="480" w:firstLineChars="200"/>
              <w:textAlignment w:val="baseline"/>
              <w:rPr>
                <w:rFonts w:hint="eastAsia"/>
                <w:bCs/>
                <w:color w:val="0000FF"/>
                <w:sz w:val="24"/>
              </w:rPr>
            </w:pPr>
            <w:r>
              <w:rPr>
                <w:bCs/>
                <w:color w:val="0000FF"/>
                <w:sz w:val="24"/>
              </w:rPr>
              <w:t>根据区域地质资料，</w:t>
            </w:r>
            <w:r>
              <w:rPr>
                <w:rFonts w:hint="eastAsia"/>
                <w:bCs/>
                <w:color w:val="0000FF"/>
                <w:sz w:val="24"/>
              </w:rPr>
              <w:t>项目区地下水按其赋存条件主要分第四系松散岩类孔隙裂隙潜水。</w:t>
            </w:r>
          </w:p>
          <w:p>
            <w:pPr>
              <w:autoSpaceDE w:val="0"/>
              <w:autoSpaceDN w:val="0"/>
              <w:adjustRightInd w:val="0"/>
              <w:snapToGrid w:val="0"/>
              <w:spacing w:line="360" w:lineRule="auto"/>
              <w:ind w:firstLine="480" w:firstLineChars="200"/>
              <w:textAlignment w:val="baseline"/>
              <w:rPr>
                <w:rFonts w:hint="eastAsia"/>
                <w:bCs/>
                <w:color w:val="0000FF"/>
                <w:sz w:val="24"/>
              </w:rPr>
            </w:pPr>
            <w:r>
              <w:rPr>
                <w:rFonts w:hint="eastAsia"/>
                <w:bCs/>
                <w:color w:val="0000FF"/>
                <w:sz w:val="24"/>
              </w:rPr>
              <w:t>评价区位于黄土残塬（和盛塬）边缘地带，和盛塬一般宽2—6km，长几十公里，面积为188km2，塬体表层为马兰黄土（Q3）覆盖，透水性好，下部黄土（Q2））分布连续，有利于大气降水渗入。塬中心部位形成连续的中等富水区，含水层厚度从塬中心向沟边减薄，塬边沟谷切割较深，排泄条件好，赋存条件差，水量贫乏，地下水赋存于中更新统黄土层之中，根据调查，和盛塬地下径流量为69710.4 t/d，塬中心一带地下水位埋深约45m，含水层厚度20-30m，自塬中心向外水位埋深逐渐增大，含水层厚度变小。</w:t>
            </w:r>
          </w:p>
          <w:p>
            <w:pPr>
              <w:autoSpaceDE w:val="0"/>
              <w:autoSpaceDN w:val="0"/>
              <w:adjustRightInd w:val="0"/>
              <w:snapToGrid w:val="0"/>
              <w:spacing w:line="360" w:lineRule="auto"/>
              <w:ind w:firstLine="480" w:firstLineChars="200"/>
              <w:textAlignment w:val="baseline"/>
              <w:rPr>
                <w:rFonts w:hint="eastAsia"/>
                <w:bCs/>
                <w:color w:val="0000FF"/>
                <w:sz w:val="24"/>
              </w:rPr>
            </w:pPr>
            <w:r>
              <w:rPr>
                <w:rFonts w:hint="eastAsia"/>
                <w:bCs/>
                <w:color w:val="0000FF"/>
                <w:sz w:val="24"/>
              </w:rPr>
              <w:t>黄土孔隙裂隙潜水的补给来源主要是大气降水。梁峁区黄土潜水的径流主要受地貌形态的控制，径流方向多变，多自地形高处流向地形低处残塬区黄土潜水的径流特征是：径流方向是由塬中心至塬边，水力坡度在塬中心地带较小或近水平，塬边地带较大。排泄的方式是人工开采、在塬边以泉的方式溢出或下渗补给白垩系地下水。</w:t>
            </w:r>
          </w:p>
          <w:p>
            <w:pPr>
              <w:autoSpaceDE w:val="0"/>
              <w:autoSpaceDN w:val="0"/>
              <w:adjustRightInd w:val="0"/>
              <w:snapToGrid w:val="0"/>
              <w:spacing w:line="360" w:lineRule="auto"/>
              <w:ind w:firstLine="480" w:firstLineChars="200"/>
              <w:textAlignment w:val="baseline"/>
              <w:rPr>
                <w:bCs/>
                <w:color w:val="0000FF"/>
                <w:sz w:val="24"/>
              </w:rPr>
            </w:pPr>
            <w:r>
              <w:rPr>
                <w:rFonts w:hint="eastAsia"/>
                <w:bCs/>
                <w:color w:val="0000FF"/>
                <w:sz w:val="24"/>
              </w:rPr>
              <w:t>评价区黄土孔隙裂隙潜水地下水动态类型属于水文型，随降水的变化而变化，滞后降水20-30天，年内水位变幅1-2m。年际间水位的变化亦主要受降水量多少的控制，年际间变幅较小。黄土潜水的TDS和总硬度年际间变化均不大，水质比较稳定。</w:t>
            </w:r>
          </w:p>
          <w:p>
            <w:pPr>
              <w:pStyle w:val="14"/>
              <w:spacing w:line="360" w:lineRule="auto"/>
              <w:ind w:firstLine="480" w:firstLineChars="200"/>
              <w:rPr>
                <w:rFonts w:hint="eastAsia"/>
                <w:color w:val="0000FF"/>
                <w:kern w:val="2"/>
                <w:sz w:val="24"/>
                <w:szCs w:val="22"/>
              </w:rPr>
            </w:pPr>
            <w:r>
              <w:rPr>
                <w:rFonts w:hint="eastAsia"/>
                <w:color w:val="0000FF"/>
                <w:kern w:val="2"/>
                <w:sz w:val="24"/>
                <w:szCs w:val="22"/>
              </w:rPr>
              <w:t>项目在营运期正常情况下，基本不会地下水环境产生影响。但如果发生以下事故，会对对地下水水质产生污染：项目防渗沉淀池发生损坏，洗车废水泄漏，废水下渗，进入地下水环境，主要影响因子为COD、SS等。</w:t>
            </w:r>
          </w:p>
          <w:p>
            <w:pPr>
              <w:pStyle w:val="14"/>
              <w:spacing w:line="360" w:lineRule="auto"/>
              <w:ind w:firstLine="480" w:firstLineChars="200"/>
              <w:rPr>
                <w:rFonts w:hint="eastAsia"/>
                <w:color w:val="0000FF"/>
                <w:kern w:val="2"/>
                <w:sz w:val="24"/>
                <w:szCs w:val="22"/>
              </w:rPr>
            </w:pPr>
            <w:r>
              <w:rPr>
                <w:rFonts w:hint="eastAsia"/>
                <w:color w:val="0000FF"/>
                <w:kern w:val="2"/>
                <w:sz w:val="24"/>
                <w:szCs w:val="22"/>
              </w:rPr>
              <w:t>正常情况下，对地下水的污染主要是由于污染物迁移穿过包气带进入含水层造成。若发生渗漏，在采取有效的防渗、防腐措施隔阻，污染物不会很快穿过包气带进入潜水；然后通过及时切断污染源，能够有效减少地下水污染的发生。</w:t>
            </w:r>
          </w:p>
          <w:p>
            <w:pPr>
              <w:pStyle w:val="14"/>
              <w:spacing w:after="0" w:line="360" w:lineRule="auto"/>
              <w:ind w:firstLine="480" w:firstLineChars="200"/>
              <w:rPr>
                <w:color w:val="0000FF"/>
                <w:kern w:val="2"/>
                <w:sz w:val="24"/>
                <w:szCs w:val="22"/>
              </w:rPr>
            </w:pPr>
            <w:r>
              <w:rPr>
                <w:rFonts w:hint="eastAsia"/>
                <w:color w:val="0000FF"/>
                <w:kern w:val="2"/>
                <w:sz w:val="24"/>
                <w:szCs w:val="22"/>
              </w:rPr>
              <w:t>根据现场调查及查阅相关资料，项目厂区用水为自来水，由当地供水站供给，项目区下游区内无分散式饮用水水源地、其他集中饮用水源及与地下水资源相关的保护区，因而本项目对周边地下水环境影响较小。</w:t>
            </w:r>
          </w:p>
          <w:p>
            <w:pPr>
              <w:pStyle w:val="94"/>
              <w:spacing w:beforeLines="50" w:line="360" w:lineRule="auto"/>
              <w:ind w:firstLine="0" w:firstLineChars="0"/>
              <w:rPr>
                <w:b/>
                <w:color w:val="0000FF"/>
                <w:spacing w:val="0"/>
                <w:sz w:val="24"/>
                <w:szCs w:val="28"/>
              </w:rPr>
            </w:pPr>
            <w:r>
              <w:rPr>
                <w:b/>
                <w:color w:val="0000FF"/>
                <w:spacing w:val="0"/>
                <w:sz w:val="24"/>
                <w:szCs w:val="28"/>
              </w:rPr>
              <w:t>3、声环境影响分析</w:t>
            </w:r>
          </w:p>
          <w:p>
            <w:pPr>
              <w:spacing w:line="460" w:lineRule="exact"/>
              <w:ind w:firstLine="480" w:firstLineChars="200"/>
              <w:jc w:val="left"/>
              <w:rPr>
                <w:color w:val="0000FF"/>
                <w:kern w:val="0"/>
                <w:sz w:val="24"/>
              </w:rPr>
            </w:pPr>
            <w:r>
              <w:rPr>
                <w:color w:val="0000FF"/>
                <w:sz w:val="24"/>
              </w:rPr>
              <w:t>噪声主要来源于</w:t>
            </w:r>
            <w:r>
              <w:rPr>
                <w:rFonts w:hint="eastAsia"/>
                <w:color w:val="0000FF"/>
                <w:sz w:val="24"/>
              </w:rPr>
              <w:t>分拣机、风机</w:t>
            </w:r>
            <w:r>
              <w:rPr>
                <w:color w:val="0000FF"/>
                <w:sz w:val="24"/>
              </w:rPr>
              <w:t>等设备</w:t>
            </w:r>
            <w:r>
              <w:rPr>
                <w:rFonts w:hint="eastAsia"/>
                <w:color w:val="0000FF"/>
                <w:sz w:val="24"/>
              </w:rPr>
              <w:t>噪声和牵引车、装载车等车辆噪声</w:t>
            </w:r>
            <w:r>
              <w:rPr>
                <w:color w:val="0000FF"/>
                <w:sz w:val="24"/>
              </w:rPr>
              <w:t>，声级在</w:t>
            </w:r>
            <w:r>
              <w:rPr>
                <w:rFonts w:hint="eastAsia"/>
                <w:color w:val="0000FF"/>
                <w:sz w:val="24"/>
              </w:rPr>
              <w:t>80</w:t>
            </w:r>
            <w:r>
              <w:rPr>
                <w:color w:val="0000FF"/>
                <w:sz w:val="24"/>
              </w:rPr>
              <w:t>~</w:t>
            </w:r>
            <w:r>
              <w:rPr>
                <w:rFonts w:hint="eastAsia"/>
                <w:color w:val="0000FF"/>
                <w:sz w:val="24"/>
              </w:rPr>
              <w:t>90</w:t>
            </w:r>
            <w:r>
              <w:rPr>
                <w:color w:val="0000FF"/>
                <w:sz w:val="24"/>
              </w:rPr>
              <w:t>dB(A)左右，需采取一定的隔声措施。</w:t>
            </w:r>
          </w:p>
          <w:p>
            <w:pPr>
              <w:autoSpaceDE w:val="0"/>
              <w:autoSpaceDN w:val="0"/>
              <w:adjustRightInd w:val="0"/>
              <w:spacing w:line="460" w:lineRule="exact"/>
              <w:ind w:firstLine="480" w:firstLineChars="200"/>
              <w:jc w:val="left"/>
              <w:rPr>
                <w:color w:val="0000FF"/>
                <w:sz w:val="24"/>
              </w:rPr>
            </w:pPr>
            <w:r>
              <w:rPr>
                <w:color w:val="0000FF"/>
                <w:sz w:val="24"/>
              </w:rPr>
              <w:t>主要声源设备及控制方案：</w:t>
            </w:r>
          </w:p>
          <w:p>
            <w:pPr>
              <w:widowControl/>
              <w:ind w:firstLine="600" w:firstLineChars="250"/>
              <w:jc w:val="center"/>
              <w:rPr>
                <w:b/>
                <w:color w:val="0000FF"/>
                <w:sz w:val="24"/>
              </w:rPr>
            </w:pPr>
            <w:r>
              <w:rPr>
                <w:b/>
                <w:color w:val="0000FF"/>
                <w:sz w:val="24"/>
              </w:rPr>
              <w:t>表</w:t>
            </w:r>
            <w:r>
              <w:rPr>
                <w:rFonts w:hint="eastAsia"/>
                <w:b/>
                <w:color w:val="0000FF"/>
                <w:sz w:val="24"/>
              </w:rPr>
              <w:t xml:space="preserve">30 </w:t>
            </w:r>
            <w:r>
              <w:rPr>
                <w:b/>
                <w:color w:val="0000FF"/>
                <w:sz w:val="24"/>
              </w:rPr>
              <w:t xml:space="preserve"> 主要声源设备及控制方案</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663"/>
              <w:gridCol w:w="1092"/>
              <w:gridCol w:w="1911"/>
              <w:gridCol w:w="26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2663" w:type="dxa"/>
                </w:tcPr>
                <w:p>
                  <w:pPr>
                    <w:jc w:val="center"/>
                    <w:rPr>
                      <w:color w:val="0000FF"/>
                      <w:szCs w:val="21"/>
                    </w:rPr>
                  </w:pPr>
                  <w:r>
                    <w:rPr>
                      <w:color w:val="0000FF"/>
                      <w:szCs w:val="21"/>
                    </w:rPr>
                    <w:t>噪声源名称</w:t>
                  </w:r>
                </w:p>
              </w:tc>
              <w:tc>
                <w:tcPr>
                  <w:tcW w:w="1092" w:type="dxa"/>
                </w:tcPr>
                <w:p>
                  <w:pPr>
                    <w:jc w:val="center"/>
                    <w:rPr>
                      <w:color w:val="0000FF"/>
                      <w:szCs w:val="21"/>
                    </w:rPr>
                  </w:pPr>
                  <w:r>
                    <w:rPr>
                      <w:color w:val="0000FF"/>
                      <w:szCs w:val="21"/>
                    </w:rPr>
                    <w:t>持续时间</w:t>
                  </w:r>
                </w:p>
              </w:tc>
              <w:tc>
                <w:tcPr>
                  <w:tcW w:w="1911" w:type="dxa"/>
                </w:tcPr>
                <w:p>
                  <w:pPr>
                    <w:jc w:val="center"/>
                    <w:rPr>
                      <w:color w:val="0000FF"/>
                      <w:szCs w:val="21"/>
                    </w:rPr>
                  </w:pPr>
                  <w:r>
                    <w:rPr>
                      <w:color w:val="0000FF"/>
                      <w:szCs w:val="21"/>
                    </w:rPr>
                    <w:t>噪声级dB（A）</w:t>
                  </w:r>
                </w:p>
              </w:tc>
              <w:tc>
                <w:tcPr>
                  <w:tcW w:w="2681" w:type="dxa"/>
                </w:tcPr>
                <w:p>
                  <w:pPr>
                    <w:jc w:val="center"/>
                    <w:rPr>
                      <w:color w:val="0000FF"/>
                      <w:szCs w:val="21"/>
                    </w:rPr>
                  </w:pPr>
                  <w:r>
                    <w:rPr>
                      <w:color w:val="0000FF"/>
                      <w:szCs w:val="21"/>
                    </w:rPr>
                    <w:t>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2663" w:type="dxa"/>
                  <w:vAlign w:val="center"/>
                </w:tcPr>
                <w:p>
                  <w:pPr>
                    <w:jc w:val="center"/>
                    <w:rPr>
                      <w:color w:val="0000FF"/>
                      <w:szCs w:val="21"/>
                    </w:rPr>
                  </w:pPr>
                  <w:r>
                    <w:rPr>
                      <w:rFonts w:hint="eastAsia"/>
                      <w:color w:val="0000FF"/>
                      <w:szCs w:val="21"/>
                    </w:rPr>
                    <w:t>分拣机</w:t>
                  </w:r>
                </w:p>
              </w:tc>
              <w:tc>
                <w:tcPr>
                  <w:tcW w:w="1092" w:type="dxa"/>
                </w:tcPr>
                <w:p>
                  <w:pPr>
                    <w:jc w:val="center"/>
                    <w:rPr>
                      <w:color w:val="0000FF"/>
                      <w:szCs w:val="21"/>
                    </w:rPr>
                  </w:pPr>
                  <w:r>
                    <w:rPr>
                      <w:color w:val="0000FF"/>
                      <w:szCs w:val="21"/>
                    </w:rPr>
                    <w:t>间歇</w:t>
                  </w:r>
                </w:p>
              </w:tc>
              <w:tc>
                <w:tcPr>
                  <w:tcW w:w="1911" w:type="dxa"/>
                </w:tcPr>
                <w:p>
                  <w:pPr>
                    <w:jc w:val="center"/>
                    <w:rPr>
                      <w:color w:val="0000FF"/>
                      <w:szCs w:val="21"/>
                    </w:rPr>
                  </w:pPr>
                  <w:r>
                    <w:rPr>
                      <w:rFonts w:hint="eastAsia"/>
                      <w:color w:val="0000FF"/>
                      <w:szCs w:val="21"/>
                    </w:rPr>
                    <w:t>90</w:t>
                  </w:r>
                </w:p>
              </w:tc>
              <w:tc>
                <w:tcPr>
                  <w:tcW w:w="2681" w:type="dxa"/>
                </w:tcPr>
                <w:p>
                  <w:pPr>
                    <w:jc w:val="center"/>
                    <w:rPr>
                      <w:color w:val="0000FF"/>
                      <w:szCs w:val="21"/>
                    </w:rPr>
                  </w:pPr>
                  <w:r>
                    <w:rPr>
                      <w:color w:val="0000FF"/>
                      <w:szCs w:val="21"/>
                    </w:rPr>
                    <w:t>减</w:t>
                  </w:r>
                  <w:r>
                    <w:rPr>
                      <w:rFonts w:hint="eastAsia"/>
                      <w:color w:val="0000FF"/>
                      <w:szCs w:val="21"/>
                    </w:rPr>
                    <w:t>震</w:t>
                  </w:r>
                  <w:r>
                    <w:rPr>
                      <w:color w:val="0000FF"/>
                      <w:szCs w:val="21"/>
                    </w:rPr>
                    <w:t>、隔声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2663" w:type="dxa"/>
                  <w:vAlign w:val="center"/>
                </w:tcPr>
                <w:p>
                  <w:pPr>
                    <w:jc w:val="center"/>
                    <w:rPr>
                      <w:color w:val="0000FF"/>
                      <w:szCs w:val="21"/>
                    </w:rPr>
                  </w:pPr>
                  <w:r>
                    <w:rPr>
                      <w:rFonts w:hint="eastAsia"/>
                      <w:color w:val="0000FF"/>
                      <w:szCs w:val="21"/>
                    </w:rPr>
                    <w:t>风机</w:t>
                  </w:r>
                </w:p>
              </w:tc>
              <w:tc>
                <w:tcPr>
                  <w:tcW w:w="1092" w:type="dxa"/>
                </w:tcPr>
                <w:p>
                  <w:pPr>
                    <w:jc w:val="center"/>
                    <w:rPr>
                      <w:color w:val="0000FF"/>
                      <w:szCs w:val="21"/>
                    </w:rPr>
                  </w:pPr>
                  <w:r>
                    <w:rPr>
                      <w:color w:val="0000FF"/>
                      <w:szCs w:val="21"/>
                    </w:rPr>
                    <w:t>间歇</w:t>
                  </w:r>
                </w:p>
              </w:tc>
              <w:tc>
                <w:tcPr>
                  <w:tcW w:w="1911" w:type="dxa"/>
                </w:tcPr>
                <w:p>
                  <w:pPr>
                    <w:jc w:val="center"/>
                    <w:rPr>
                      <w:color w:val="0000FF"/>
                      <w:szCs w:val="21"/>
                    </w:rPr>
                  </w:pPr>
                  <w:r>
                    <w:rPr>
                      <w:rFonts w:hint="eastAsia"/>
                      <w:color w:val="0000FF"/>
                      <w:szCs w:val="21"/>
                    </w:rPr>
                    <w:t>90</w:t>
                  </w:r>
                </w:p>
              </w:tc>
              <w:tc>
                <w:tcPr>
                  <w:tcW w:w="2681" w:type="dxa"/>
                </w:tcPr>
                <w:p>
                  <w:pPr>
                    <w:jc w:val="center"/>
                    <w:rPr>
                      <w:color w:val="0000FF"/>
                      <w:szCs w:val="21"/>
                    </w:rPr>
                  </w:pPr>
                  <w:r>
                    <w:rPr>
                      <w:color w:val="0000FF"/>
                      <w:szCs w:val="21"/>
                    </w:rPr>
                    <w:t>减</w:t>
                  </w:r>
                  <w:r>
                    <w:rPr>
                      <w:rFonts w:hint="eastAsia"/>
                      <w:color w:val="0000FF"/>
                      <w:szCs w:val="21"/>
                    </w:rPr>
                    <w:t>震</w:t>
                  </w:r>
                  <w:r>
                    <w:rPr>
                      <w:color w:val="0000FF"/>
                      <w:szCs w:val="21"/>
                    </w:rPr>
                    <w:t>、隔声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2663" w:type="dxa"/>
                  <w:vAlign w:val="center"/>
                </w:tcPr>
                <w:p>
                  <w:pPr>
                    <w:jc w:val="center"/>
                    <w:rPr>
                      <w:color w:val="0000FF"/>
                      <w:szCs w:val="21"/>
                    </w:rPr>
                  </w:pPr>
                  <w:r>
                    <w:rPr>
                      <w:rFonts w:hint="eastAsia"/>
                      <w:color w:val="0000FF"/>
                      <w:szCs w:val="21"/>
                    </w:rPr>
                    <w:t>牵引车</w:t>
                  </w:r>
                </w:p>
              </w:tc>
              <w:tc>
                <w:tcPr>
                  <w:tcW w:w="1092" w:type="dxa"/>
                </w:tcPr>
                <w:p>
                  <w:pPr>
                    <w:jc w:val="center"/>
                    <w:rPr>
                      <w:color w:val="0000FF"/>
                      <w:szCs w:val="21"/>
                    </w:rPr>
                  </w:pPr>
                  <w:r>
                    <w:rPr>
                      <w:color w:val="0000FF"/>
                      <w:szCs w:val="21"/>
                    </w:rPr>
                    <w:t>间歇</w:t>
                  </w:r>
                </w:p>
              </w:tc>
              <w:tc>
                <w:tcPr>
                  <w:tcW w:w="1911" w:type="dxa"/>
                </w:tcPr>
                <w:p>
                  <w:pPr>
                    <w:jc w:val="center"/>
                    <w:rPr>
                      <w:color w:val="0000FF"/>
                      <w:szCs w:val="21"/>
                    </w:rPr>
                  </w:pPr>
                  <w:r>
                    <w:rPr>
                      <w:rFonts w:hint="eastAsia"/>
                      <w:color w:val="0000FF"/>
                      <w:szCs w:val="21"/>
                    </w:rPr>
                    <w:t>80</w:t>
                  </w:r>
                </w:p>
              </w:tc>
              <w:tc>
                <w:tcPr>
                  <w:tcW w:w="2681" w:type="dxa"/>
                </w:tcPr>
                <w:p>
                  <w:pPr>
                    <w:jc w:val="center"/>
                    <w:rPr>
                      <w:color w:val="0000FF"/>
                      <w:szCs w:val="21"/>
                    </w:rPr>
                  </w:pPr>
                  <w:r>
                    <w:rPr>
                      <w:rFonts w:hint="eastAsia"/>
                      <w:color w:val="0000FF"/>
                      <w:szCs w:val="21"/>
                    </w:rPr>
                    <w:t>减速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jc w:val="center"/>
              </w:trPr>
              <w:tc>
                <w:tcPr>
                  <w:tcW w:w="2663" w:type="dxa"/>
                  <w:vAlign w:val="center"/>
                </w:tcPr>
                <w:p>
                  <w:pPr>
                    <w:jc w:val="center"/>
                    <w:rPr>
                      <w:color w:val="0000FF"/>
                      <w:szCs w:val="21"/>
                    </w:rPr>
                  </w:pPr>
                  <w:r>
                    <w:rPr>
                      <w:rFonts w:hint="eastAsia"/>
                      <w:color w:val="0000FF"/>
                      <w:szCs w:val="21"/>
                    </w:rPr>
                    <w:t>装载车</w:t>
                  </w:r>
                </w:p>
              </w:tc>
              <w:tc>
                <w:tcPr>
                  <w:tcW w:w="1092" w:type="dxa"/>
                </w:tcPr>
                <w:p>
                  <w:pPr>
                    <w:jc w:val="center"/>
                    <w:rPr>
                      <w:color w:val="0000FF"/>
                      <w:szCs w:val="21"/>
                    </w:rPr>
                  </w:pPr>
                  <w:r>
                    <w:rPr>
                      <w:color w:val="0000FF"/>
                      <w:szCs w:val="21"/>
                    </w:rPr>
                    <w:t>间歇</w:t>
                  </w:r>
                </w:p>
              </w:tc>
              <w:tc>
                <w:tcPr>
                  <w:tcW w:w="1911" w:type="dxa"/>
                </w:tcPr>
                <w:p>
                  <w:pPr>
                    <w:jc w:val="center"/>
                    <w:rPr>
                      <w:color w:val="0000FF"/>
                      <w:szCs w:val="21"/>
                    </w:rPr>
                  </w:pPr>
                  <w:r>
                    <w:rPr>
                      <w:rFonts w:hint="eastAsia"/>
                      <w:color w:val="0000FF"/>
                      <w:szCs w:val="21"/>
                    </w:rPr>
                    <w:t>85</w:t>
                  </w:r>
                </w:p>
              </w:tc>
              <w:tc>
                <w:tcPr>
                  <w:tcW w:w="2681" w:type="dxa"/>
                </w:tcPr>
                <w:p>
                  <w:pPr>
                    <w:jc w:val="center"/>
                    <w:rPr>
                      <w:color w:val="0000FF"/>
                      <w:szCs w:val="21"/>
                    </w:rPr>
                  </w:pPr>
                  <w:r>
                    <w:rPr>
                      <w:rFonts w:hint="eastAsia"/>
                      <w:color w:val="0000FF"/>
                      <w:szCs w:val="21"/>
                    </w:rPr>
                    <w:t>减速</w:t>
                  </w:r>
                </w:p>
              </w:tc>
            </w:tr>
          </w:tbl>
          <w:p>
            <w:pPr>
              <w:spacing w:line="360" w:lineRule="auto"/>
              <w:ind w:firstLine="480" w:firstLineChars="200"/>
              <w:rPr>
                <w:rFonts w:hint="eastAsia"/>
                <w:color w:val="0000FF"/>
                <w:kern w:val="24"/>
                <w:sz w:val="24"/>
              </w:rPr>
            </w:pPr>
            <w:r>
              <w:rPr>
                <w:color w:val="0000FF"/>
                <w:kern w:val="24"/>
                <w:sz w:val="24"/>
              </w:rPr>
              <w:t>根据《环境影响评价技术导则声环境》（HJ2.4—2009）中对噪声源强的分类，项目噪声源按声源性质可以分为流动声源和固定声源两大类，机动车辆为流动声源，场区的固定的产噪设备为固定声源。本项目根据导则</w:t>
            </w:r>
            <w:r>
              <w:rPr>
                <w:rFonts w:hint="eastAsia"/>
                <w:color w:val="0000FF"/>
                <w:kern w:val="24"/>
                <w:sz w:val="24"/>
              </w:rPr>
              <w:t>对</w:t>
            </w:r>
            <w:r>
              <w:rPr>
                <w:color w:val="0000FF"/>
                <w:kern w:val="24"/>
                <w:sz w:val="24"/>
              </w:rPr>
              <w:t>噪声</w:t>
            </w:r>
            <w:r>
              <w:rPr>
                <w:rFonts w:hint="eastAsia"/>
                <w:color w:val="0000FF"/>
                <w:kern w:val="24"/>
                <w:sz w:val="24"/>
              </w:rPr>
              <w:t>进行</w:t>
            </w:r>
            <w:r>
              <w:rPr>
                <w:color w:val="0000FF"/>
                <w:kern w:val="24"/>
                <w:sz w:val="24"/>
              </w:rPr>
              <w:t>预测。</w:t>
            </w:r>
          </w:p>
          <w:p>
            <w:pPr>
              <w:spacing w:line="360" w:lineRule="auto"/>
              <w:ind w:firstLine="200"/>
              <w:rPr>
                <w:color w:val="0000FF"/>
                <w:kern w:val="24"/>
                <w:sz w:val="24"/>
              </w:rPr>
            </w:pPr>
            <w:r>
              <w:rPr>
                <w:color w:val="0000FF"/>
                <w:kern w:val="24"/>
                <w:sz w:val="24"/>
              </w:rPr>
              <w:t>1、固定噪声源预测与评价</w:t>
            </w:r>
          </w:p>
          <w:p>
            <w:pPr>
              <w:tabs>
                <w:tab w:val="left" w:pos="1700"/>
              </w:tabs>
              <w:spacing w:line="360" w:lineRule="auto"/>
              <w:ind w:firstLine="200"/>
              <w:rPr>
                <w:color w:val="0000FF"/>
                <w:kern w:val="24"/>
                <w:sz w:val="24"/>
              </w:rPr>
            </w:pPr>
            <w:r>
              <w:rPr>
                <w:color w:val="0000FF"/>
                <w:kern w:val="24"/>
                <w:sz w:val="24"/>
              </w:rPr>
              <w:t>（1）噪声源源强的选取原则</w:t>
            </w:r>
          </w:p>
          <w:p>
            <w:pPr>
              <w:tabs>
                <w:tab w:val="left" w:pos="1700"/>
              </w:tabs>
              <w:spacing w:line="360" w:lineRule="auto"/>
              <w:ind w:firstLine="480" w:firstLineChars="200"/>
              <w:rPr>
                <w:color w:val="0000FF"/>
                <w:kern w:val="24"/>
                <w:sz w:val="24"/>
              </w:rPr>
            </w:pPr>
            <w:r>
              <w:rPr>
                <w:color w:val="0000FF"/>
                <w:kern w:val="24"/>
                <w:sz w:val="24"/>
              </w:rPr>
              <w:t>a）本项目设备较多，噪声源较简单，但各种设备数量较多，且不少设备属于强噪声设备，有些设备噪声给出的声压级有一个范围，本评价预测时按平均值考虑。</w:t>
            </w:r>
          </w:p>
          <w:p>
            <w:pPr>
              <w:tabs>
                <w:tab w:val="left" w:pos="1700"/>
              </w:tabs>
              <w:spacing w:line="360" w:lineRule="auto"/>
              <w:ind w:firstLine="480" w:firstLineChars="200"/>
              <w:rPr>
                <w:color w:val="0000FF"/>
                <w:kern w:val="24"/>
                <w:sz w:val="24"/>
              </w:rPr>
            </w:pPr>
            <w:r>
              <w:rPr>
                <w:color w:val="0000FF"/>
                <w:kern w:val="24"/>
                <w:sz w:val="24"/>
              </w:rPr>
              <w:t>b）高噪声设备和低噪声设备的户外噪声强度相差较大，按照噪声叠加规律，相差10dB以上的多个噪声源，可不用考虑低噪声的影响，因此，本评价在预测时按此规律筛选，只考虑高噪声设备的影响。</w:t>
            </w:r>
          </w:p>
          <w:p>
            <w:pPr>
              <w:tabs>
                <w:tab w:val="left" w:pos="1700"/>
              </w:tabs>
              <w:spacing w:line="360" w:lineRule="auto"/>
              <w:ind w:firstLine="200"/>
              <w:rPr>
                <w:color w:val="0000FF"/>
                <w:kern w:val="24"/>
                <w:sz w:val="24"/>
              </w:rPr>
            </w:pPr>
            <w:r>
              <w:rPr>
                <w:color w:val="0000FF"/>
                <w:kern w:val="24"/>
                <w:sz w:val="24"/>
              </w:rPr>
              <w:t>（2）预测模式的选取</w:t>
            </w:r>
          </w:p>
          <w:p>
            <w:pPr>
              <w:adjustRightInd w:val="0"/>
              <w:snapToGrid w:val="0"/>
              <w:spacing w:line="360" w:lineRule="auto"/>
              <w:ind w:firstLine="480" w:firstLineChars="200"/>
              <w:textAlignment w:val="baseline"/>
              <w:rPr>
                <w:color w:val="0000FF"/>
                <w:kern w:val="24"/>
                <w:sz w:val="24"/>
              </w:rPr>
            </w:pPr>
            <w:r>
              <w:rPr>
                <w:color w:val="0000FF"/>
                <w:kern w:val="24"/>
                <w:sz w:val="24"/>
              </w:rPr>
              <w:t>根据《环境影响评价技术导则声环境》（HJ2.4-2009）的技术要求，本次评价采取导则上推荐模式。</w:t>
            </w:r>
          </w:p>
          <w:p>
            <w:pPr>
              <w:spacing w:line="360" w:lineRule="auto"/>
              <w:ind w:firstLine="480" w:firstLineChars="200"/>
              <w:rPr>
                <w:color w:val="0000FF"/>
                <w:sz w:val="24"/>
              </w:rPr>
            </w:pPr>
            <w:r>
              <w:rPr>
                <w:color w:val="0000FF"/>
                <w:sz w:val="24"/>
              </w:rPr>
              <w:t>a）声级计算</w:t>
            </w:r>
          </w:p>
          <w:p>
            <w:pPr>
              <w:spacing w:line="360" w:lineRule="auto"/>
              <w:ind w:firstLine="480" w:firstLineChars="200"/>
              <w:rPr>
                <w:color w:val="0000FF"/>
                <w:sz w:val="24"/>
              </w:rPr>
            </w:pPr>
            <w:r>
              <w:rPr>
                <w:color w:val="0000FF"/>
                <w:sz w:val="24"/>
              </w:rPr>
              <w:t>建设项目声源在预测点产生的等效声级贡献值（</w:t>
            </w:r>
            <w:r>
              <w:rPr>
                <w:i/>
                <w:color w:val="0000FF"/>
                <w:sz w:val="24"/>
              </w:rPr>
              <w:t>L</w:t>
            </w:r>
            <w:r>
              <w:rPr>
                <w:color w:val="0000FF"/>
                <w:sz w:val="24"/>
                <w:vertAlign w:val="subscript"/>
              </w:rPr>
              <w:t>eqg</w:t>
            </w:r>
            <w:r>
              <w:rPr>
                <w:color w:val="0000FF"/>
                <w:sz w:val="24"/>
              </w:rPr>
              <w:t>）计算公式：</w:t>
            </w:r>
          </w:p>
          <w:p>
            <w:pPr>
              <w:spacing w:line="360" w:lineRule="auto"/>
              <w:ind w:firstLine="200"/>
              <w:jc w:val="center"/>
              <w:rPr>
                <w:color w:val="0000FF"/>
                <w:sz w:val="24"/>
              </w:rPr>
            </w:pPr>
            <w:r>
              <w:rPr>
                <w:color w:val="0000FF"/>
                <w:position w:val="-34"/>
                <w:sz w:val="24"/>
              </w:rPr>
              <w:drawing>
                <wp:inline distT="0" distB="0" distL="0" distR="0">
                  <wp:extent cx="1664970" cy="484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srcRect/>
                          <a:stretch>
                            <a:fillRect/>
                          </a:stretch>
                        </pic:blipFill>
                        <pic:spPr>
                          <a:xfrm>
                            <a:off x="0" y="0"/>
                            <a:ext cx="1664970" cy="484505"/>
                          </a:xfrm>
                          <a:prstGeom prst="rect">
                            <a:avLst/>
                          </a:prstGeom>
                          <a:noFill/>
                          <a:ln w="9525" cmpd="sng">
                            <a:noFill/>
                            <a:miter lim="800000"/>
                            <a:headEnd/>
                            <a:tailEnd/>
                          </a:ln>
                        </pic:spPr>
                      </pic:pic>
                    </a:graphicData>
                  </a:graphic>
                </wp:inline>
              </w:drawing>
            </w:r>
          </w:p>
          <w:p>
            <w:pPr>
              <w:spacing w:line="360" w:lineRule="auto"/>
              <w:ind w:firstLine="200"/>
              <w:rPr>
                <w:color w:val="0000FF"/>
                <w:sz w:val="24"/>
              </w:rPr>
            </w:pPr>
            <w:r>
              <w:rPr>
                <w:color w:val="0000FF"/>
                <w:sz w:val="24"/>
              </w:rPr>
              <w:t>式中：</w:t>
            </w:r>
          </w:p>
          <w:p>
            <w:pPr>
              <w:spacing w:line="360" w:lineRule="auto"/>
              <w:ind w:firstLine="480" w:firstLineChars="200"/>
              <w:rPr>
                <w:color w:val="0000FF"/>
                <w:sz w:val="24"/>
              </w:rPr>
            </w:pPr>
            <w:r>
              <w:rPr>
                <w:i/>
                <w:color w:val="0000FF"/>
                <w:sz w:val="24"/>
              </w:rPr>
              <w:t>L</w:t>
            </w:r>
            <w:r>
              <w:rPr>
                <w:color w:val="0000FF"/>
                <w:sz w:val="24"/>
                <w:vertAlign w:val="subscript"/>
              </w:rPr>
              <w:t>eqg</w:t>
            </w:r>
            <w:r>
              <w:rPr>
                <w:color w:val="0000FF"/>
                <w:sz w:val="24"/>
              </w:rPr>
              <w:t>---建设项目声源在预测点的等效声级贡献值，dB（A）；</w:t>
            </w:r>
          </w:p>
          <w:p>
            <w:pPr>
              <w:spacing w:line="360" w:lineRule="auto"/>
              <w:ind w:firstLine="480" w:firstLineChars="200"/>
              <w:rPr>
                <w:color w:val="0000FF"/>
                <w:sz w:val="24"/>
              </w:rPr>
            </w:pPr>
            <w:r>
              <w:rPr>
                <w:i/>
                <w:color w:val="0000FF"/>
                <w:sz w:val="24"/>
              </w:rPr>
              <w:t>L</w:t>
            </w:r>
            <w:r>
              <w:rPr>
                <w:i/>
                <w:color w:val="0000FF"/>
                <w:sz w:val="24"/>
                <w:vertAlign w:val="subscript"/>
              </w:rPr>
              <w:t>Ai</w:t>
            </w:r>
            <w:r>
              <w:rPr>
                <w:i/>
                <w:color w:val="0000FF"/>
                <w:sz w:val="24"/>
              </w:rPr>
              <w:t xml:space="preserve"> </w:t>
            </w:r>
            <w:r>
              <w:rPr>
                <w:color w:val="0000FF"/>
                <w:sz w:val="24"/>
              </w:rPr>
              <w:t>---i声源在预测点产生的A声级，dB（A）；</w:t>
            </w:r>
          </w:p>
          <w:p>
            <w:pPr>
              <w:spacing w:line="360" w:lineRule="auto"/>
              <w:ind w:firstLine="480" w:firstLineChars="200"/>
              <w:rPr>
                <w:color w:val="0000FF"/>
                <w:sz w:val="24"/>
              </w:rPr>
            </w:pPr>
            <w:r>
              <w:rPr>
                <w:color w:val="0000FF"/>
                <w:sz w:val="24"/>
              </w:rPr>
              <w:t>T  ---预测计算的时间段，s；</w:t>
            </w:r>
          </w:p>
          <w:p>
            <w:pPr>
              <w:spacing w:line="360" w:lineRule="auto"/>
              <w:ind w:firstLine="480" w:firstLineChars="200"/>
              <w:rPr>
                <w:color w:val="0000FF"/>
                <w:sz w:val="24"/>
              </w:rPr>
            </w:pPr>
            <w:r>
              <w:rPr>
                <w:color w:val="0000FF"/>
                <w:sz w:val="24"/>
              </w:rPr>
              <w:t>t</w:t>
            </w:r>
            <w:r>
              <w:rPr>
                <w:color w:val="0000FF"/>
                <w:sz w:val="24"/>
                <w:vertAlign w:val="subscript"/>
              </w:rPr>
              <w:t>i</w:t>
            </w:r>
            <w:r>
              <w:rPr>
                <w:color w:val="0000FF"/>
                <w:sz w:val="24"/>
              </w:rPr>
              <w:t xml:space="preserve">  ---i声源在T时段内的运行时间，s。</w:t>
            </w:r>
          </w:p>
          <w:p>
            <w:pPr>
              <w:spacing w:line="360" w:lineRule="auto"/>
              <w:ind w:firstLine="436" w:firstLineChars="182"/>
              <w:rPr>
                <w:color w:val="0000FF"/>
                <w:sz w:val="24"/>
              </w:rPr>
            </w:pPr>
            <w:r>
              <w:rPr>
                <w:color w:val="0000FF"/>
                <w:sz w:val="24"/>
              </w:rPr>
              <w:t>b）预测点的预测等效声级（</w:t>
            </w:r>
            <w:r>
              <w:rPr>
                <w:i/>
                <w:color w:val="0000FF"/>
                <w:sz w:val="24"/>
              </w:rPr>
              <w:t>L</w:t>
            </w:r>
            <w:r>
              <w:rPr>
                <w:color w:val="0000FF"/>
                <w:sz w:val="24"/>
                <w:vertAlign w:val="subscript"/>
              </w:rPr>
              <w:t>eq</w:t>
            </w:r>
            <w:r>
              <w:rPr>
                <w:color w:val="0000FF"/>
                <w:sz w:val="24"/>
              </w:rPr>
              <w:t>）计算公式</w:t>
            </w:r>
          </w:p>
          <w:p>
            <w:pPr>
              <w:spacing w:line="360" w:lineRule="auto"/>
              <w:ind w:firstLine="200"/>
              <w:jc w:val="center"/>
              <w:rPr>
                <w:color w:val="0000FF"/>
                <w:sz w:val="24"/>
              </w:rPr>
            </w:pPr>
            <w:r>
              <w:rPr>
                <w:color w:val="0000FF"/>
                <w:position w:val="-24"/>
                <w:sz w:val="24"/>
              </w:rPr>
              <w:drawing>
                <wp:inline distT="0" distB="0" distL="0" distR="0">
                  <wp:extent cx="1828800" cy="3409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srcRect/>
                          <a:stretch>
                            <a:fillRect/>
                          </a:stretch>
                        </pic:blipFill>
                        <pic:spPr>
                          <a:xfrm>
                            <a:off x="0" y="0"/>
                            <a:ext cx="1828800" cy="340995"/>
                          </a:xfrm>
                          <a:prstGeom prst="rect">
                            <a:avLst/>
                          </a:prstGeom>
                          <a:noFill/>
                          <a:ln w="9525" cmpd="sng">
                            <a:noFill/>
                            <a:miter lim="800000"/>
                            <a:headEnd/>
                            <a:tailEnd/>
                          </a:ln>
                        </pic:spPr>
                      </pic:pic>
                    </a:graphicData>
                  </a:graphic>
                </wp:inline>
              </w:drawing>
            </w:r>
          </w:p>
          <w:p>
            <w:pPr>
              <w:spacing w:line="360" w:lineRule="auto"/>
              <w:ind w:firstLine="200"/>
              <w:rPr>
                <w:color w:val="0000FF"/>
                <w:sz w:val="24"/>
              </w:rPr>
            </w:pPr>
            <w:r>
              <w:rPr>
                <w:color w:val="0000FF"/>
                <w:sz w:val="24"/>
              </w:rPr>
              <w:t>式中：</w:t>
            </w:r>
          </w:p>
          <w:p>
            <w:pPr>
              <w:spacing w:line="360" w:lineRule="auto"/>
              <w:ind w:firstLine="480" w:firstLineChars="200"/>
              <w:rPr>
                <w:color w:val="0000FF"/>
                <w:sz w:val="24"/>
              </w:rPr>
            </w:pPr>
            <w:r>
              <w:rPr>
                <w:i/>
                <w:color w:val="0000FF"/>
                <w:sz w:val="24"/>
              </w:rPr>
              <w:t>L</w:t>
            </w:r>
            <w:r>
              <w:rPr>
                <w:color w:val="0000FF"/>
                <w:sz w:val="24"/>
                <w:vertAlign w:val="subscript"/>
              </w:rPr>
              <w:t>eqg</w:t>
            </w:r>
            <w:r>
              <w:rPr>
                <w:color w:val="0000FF"/>
                <w:sz w:val="24"/>
              </w:rPr>
              <w:t>---建设项目声源在预测点的等效声级贡献值，dB（A）；</w:t>
            </w:r>
          </w:p>
          <w:p>
            <w:pPr>
              <w:spacing w:line="360" w:lineRule="auto"/>
              <w:ind w:firstLine="480" w:firstLineChars="200"/>
              <w:rPr>
                <w:color w:val="0000FF"/>
                <w:sz w:val="24"/>
              </w:rPr>
            </w:pPr>
            <w:r>
              <w:rPr>
                <w:i/>
                <w:color w:val="0000FF"/>
                <w:sz w:val="24"/>
              </w:rPr>
              <w:t>L</w:t>
            </w:r>
            <w:r>
              <w:rPr>
                <w:color w:val="0000FF"/>
                <w:sz w:val="24"/>
                <w:vertAlign w:val="subscript"/>
              </w:rPr>
              <w:t>eqb</w:t>
            </w:r>
            <w:r>
              <w:rPr>
                <w:color w:val="0000FF"/>
                <w:sz w:val="24"/>
              </w:rPr>
              <w:t>---预测点的背景值，dB（A）。</w:t>
            </w:r>
          </w:p>
          <w:p>
            <w:pPr>
              <w:spacing w:line="360" w:lineRule="auto"/>
              <w:ind w:firstLine="480" w:firstLineChars="200"/>
              <w:rPr>
                <w:color w:val="0000FF"/>
                <w:sz w:val="24"/>
              </w:rPr>
            </w:pPr>
            <w:r>
              <w:rPr>
                <w:color w:val="0000FF"/>
                <w:sz w:val="24"/>
              </w:rPr>
              <w:t>c）户外声传播衰减计算</w:t>
            </w:r>
          </w:p>
          <w:p>
            <w:pPr>
              <w:spacing w:line="360" w:lineRule="auto"/>
              <w:ind w:firstLine="480" w:firstLineChars="200"/>
              <w:jc w:val="left"/>
              <w:rPr>
                <w:color w:val="0000FF"/>
                <w:sz w:val="24"/>
              </w:rPr>
            </w:pPr>
            <w:r>
              <w:rPr>
                <w:color w:val="0000FF"/>
                <w:sz w:val="24"/>
              </w:rPr>
              <w:t>户外声传播衰减包括几何发散（A</w:t>
            </w:r>
            <w:r>
              <w:rPr>
                <w:color w:val="0000FF"/>
                <w:sz w:val="24"/>
                <w:vertAlign w:val="subscript"/>
              </w:rPr>
              <w:t>div</w:t>
            </w:r>
            <w:r>
              <w:rPr>
                <w:color w:val="0000FF"/>
                <w:sz w:val="24"/>
              </w:rPr>
              <w:t>）、大气吸收（A</w:t>
            </w:r>
            <w:r>
              <w:rPr>
                <w:color w:val="0000FF"/>
                <w:sz w:val="24"/>
                <w:vertAlign w:val="subscript"/>
              </w:rPr>
              <w:t>atm</w:t>
            </w:r>
            <w:r>
              <w:rPr>
                <w:color w:val="0000FF"/>
                <w:sz w:val="24"/>
              </w:rPr>
              <w:t>）、地面效应（A</w:t>
            </w:r>
            <w:r>
              <w:rPr>
                <w:color w:val="0000FF"/>
                <w:sz w:val="24"/>
                <w:vertAlign w:val="subscript"/>
              </w:rPr>
              <w:t>gr</w:t>
            </w:r>
            <w:r>
              <w:rPr>
                <w:color w:val="0000FF"/>
                <w:sz w:val="24"/>
              </w:rPr>
              <w:t>）屏障屏蔽（A</w:t>
            </w:r>
            <w:r>
              <w:rPr>
                <w:color w:val="0000FF"/>
                <w:sz w:val="24"/>
                <w:vertAlign w:val="subscript"/>
              </w:rPr>
              <w:t>bar</w:t>
            </w:r>
            <w:r>
              <w:rPr>
                <w:color w:val="0000FF"/>
                <w:sz w:val="24"/>
              </w:rPr>
              <w:t>）、其他多方面效应（A</w:t>
            </w:r>
            <w:r>
              <w:rPr>
                <w:color w:val="0000FF"/>
                <w:sz w:val="24"/>
                <w:vertAlign w:val="subscript"/>
              </w:rPr>
              <w:t>misc</w:t>
            </w:r>
            <w:r>
              <w:rPr>
                <w:color w:val="0000FF"/>
                <w:sz w:val="24"/>
              </w:rPr>
              <w:t>）引起的衰减。</w:t>
            </w:r>
          </w:p>
          <w:p>
            <w:pPr>
              <w:spacing w:line="360" w:lineRule="auto"/>
              <w:ind w:firstLine="200"/>
              <w:jc w:val="left"/>
              <w:rPr>
                <w:color w:val="0000FF"/>
                <w:sz w:val="24"/>
              </w:rPr>
            </w:pPr>
            <w:r>
              <w:rPr>
                <w:color w:val="0000FF"/>
                <w:sz w:val="24"/>
              </w:rPr>
              <w:t>距声源点r处的A声级按下式计算：</w:t>
            </w:r>
          </w:p>
          <w:p>
            <w:pPr>
              <w:spacing w:line="360" w:lineRule="auto"/>
              <w:ind w:firstLine="200"/>
              <w:jc w:val="center"/>
              <w:rPr>
                <w:color w:val="0000FF"/>
                <w:sz w:val="24"/>
                <w:lang w:val="es-ES"/>
              </w:rPr>
            </w:pPr>
            <w:r>
              <w:rPr>
                <w:i/>
                <w:color w:val="0000FF"/>
                <w:sz w:val="24"/>
                <w:lang w:val="es-ES"/>
              </w:rPr>
              <w:t>L</w:t>
            </w:r>
            <w:r>
              <w:rPr>
                <w:i/>
                <w:color w:val="0000FF"/>
                <w:sz w:val="24"/>
                <w:vertAlign w:val="subscript"/>
                <w:lang w:val="es-ES"/>
              </w:rPr>
              <w:t>p</w:t>
            </w:r>
            <w:r>
              <w:rPr>
                <w:color w:val="0000FF"/>
                <w:sz w:val="24"/>
                <w:lang w:val="es-ES"/>
              </w:rPr>
              <w:t>（</w:t>
            </w:r>
            <w:r>
              <w:rPr>
                <w:i/>
                <w:color w:val="0000FF"/>
                <w:sz w:val="24"/>
                <w:lang w:val="es-ES"/>
              </w:rPr>
              <w:t>r</w:t>
            </w:r>
            <w:r>
              <w:rPr>
                <w:color w:val="0000FF"/>
                <w:sz w:val="24"/>
                <w:lang w:val="es-ES"/>
              </w:rPr>
              <w:t>）</w:t>
            </w:r>
            <w:r>
              <w:rPr>
                <w:i/>
                <w:color w:val="0000FF"/>
                <w:sz w:val="24"/>
                <w:lang w:val="es-ES"/>
              </w:rPr>
              <w:t>=Lp</w:t>
            </w:r>
            <w:r>
              <w:rPr>
                <w:color w:val="0000FF"/>
                <w:sz w:val="24"/>
                <w:lang w:val="es-ES"/>
              </w:rPr>
              <w:t>（</w:t>
            </w:r>
            <w:r>
              <w:rPr>
                <w:i/>
                <w:color w:val="0000FF"/>
                <w:sz w:val="24"/>
                <w:lang w:val="es-ES"/>
              </w:rPr>
              <w:t>r</w:t>
            </w:r>
            <w:r>
              <w:rPr>
                <w:i/>
                <w:color w:val="0000FF"/>
                <w:sz w:val="24"/>
                <w:vertAlign w:val="subscript"/>
                <w:lang w:val="es-ES"/>
              </w:rPr>
              <w:t>0</w:t>
            </w:r>
            <w:r>
              <w:rPr>
                <w:color w:val="0000FF"/>
                <w:sz w:val="24"/>
                <w:lang w:val="es-ES"/>
              </w:rPr>
              <w:t>）</w:t>
            </w:r>
            <w:r>
              <w:rPr>
                <w:i/>
                <w:color w:val="0000FF"/>
                <w:sz w:val="24"/>
                <w:lang w:val="es-ES"/>
              </w:rPr>
              <w:t>-</w:t>
            </w:r>
            <w:r>
              <w:rPr>
                <w:color w:val="0000FF"/>
                <w:sz w:val="24"/>
                <w:lang w:val="es-ES"/>
              </w:rPr>
              <w:t>（</w:t>
            </w:r>
            <w:r>
              <w:rPr>
                <w:i/>
                <w:color w:val="0000FF"/>
                <w:sz w:val="24"/>
                <w:lang w:val="es-ES"/>
              </w:rPr>
              <w:t>A</w:t>
            </w:r>
            <w:r>
              <w:rPr>
                <w:i/>
                <w:color w:val="0000FF"/>
                <w:sz w:val="24"/>
                <w:vertAlign w:val="subscript"/>
                <w:lang w:val="es-ES"/>
              </w:rPr>
              <w:t>div</w:t>
            </w:r>
            <w:r>
              <w:rPr>
                <w:i/>
                <w:color w:val="0000FF"/>
                <w:sz w:val="24"/>
                <w:lang w:val="es-ES"/>
              </w:rPr>
              <w:t xml:space="preserve"> + A</w:t>
            </w:r>
            <w:r>
              <w:rPr>
                <w:i/>
                <w:color w:val="0000FF"/>
                <w:sz w:val="24"/>
                <w:vertAlign w:val="subscript"/>
                <w:lang w:val="es-ES"/>
              </w:rPr>
              <w:t>atm</w:t>
            </w:r>
            <w:r>
              <w:rPr>
                <w:i/>
                <w:color w:val="0000FF"/>
                <w:sz w:val="24"/>
                <w:lang w:val="es-ES"/>
              </w:rPr>
              <w:t xml:space="preserve"> + A</w:t>
            </w:r>
            <w:r>
              <w:rPr>
                <w:i/>
                <w:color w:val="0000FF"/>
                <w:sz w:val="24"/>
                <w:vertAlign w:val="subscript"/>
                <w:lang w:val="es-ES"/>
              </w:rPr>
              <w:t>gr</w:t>
            </w:r>
            <w:r>
              <w:rPr>
                <w:i/>
                <w:color w:val="0000FF"/>
                <w:sz w:val="24"/>
                <w:lang w:val="es-ES"/>
              </w:rPr>
              <w:t xml:space="preserve"> + A</w:t>
            </w:r>
            <w:r>
              <w:rPr>
                <w:i/>
                <w:color w:val="0000FF"/>
                <w:sz w:val="24"/>
                <w:vertAlign w:val="subscript"/>
                <w:lang w:val="es-ES"/>
              </w:rPr>
              <w:t>bar</w:t>
            </w:r>
            <w:r>
              <w:rPr>
                <w:i/>
                <w:color w:val="0000FF"/>
                <w:sz w:val="24"/>
                <w:lang w:val="es-ES"/>
              </w:rPr>
              <w:t xml:space="preserve"> + A</w:t>
            </w:r>
            <w:r>
              <w:rPr>
                <w:i/>
                <w:color w:val="0000FF"/>
                <w:sz w:val="24"/>
                <w:vertAlign w:val="subscript"/>
                <w:lang w:val="es-ES"/>
              </w:rPr>
              <w:t>misc</w:t>
            </w:r>
            <w:r>
              <w:rPr>
                <w:color w:val="0000FF"/>
                <w:sz w:val="24"/>
                <w:lang w:val="es-ES"/>
              </w:rPr>
              <w:t>）</w:t>
            </w:r>
          </w:p>
          <w:p>
            <w:pPr>
              <w:spacing w:line="360" w:lineRule="auto"/>
              <w:ind w:firstLine="480" w:firstLineChars="200"/>
              <w:rPr>
                <w:color w:val="0000FF"/>
                <w:sz w:val="24"/>
              </w:rPr>
            </w:pPr>
            <w:r>
              <w:rPr>
                <w:color w:val="0000FF"/>
                <w:sz w:val="24"/>
              </w:rPr>
              <w:t>在预测中考虑反射引起的修正、屏障引起的衰减、双绕射、室内声源等效室外声源等影响和计算方法。</w:t>
            </w:r>
          </w:p>
          <w:p>
            <w:pPr>
              <w:spacing w:line="360" w:lineRule="auto"/>
              <w:ind w:firstLine="200"/>
              <w:rPr>
                <w:color w:val="0000FF"/>
                <w:sz w:val="24"/>
              </w:rPr>
            </w:pPr>
            <w:r>
              <w:rPr>
                <w:color w:val="0000FF"/>
                <w:sz w:val="24"/>
              </w:rPr>
              <w:t>（3）</w:t>
            </w:r>
            <w:r>
              <w:rPr>
                <w:color w:val="0000FF"/>
                <w:kern w:val="24"/>
                <w:sz w:val="24"/>
              </w:rPr>
              <w:t>预测结果</w:t>
            </w:r>
          </w:p>
          <w:p>
            <w:pPr>
              <w:spacing w:line="360" w:lineRule="auto"/>
              <w:ind w:firstLine="480" w:firstLineChars="200"/>
              <w:rPr>
                <w:color w:val="0000FF"/>
                <w:sz w:val="24"/>
              </w:rPr>
            </w:pPr>
            <w:r>
              <w:rPr>
                <w:color w:val="0000FF"/>
                <w:sz w:val="24"/>
              </w:rPr>
              <w:t>利用上述模式可以预测分析该项目主要声源同时排放噪声的最为严重影响状况下，输入新导则计算软件，各厂界的预测结果见表</w:t>
            </w:r>
            <w:r>
              <w:rPr>
                <w:rFonts w:hint="eastAsia"/>
                <w:color w:val="0000FF"/>
                <w:sz w:val="24"/>
              </w:rPr>
              <w:t>31</w:t>
            </w:r>
            <w:r>
              <w:rPr>
                <w:color w:val="0000FF"/>
                <w:sz w:val="24"/>
              </w:rPr>
              <w:t>：</w:t>
            </w:r>
          </w:p>
          <w:p>
            <w:pPr>
              <w:widowControl/>
              <w:ind w:firstLine="600" w:firstLineChars="250"/>
              <w:jc w:val="center"/>
              <w:rPr>
                <w:b/>
                <w:color w:val="0000FF"/>
                <w:sz w:val="24"/>
              </w:rPr>
            </w:pPr>
            <w:r>
              <w:rPr>
                <w:b/>
                <w:color w:val="0000FF"/>
                <w:sz w:val="24"/>
              </w:rPr>
              <w:t>表</w:t>
            </w:r>
            <w:r>
              <w:rPr>
                <w:rFonts w:hint="eastAsia"/>
                <w:b/>
                <w:color w:val="0000FF"/>
                <w:sz w:val="24"/>
              </w:rPr>
              <w:t>31</w:t>
            </w:r>
            <w:r>
              <w:rPr>
                <w:b/>
                <w:color w:val="0000FF"/>
                <w:sz w:val="24"/>
              </w:rPr>
              <w:t xml:space="preserve">  拟建项目厂界处噪声情况达标列表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4"/>
              <w:gridCol w:w="1295"/>
              <w:gridCol w:w="1185"/>
              <w:gridCol w:w="1078"/>
              <w:gridCol w:w="1940"/>
              <w:gridCol w:w="938"/>
              <w:gridCol w:w="93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974" w:type="dxa"/>
                  <w:vMerge w:val="restart"/>
                  <w:vAlign w:val="center"/>
                </w:tcPr>
                <w:p>
                  <w:pPr>
                    <w:spacing w:line="240" w:lineRule="exact"/>
                    <w:jc w:val="center"/>
                    <w:rPr>
                      <w:color w:val="0000FF"/>
                      <w:szCs w:val="21"/>
                    </w:rPr>
                  </w:pPr>
                  <w:r>
                    <w:rPr>
                      <w:color w:val="0000FF"/>
                      <w:szCs w:val="21"/>
                    </w:rPr>
                    <w:t>序号</w:t>
                  </w:r>
                </w:p>
              </w:tc>
              <w:tc>
                <w:tcPr>
                  <w:tcW w:w="1295" w:type="dxa"/>
                  <w:vMerge w:val="restart"/>
                  <w:vAlign w:val="center"/>
                </w:tcPr>
                <w:p>
                  <w:pPr>
                    <w:spacing w:line="240" w:lineRule="exact"/>
                    <w:jc w:val="center"/>
                    <w:rPr>
                      <w:color w:val="0000FF"/>
                      <w:szCs w:val="21"/>
                    </w:rPr>
                  </w:pPr>
                  <w:r>
                    <w:rPr>
                      <w:color w:val="0000FF"/>
                      <w:szCs w:val="21"/>
                    </w:rPr>
                    <w:t>厂界</w:t>
                  </w:r>
                </w:p>
                <w:p>
                  <w:pPr>
                    <w:spacing w:line="240" w:lineRule="exact"/>
                    <w:jc w:val="center"/>
                    <w:rPr>
                      <w:color w:val="0000FF"/>
                      <w:szCs w:val="21"/>
                    </w:rPr>
                  </w:pPr>
                  <w:r>
                    <w:rPr>
                      <w:color w:val="0000FF"/>
                      <w:szCs w:val="21"/>
                    </w:rPr>
                    <w:t>方位</w:t>
                  </w:r>
                </w:p>
              </w:tc>
              <w:tc>
                <w:tcPr>
                  <w:tcW w:w="2263" w:type="dxa"/>
                  <w:gridSpan w:val="2"/>
                  <w:vMerge w:val="restart"/>
                  <w:vAlign w:val="center"/>
                </w:tcPr>
                <w:p>
                  <w:pPr>
                    <w:spacing w:line="240" w:lineRule="exact"/>
                    <w:jc w:val="center"/>
                    <w:rPr>
                      <w:color w:val="0000FF"/>
                      <w:szCs w:val="21"/>
                    </w:rPr>
                  </w:pPr>
                  <w:r>
                    <w:rPr>
                      <w:rFonts w:hint="eastAsia"/>
                      <w:color w:val="0000FF"/>
                      <w:szCs w:val="21"/>
                    </w:rPr>
                    <w:t>贡献值</w:t>
                  </w:r>
                  <w:r>
                    <w:rPr>
                      <w:color w:val="0000FF"/>
                      <w:szCs w:val="21"/>
                      <w:lang w:val="en-GB"/>
                    </w:rPr>
                    <w:t>（</w:t>
                  </w:r>
                  <w:r>
                    <w:rPr>
                      <w:color w:val="0000FF"/>
                      <w:szCs w:val="21"/>
                    </w:rPr>
                    <w:t>dB(A)</w:t>
                  </w:r>
                  <w:r>
                    <w:rPr>
                      <w:color w:val="0000FF"/>
                      <w:szCs w:val="21"/>
                      <w:lang w:val="en-GB"/>
                    </w:rPr>
                    <w:t>）</w:t>
                  </w:r>
                </w:p>
              </w:tc>
              <w:tc>
                <w:tcPr>
                  <w:tcW w:w="1940" w:type="dxa"/>
                  <w:vMerge w:val="restart"/>
                  <w:vAlign w:val="center"/>
                </w:tcPr>
                <w:p>
                  <w:pPr>
                    <w:spacing w:line="240" w:lineRule="exact"/>
                    <w:jc w:val="center"/>
                    <w:rPr>
                      <w:color w:val="0000FF"/>
                      <w:szCs w:val="21"/>
                    </w:rPr>
                  </w:pPr>
                  <w:r>
                    <w:rPr>
                      <w:color w:val="0000FF"/>
                      <w:szCs w:val="21"/>
                    </w:rPr>
                    <w:t>标准值</w:t>
                  </w:r>
                </w:p>
                <w:p>
                  <w:pPr>
                    <w:spacing w:line="240" w:lineRule="exact"/>
                    <w:jc w:val="center"/>
                    <w:rPr>
                      <w:color w:val="0000FF"/>
                      <w:szCs w:val="21"/>
                    </w:rPr>
                  </w:pPr>
                  <w:r>
                    <w:rPr>
                      <w:color w:val="0000FF"/>
                      <w:szCs w:val="21"/>
                    </w:rPr>
                    <w:t>〔dB</w:t>
                  </w:r>
                  <w:r>
                    <w:rPr>
                      <w:color w:val="0000FF"/>
                      <w:szCs w:val="21"/>
                      <w:lang w:val="en-GB"/>
                    </w:rPr>
                    <w:t>（</w:t>
                  </w:r>
                  <w:r>
                    <w:rPr>
                      <w:color w:val="0000FF"/>
                      <w:szCs w:val="21"/>
                    </w:rPr>
                    <w:t>A</w:t>
                  </w:r>
                  <w:r>
                    <w:rPr>
                      <w:color w:val="0000FF"/>
                      <w:szCs w:val="21"/>
                      <w:lang w:val="en-GB"/>
                    </w:rPr>
                    <w:t>）</w:t>
                  </w:r>
                  <w:r>
                    <w:rPr>
                      <w:color w:val="0000FF"/>
                      <w:szCs w:val="21"/>
                    </w:rPr>
                    <w:t>〕</w:t>
                  </w:r>
                </w:p>
              </w:tc>
              <w:tc>
                <w:tcPr>
                  <w:tcW w:w="1875" w:type="dxa"/>
                  <w:gridSpan w:val="2"/>
                  <w:vAlign w:val="center"/>
                </w:tcPr>
                <w:p>
                  <w:pPr>
                    <w:spacing w:line="240" w:lineRule="exact"/>
                    <w:jc w:val="center"/>
                    <w:rPr>
                      <w:color w:val="0000FF"/>
                      <w:szCs w:val="21"/>
                    </w:rPr>
                  </w:pPr>
                  <w:r>
                    <w:rPr>
                      <w:color w:val="0000FF"/>
                      <w:szCs w:val="21"/>
                    </w:rPr>
                    <w:t>达标情况</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974" w:type="dxa"/>
                  <w:vMerge w:val="continue"/>
                  <w:vAlign w:val="center"/>
                </w:tcPr>
                <w:p>
                  <w:pPr>
                    <w:spacing w:line="240" w:lineRule="exact"/>
                    <w:jc w:val="center"/>
                    <w:rPr>
                      <w:color w:val="0000FF"/>
                      <w:szCs w:val="21"/>
                    </w:rPr>
                  </w:pPr>
                </w:p>
              </w:tc>
              <w:tc>
                <w:tcPr>
                  <w:tcW w:w="1295" w:type="dxa"/>
                  <w:vMerge w:val="continue"/>
                  <w:vAlign w:val="center"/>
                </w:tcPr>
                <w:p>
                  <w:pPr>
                    <w:spacing w:line="240" w:lineRule="exact"/>
                    <w:jc w:val="center"/>
                    <w:rPr>
                      <w:color w:val="0000FF"/>
                      <w:szCs w:val="21"/>
                    </w:rPr>
                  </w:pPr>
                </w:p>
              </w:tc>
              <w:tc>
                <w:tcPr>
                  <w:tcW w:w="2263" w:type="dxa"/>
                  <w:gridSpan w:val="2"/>
                  <w:vMerge w:val="continue"/>
                  <w:vAlign w:val="center"/>
                </w:tcPr>
                <w:p>
                  <w:pPr>
                    <w:spacing w:line="240" w:lineRule="exact"/>
                    <w:jc w:val="center"/>
                    <w:rPr>
                      <w:color w:val="0000FF"/>
                      <w:szCs w:val="21"/>
                    </w:rPr>
                  </w:pPr>
                </w:p>
              </w:tc>
              <w:tc>
                <w:tcPr>
                  <w:tcW w:w="1940" w:type="dxa"/>
                  <w:vMerge w:val="continue"/>
                  <w:vAlign w:val="center"/>
                </w:tcPr>
                <w:p>
                  <w:pPr>
                    <w:spacing w:line="240" w:lineRule="exact"/>
                    <w:jc w:val="center"/>
                    <w:rPr>
                      <w:color w:val="0000FF"/>
                      <w:szCs w:val="21"/>
                    </w:rPr>
                  </w:pPr>
                </w:p>
              </w:tc>
              <w:tc>
                <w:tcPr>
                  <w:tcW w:w="938" w:type="dxa"/>
                  <w:vAlign w:val="center"/>
                </w:tcPr>
                <w:p>
                  <w:pPr>
                    <w:spacing w:line="240" w:lineRule="exact"/>
                    <w:jc w:val="center"/>
                    <w:rPr>
                      <w:color w:val="0000FF"/>
                      <w:spacing w:val="-6"/>
                      <w:szCs w:val="21"/>
                    </w:rPr>
                  </w:pPr>
                  <w:r>
                    <w:rPr>
                      <w:color w:val="0000FF"/>
                      <w:spacing w:val="-6"/>
                      <w:szCs w:val="21"/>
                    </w:rPr>
                    <w:t>达标</w:t>
                  </w:r>
                </w:p>
              </w:tc>
              <w:tc>
                <w:tcPr>
                  <w:tcW w:w="937" w:type="dxa"/>
                  <w:vAlign w:val="center"/>
                </w:tcPr>
                <w:p>
                  <w:pPr>
                    <w:spacing w:line="240" w:lineRule="exact"/>
                    <w:jc w:val="center"/>
                    <w:rPr>
                      <w:color w:val="0000FF"/>
                      <w:spacing w:val="-6"/>
                      <w:szCs w:val="21"/>
                    </w:rPr>
                  </w:pPr>
                  <w:r>
                    <w:rPr>
                      <w:color w:val="0000FF"/>
                      <w:spacing w:val="-6"/>
                      <w:szCs w:val="21"/>
                    </w:rPr>
                    <w:t>超标</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74" w:type="dxa"/>
                  <w:vAlign w:val="center"/>
                </w:tcPr>
                <w:p>
                  <w:pPr>
                    <w:spacing w:line="240" w:lineRule="exact"/>
                    <w:jc w:val="center"/>
                    <w:rPr>
                      <w:color w:val="0000FF"/>
                      <w:szCs w:val="21"/>
                    </w:rPr>
                  </w:pPr>
                  <w:r>
                    <w:rPr>
                      <w:color w:val="0000FF"/>
                      <w:szCs w:val="21"/>
                    </w:rPr>
                    <w:t>1#</w:t>
                  </w:r>
                </w:p>
              </w:tc>
              <w:tc>
                <w:tcPr>
                  <w:tcW w:w="1295" w:type="dxa"/>
                  <w:vAlign w:val="center"/>
                </w:tcPr>
                <w:p>
                  <w:pPr>
                    <w:spacing w:line="240" w:lineRule="exact"/>
                    <w:jc w:val="center"/>
                    <w:rPr>
                      <w:color w:val="0000FF"/>
                      <w:szCs w:val="21"/>
                    </w:rPr>
                  </w:pPr>
                  <w:r>
                    <w:rPr>
                      <w:color w:val="0000FF"/>
                      <w:szCs w:val="21"/>
                    </w:rPr>
                    <w:t>东厂界</w:t>
                  </w:r>
                </w:p>
              </w:tc>
              <w:tc>
                <w:tcPr>
                  <w:tcW w:w="1185" w:type="dxa"/>
                  <w:vAlign w:val="center"/>
                </w:tcPr>
                <w:p>
                  <w:pPr>
                    <w:spacing w:line="240" w:lineRule="exact"/>
                    <w:jc w:val="center"/>
                    <w:rPr>
                      <w:color w:val="0000FF"/>
                      <w:szCs w:val="21"/>
                    </w:rPr>
                  </w:pPr>
                  <w:r>
                    <w:rPr>
                      <w:color w:val="0000FF"/>
                      <w:szCs w:val="21"/>
                    </w:rPr>
                    <w:t>昼间</w:t>
                  </w:r>
                </w:p>
              </w:tc>
              <w:tc>
                <w:tcPr>
                  <w:tcW w:w="1078" w:type="dxa"/>
                  <w:vAlign w:val="center"/>
                </w:tcPr>
                <w:p>
                  <w:pPr>
                    <w:spacing w:line="240" w:lineRule="exact"/>
                    <w:jc w:val="center"/>
                    <w:rPr>
                      <w:rFonts w:hint="eastAsia"/>
                      <w:color w:val="0000FF"/>
                      <w:szCs w:val="21"/>
                    </w:rPr>
                  </w:pPr>
                  <w:r>
                    <w:rPr>
                      <w:rFonts w:hint="eastAsia"/>
                      <w:color w:val="0000FF"/>
                      <w:szCs w:val="21"/>
                    </w:rPr>
                    <w:t>35.2</w:t>
                  </w:r>
                </w:p>
              </w:tc>
              <w:tc>
                <w:tcPr>
                  <w:tcW w:w="1940" w:type="dxa"/>
                  <w:vMerge w:val="restart"/>
                  <w:vAlign w:val="center"/>
                </w:tcPr>
                <w:p>
                  <w:pPr>
                    <w:spacing w:line="240" w:lineRule="exact"/>
                    <w:jc w:val="center"/>
                    <w:rPr>
                      <w:color w:val="0000FF"/>
                      <w:szCs w:val="21"/>
                    </w:rPr>
                  </w:pPr>
                  <w:r>
                    <w:rPr>
                      <w:color w:val="0000FF"/>
                      <w:szCs w:val="21"/>
                    </w:rPr>
                    <w:t>昼间：6</w:t>
                  </w:r>
                  <w:r>
                    <w:rPr>
                      <w:rFonts w:hint="eastAsia"/>
                      <w:color w:val="0000FF"/>
                      <w:szCs w:val="21"/>
                    </w:rPr>
                    <w:t>5</w:t>
                  </w:r>
                </w:p>
                <w:p>
                  <w:pPr>
                    <w:spacing w:line="240" w:lineRule="exact"/>
                    <w:jc w:val="center"/>
                    <w:rPr>
                      <w:color w:val="0000FF"/>
                      <w:szCs w:val="21"/>
                    </w:rPr>
                  </w:pPr>
                  <w:r>
                    <w:rPr>
                      <w:color w:val="0000FF"/>
                      <w:szCs w:val="21"/>
                    </w:rPr>
                    <w:t>夜间：</w:t>
                  </w:r>
                  <w:r>
                    <w:rPr>
                      <w:rFonts w:hint="eastAsia"/>
                      <w:color w:val="0000FF"/>
                      <w:szCs w:val="21"/>
                    </w:rPr>
                    <w:t>55</w:t>
                  </w:r>
                </w:p>
              </w:tc>
              <w:tc>
                <w:tcPr>
                  <w:tcW w:w="938" w:type="dxa"/>
                  <w:vAlign w:val="center"/>
                </w:tcPr>
                <w:p>
                  <w:pPr>
                    <w:spacing w:line="240" w:lineRule="exact"/>
                    <w:jc w:val="center"/>
                    <w:rPr>
                      <w:color w:val="0000FF"/>
                      <w:szCs w:val="21"/>
                    </w:rPr>
                  </w:pPr>
                  <w:r>
                    <w:rPr>
                      <w:color w:val="0000FF"/>
                      <w:szCs w:val="21"/>
                    </w:rPr>
                    <w:sym w:font="Wingdings 2" w:char="F050"/>
                  </w:r>
                </w:p>
              </w:tc>
              <w:tc>
                <w:tcPr>
                  <w:tcW w:w="937" w:type="dxa"/>
                  <w:vAlign w:val="center"/>
                </w:tcPr>
                <w:p>
                  <w:pPr>
                    <w:spacing w:line="240" w:lineRule="exact"/>
                    <w:jc w:val="center"/>
                    <w:rPr>
                      <w:color w:val="0000FF"/>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74" w:type="dxa"/>
                  <w:vAlign w:val="center"/>
                </w:tcPr>
                <w:p>
                  <w:pPr>
                    <w:spacing w:line="240" w:lineRule="exact"/>
                    <w:jc w:val="center"/>
                    <w:rPr>
                      <w:color w:val="0000FF"/>
                      <w:szCs w:val="21"/>
                    </w:rPr>
                  </w:pPr>
                  <w:r>
                    <w:rPr>
                      <w:color w:val="0000FF"/>
                      <w:szCs w:val="21"/>
                    </w:rPr>
                    <w:t>2#</w:t>
                  </w:r>
                </w:p>
              </w:tc>
              <w:tc>
                <w:tcPr>
                  <w:tcW w:w="1295" w:type="dxa"/>
                  <w:vAlign w:val="center"/>
                </w:tcPr>
                <w:p>
                  <w:pPr>
                    <w:spacing w:line="240" w:lineRule="exact"/>
                    <w:jc w:val="center"/>
                    <w:rPr>
                      <w:color w:val="0000FF"/>
                      <w:szCs w:val="21"/>
                    </w:rPr>
                  </w:pPr>
                  <w:r>
                    <w:rPr>
                      <w:color w:val="0000FF"/>
                      <w:szCs w:val="21"/>
                    </w:rPr>
                    <w:t>西厂界</w:t>
                  </w:r>
                </w:p>
              </w:tc>
              <w:tc>
                <w:tcPr>
                  <w:tcW w:w="1185" w:type="dxa"/>
                  <w:vAlign w:val="center"/>
                </w:tcPr>
                <w:p>
                  <w:pPr>
                    <w:spacing w:line="240" w:lineRule="exact"/>
                    <w:jc w:val="center"/>
                    <w:rPr>
                      <w:color w:val="0000FF"/>
                      <w:szCs w:val="21"/>
                    </w:rPr>
                  </w:pPr>
                  <w:r>
                    <w:rPr>
                      <w:color w:val="0000FF"/>
                      <w:szCs w:val="21"/>
                    </w:rPr>
                    <w:t>昼间</w:t>
                  </w:r>
                </w:p>
              </w:tc>
              <w:tc>
                <w:tcPr>
                  <w:tcW w:w="1078" w:type="dxa"/>
                  <w:vAlign w:val="center"/>
                </w:tcPr>
                <w:p>
                  <w:pPr>
                    <w:spacing w:line="240" w:lineRule="exact"/>
                    <w:jc w:val="center"/>
                    <w:rPr>
                      <w:rFonts w:hint="eastAsia"/>
                      <w:color w:val="0000FF"/>
                      <w:szCs w:val="21"/>
                    </w:rPr>
                  </w:pPr>
                  <w:r>
                    <w:rPr>
                      <w:rFonts w:hint="eastAsia"/>
                      <w:color w:val="0000FF"/>
                      <w:szCs w:val="21"/>
                    </w:rPr>
                    <w:t>44.8</w:t>
                  </w:r>
                </w:p>
              </w:tc>
              <w:tc>
                <w:tcPr>
                  <w:tcW w:w="1940" w:type="dxa"/>
                  <w:vMerge w:val="continue"/>
                  <w:vAlign w:val="center"/>
                </w:tcPr>
                <w:p>
                  <w:pPr>
                    <w:spacing w:line="240" w:lineRule="exact"/>
                    <w:jc w:val="center"/>
                    <w:rPr>
                      <w:b/>
                      <w:bCs/>
                      <w:color w:val="0000FF"/>
                      <w:szCs w:val="21"/>
                    </w:rPr>
                  </w:pPr>
                </w:p>
              </w:tc>
              <w:tc>
                <w:tcPr>
                  <w:tcW w:w="938" w:type="dxa"/>
                  <w:vAlign w:val="center"/>
                </w:tcPr>
                <w:p>
                  <w:pPr>
                    <w:spacing w:line="240" w:lineRule="exact"/>
                    <w:jc w:val="center"/>
                    <w:rPr>
                      <w:b/>
                      <w:bCs/>
                      <w:color w:val="0000FF"/>
                      <w:szCs w:val="21"/>
                    </w:rPr>
                  </w:pPr>
                  <w:r>
                    <w:rPr>
                      <w:color w:val="0000FF"/>
                      <w:szCs w:val="21"/>
                    </w:rPr>
                    <w:sym w:font="Wingdings 2" w:char="F050"/>
                  </w:r>
                </w:p>
              </w:tc>
              <w:tc>
                <w:tcPr>
                  <w:tcW w:w="937" w:type="dxa"/>
                  <w:vAlign w:val="center"/>
                </w:tcPr>
                <w:p>
                  <w:pPr>
                    <w:spacing w:line="240" w:lineRule="exact"/>
                    <w:jc w:val="center"/>
                    <w:rPr>
                      <w:b/>
                      <w:bCs/>
                      <w:color w:val="0000FF"/>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74" w:type="dxa"/>
                  <w:vAlign w:val="center"/>
                </w:tcPr>
                <w:p>
                  <w:pPr>
                    <w:spacing w:line="240" w:lineRule="exact"/>
                    <w:jc w:val="center"/>
                    <w:rPr>
                      <w:color w:val="0000FF"/>
                      <w:szCs w:val="21"/>
                    </w:rPr>
                  </w:pPr>
                  <w:r>
                    <w:rPr>
                      <w:color w:val="0000FF"/>
                      <w:szCs w:val="21"/>
                    </w:rPr>
                    <w:t>3#</w:t>
                  </w:r>
                </w:p>
              </w:tc>
              <w:tc>
                <w:tcPr>
                  <w:tcW w:w="1295" w:type="dxa"/>
                  <w:vAlign w:val="center"/>
                </w:tcPr>
                <w:p>
                  <w:pPr>
                    <w:spacing w:line="240" w:lineRule="exact"/>
                    <w:jc w:val="center"/>
                    <w:rPr>
                      <w:color w:val="0000FF"/>
                      <w:szCs w:val="21"/>
                    </w:rPr>
                  </w:pPr>
                  <w:r>
                    <w:rPr>
                      <w:color w:val="0000FF"/>
                      <w:szCs w:val="21"/>
                    </w:rPr>
                    <w:t>北厂界</w:t>
                  </w:r>
                </w:p>
              </w:tc>
              <w:tc>
                <w:tcPr>
                  <w:tcW w:w="1185" w:type="dxa"/>
                  <w:vAlign w:val="center"/>
                </w:tcPr>
                <w:p>
                  <w:pPr>
                    <w:spacing w:line="240" w:lineRule="exact"/>
                    <w:jc w:val="center"/>
                    <w:rPr>
                      <w:color w:val="0000FF"/>
                      <w:szCs w:val="21"/>
                    </w:rPr>
                  </w:pPr>
                  <w:r>
                    <w:rPr>
                      <w:color w:val="0000FF"/>
                      <w:szCs w:val="21"/>
                    </w:rPr>
                    <w:t>昼间</w:t>
                  </w:r>
                </w:p>
              </w:tc>
              <w:tc>
                <w:tcPr>
                  <w:tcW w:w="1078" w:type="dxa"/>
                  <w:vAlign w:val="center"/>
                </w:tcPr>
                <w:p>
                  <w:pPr>
                    <w:spacing w:line="240" w:lineRule="exact"/>
                    <w:jc w:val="center"/>
                    <w:rPr>
                      <w:rFonts w:hint="eastAsia"/>
                      <w:color w:val="0000FF"/>
                      <w:szCs w:val="21"/>
                    </w:rPr>
                  </w:pPr>
                  <w:r>
                    <w:rPr>
                      <w:rFonts w:hint="eastAsia"/>
                      <w:color w:val="0000FF"/>
                      <w:szCs w:val="21"/>
                    </w:rPr>
                    <w:t>28.5</w:t>
                  </w:r>
                </w:p>
              </w:tc>
              <w:tc>
                <w:tcPr>
                  <w:tcW w:w="1940" w:type="dxa"/>
                  <w:vMerge w:val="continue"/>
                  <w:vAlign w:val="center"/>
                </w:tcPr>
                <w:p>
                  <w:pPr>
                    <w:spacing w:line="240" w:lineRule="exact"/>
                    <w:jc w:val="center"/>
                    <w:rPr>
                      <w:color w:val="0000FF"/>
                      <w:szCs w:val="21"/>
                    </w:rPr>
                  </w:pPr>
                </w:p>
              </w:tc>
              <w:tc>
                <w:tcPr>
                  <w:tcW w:w="938" w:type="dxa"/>
                  <w:vAlign w:val="center"/>
                </w:tcPr>
                <w:p>
                  <w:pPr>
                    <w:spacing w:line="240" w:lineRule="exact"/>
                    <w:jc w:val="center"/>
                    <w:rPr>
                      <w:bCs/>
                      <w:color w:val="0000FF"/>
                      <w:spacing w:val="8"/>
                      <w:szCs w:val="21"/>
                    </w:rPr>
                  </w:pPr>
                  <w:r>
                    <w:rPr>
                      <w:color w:val="0000FF"/>
                      <w:szCs w:val="21"/>
                    </w:rPr>
                    <w:sym w:font="Wingdings 2" w:char="F050"/>
                  </w:r>
                </w:p>
              </w:tc>
              <w:tc>
                <w:tcPr>
                  <w:tcW w:w="937" w:type="dxa"/>
                  <w:vAlign w:val="center"/>
                </w:tcPr>
                <w:p>
                  <w:pPr>
                    <w:spacing w:line="240" w:lineRule="exact"/>
                    <w:jc w:val="center"/>
                    <w:rPr>
                      <w:color w:val="0000FF"/>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74" w:type="dxa"/>
                  <w:vAlign w:val="center"/>
                </w:tcPr>
                <w:p>
                  <w:pPr>
                    <w:spacing w:line="240" w:lineRule="exact"/>
                    <w:jc w:val="center"/>
                    <w:rPr>
                      <w:color w:val="0000FF"/>
                      <w:szCs w:val="21"/>
                    </w:rPr>
                  </w:pPr>
                  <w:r>
                    <w:rPr>
                      <w:color w:val="0000FF"/>
                      <w:szCs w:val="21"/>
                    </w:rPr>
                    <w:t>4#</w:t>
                  </w:r>
                </w:p>
              </w:tc>
              <w:tc>
                <w:tcPr>
                  <w:tcW w:w="1295" w:type="dxa"/>
                  <w:vAlign w:val="center"/>
                </w:tcPr>
                <w:p>
                  <w:pPr>
                    <w:spacing w:line="240" w:lineRule="exact"/>
                    <w:jc w:val="center"/>
                    <w:rPr>
                      <w:color w:val="0000FF"/>
                      <w:szCs w:val="21"/>
                    </w:rPr>
                  </w:pPr>
                  <w:r>
                    <w:rPr>
                      <w:color w:val="0000FF"/>
                      <w:szCs w:val="21"/>
                    </w:rPr>
                    <w:t>南厂界</w:t>
                  </w:r>
                </w:p>
              </w:tc>
              <w:tc>
                <w:tcPr>
                  <w:tcW w:w="1185" w:type="dxa"/>
                  <w:vAlign w:val="center"/>
                </w:tcPr>
                <w:p>
                  <w:pPr>
                    <w:spacing w:line="240" w:lineRule="exact"/>
                    <w:jc w:val="center"/>
                    <w:rPr>
                      <w:color w:val="0000FF"/>
                      <w:szCs w:val="21"/>
                    </w:rPr>
                  </w:pPr>
                  <w:r>
                    <w:rPr>
                      <w:color w:val="0000FF"/>
                      <w:szCs w:val="21"/>
                    </w:rPr>
                    <w:t>昼间</w:t>
                  </w:r>
                </w:p>
              </w:tc>
              <w:tc>
                <w:tcPr>
                  <w:tcW w:w="1078" w:type="dxa"/>
                  <w:vAlign w:val="center"/>
                </w:tcPr>
                <w:p>
                  <w:pPr>
                    <w:spacing w:line="240" w:lineRule="exact"/>
                    <w:jc w:val="center"/>
                    <w:rPr>
                      <w:rFonts w:hint="eastAsia"/>
                      <w:color w:val="0000FF"/>
                      <w:szCs w:val="21"/>
                    </w:rPr>
                  </w:pPr>
                  <w:r>
                    <w:rPr>
                      <w:rFonts w:hint="eastAsia"/>
                      <w:color w:val="0000FF"/>
                      <w:szCs w:val="21"/>
                    </w:rPr>
                    <w:t>33.6</w:t>
                  </w:r>
                </w:p>
              </w:tc>
              <w:tc>
                <w:tcPr>
                  <w:tcW w:w="1940" w:type="dxa"/>
                  <w:vMerge w:val="continue"/>
                  <w:vAlign w:val="center"/>
                </w:tcPr>
                <w:p>
                  <w:pPr>
                    <w:spacing w:line="240" w:lineRule="exact"/>
                    <w:jc w:val="center"/>
                    <w:rPr>
                      <w:color w:val="0000FF"/>
                      <w:szCs w:val="21"/>
                    </w:rPr>
                  </w:pPr>
                </w:p>
              </w:tc>
              <w:tc>
                <w:tcPr>
                  <w:tcW w:w="938" w:type="dxa"/>
                  <w:vAlign w:val="center"/>
                </w:tcPr>
                <w:p>
                  <w:pPr>
                    <w:spacing w:line="240" w:lineRule="exact"/>
                    <w:jc w:val="center"/>
                    <w:rPr>
                      <w:color w:val="0000FF"/>
                      <w:szCs w:val="21"/>
                    </w:rPr>
                  </w:pPr>
                  <w:r>
                    <w:rPr>
                      <w:color w:val="0000FF"/>
                      <w:szCs w:val="21"/>
                    </w:rPr>
                    <w:sym w:font="Wingdings 2" w:char="F050"/>
                  </w:r>
                </w:p>
              </w:tc>
              <w:tc>
                <w:tcPr>
                  <w:tcW w:w="937" w:type="dxa"/>
                  <w:vAlign w:val="center"/>
                </w:tcPr>
                <w:p>
                  <w:pPr>
                    <w:spacing w:line="240" w:lineRule="exact"/>
                    <w:jc w:val="center"/>
                    <w:rPr>
                      <w:color w:val="0000FF"/>
                      <w:szCs w:val="21"/>
                    </w:rPr>
                  </w:pPr>
                </w:p>
              </w:tc>
            </w:tr>
          </w:tbl>
          <w:p>
            <w:pPr>
              <w:pStyle w:val="104"/>
              <w:spacing w:line="360" w:lineRule="auto"/>
              <w:ind w:firstLine="480"/>
              <w:rPr>
                <w:rFonts w:hint="eastAsia" w:eastAsia="宋体"/>
                <w:color w:val="0000FF"/>
                <w:spacing w:val="0"/>
                <w:sz w:val="24"/>
                <w:szCs w:val="28"/>
              </w:rPr>
            </w:pPr>
            <w:r>
              <w:rPr>
                <w:rFonts w:eastAsia="宋体"/>
                <w:color w:val="0000FF"/>
                <w:spacing w:val="0"/>
                <w:kern w:val="24"/>
                <w:sz w:val="24"/>
              </w:rPr>
              <w:t>结果表明，拟建项目噪声源采取防噪措施后，项目拟建地厂界噪声预测值均能满足</w:t>
            </w:r>
            <w:r>
              <w:rPr>
                <w:rFonts w:eastAsia="宋体"/>
                <w:color w:val="0000FF"/>
                <w:spacing w:val="0"/>
                <w:sz w:val="24"/>
                <w:szCs w:val="20"/>
              </w:rPr>
              <w:t>《工业企业厂界环境噪声排放标准》（GB12348-2008）所规定的</w:t>
            </w:r>
            <w:r>
              <w:rPr>
                <w:rFonts w:hint="eastAsia" w:eastAsia="宋体"/>
                <w:color w:val="0000FF"/>
                <w:spacing w:val="0"/>
                <w:sz w:val="24"/>
                <w:szCs w:val="20"/>
              </w:rPr>
              <w:t>3</w:t>
            </w:r>
            <w:r>
              <w:rPr>
                <w:rFonts w:eastAsia="宋体"/>
                <w:color w:val="0000FF"/>
                <w:spacing w:val="0"/>
                <w:sz w:val="24"/>
                <w:szCs w:val="20"/>
              </w:rPr>
              <w:t>类声环境功能区排放限值。</w:t>
            </w:r>
            <w:r>
              <w:rPr>
                <w:rFonts w:eastAsia="宋体"/>
                <w:color w:val="0000FF"/>
                <w:spacing w:val="0"/>
                <w:kern w:val="24"/>
                <w:sz w:val="24"/>
              </w:rPr>
              <w:t>因此，</w:t>
            </w:r>
            <w:r>
              <w:rPr>
                <w:rFonts w:eastAsia="宋体"/>
                <w:color w:val="0000FF"/>
                <w:spacing w:val="0"/>
                <w:sz w:val="24"/>
                <w:szCs w:val="28"/>
              </w:rPr>
              <w:t>项目的生产不会对周边敏感点造成影响。</w:t>
            </w:r>
          </w:p>
          <w:p>
            <w:pPr>
              <w:pStyle w:val="104"/>
              <w:spacing w:line="360" w:lineRule="auto"/>
              <w:ind w:firstLine="560"/>
              <w:rPr>
                <w:rFonts w:hint="eastAsia"/>
                <w:lang w:val="en-US" w:eastAsia="zh-CN"/>
              </w:rPr>
            </w:pPr>
            <w:r>
              <w:drawing>
                <wp:anchor distT="0" distB="0" distL="114300" distR="114300" simplePos="0" relativeHeight="251661312" behindDoc="0" locked="0" layoutInCell="1" allowOverlap="1">
                  <wp:simplePos x="0" y="0"/>
                  <wp:positionH relativeFrom="column">
                    <wp:posOffset>4351655</wp:posOffset>
                  </wp:positionH>
                  <wp:positionV relativeFrom="paragraph">
                    <wp:posOffset>33020</wp:posOffset>
                  </wp:positionV>
                  <wp:extent cx="692150" cy="617855"/>
                  <wp:effectExtent l="19050" t="0" r="0" b="0"/>
                  <wp:wrapNone/>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27" cstate="print"/>
                          <a:srcRect/>
                          <a:stretch>
                            <a:fillRect/>
                          </a:stretch>
                        </pic:blipFill>
                        <pic:spPr>
                          <a:xfrm>
                            <a:off x="0" y="0"/>
                            <a:ext cx="692150" cy="617855"/>
                          </a:xfrm>
                          <a:prstGeom prst="rect">
                            <a:avLst/>
                          </a:prstGeom>
                          <a:noFill/>
                          <a:ln w="9525" cmpd="sng">
                            <a:noFill/>
                            <a:miter lim="800000"/>
                            <a:headEnd/>
                            <a:tailEnd/>
                          </a:ln>
                        </pic:spPr>
                      </pic:pic>
                    </a:graphicData>
                  </a:graphic>
                </wp:anchor>
              </w:drawing>
            </w:r>
            <w:r>
              <w:drawing>
                <wp:inline distT="0" distB="0" distL="0" distR="0">
                  <wp:extent cx="4721860" cy="3903345"/>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8" cstate="print"/>
                          <a:srcRect/>
                          <a:stretch>
                            <a:fillRect/>
                          </a:stretch>
                        </pic:blipFill>
                        <pic:spPr>
                          <a:xfrm>
                            <a:off x="0" y="0"/>
                            <a:ext cx="4721860" cy="3903345"/>
                          </a:xfrm>
                          <a:prstGeom prst="rect">
                            <a:avLst/>
                          </a:prstGeom>
                          <a:noFill/>
                          <a:ln w="9525" cmpd="sng">
                            <a:noFill/>
                            <a:miter lim="800000"/>
                            <a:headEnd/>
                            <a:tailEnd/>
                          </a:ln>
                        </pic:spPr>
                      </pic:pic>
                    </a:graphicData>
                  </a:graphic>
                </wp:inline>
              </w:drawing>
            </w:r>
          </w:p>
          <w:p>
            <w:pPr>
              <w:pStyle w:val="104"/>
              <w:spacing w:line="360" w:lineRule="auto"/>
              <w:ind w:firstLine="482"/>
              <w:jc w:val="center"/>
              <w:rPr>
                <w:rFonts w:eastAsia="宋体"/>
                <w:color w:val="0000FF"/>
                <w:spacing w:val="0"/>
                <w:sz w:val="24"/>
                <w:szCs w:val="28"/>
              </w:rPr>
            </w:pPr>
            <w:r>
              <w:rPr>
                <w:rFonts w:eastAsia="宋体"/>
                <w:b/>
                <w:color w:val="0000FF"/>
                <w:spacing w:val="0"/>
                <w:sz w:val="24"/>
                <w:szCs w:val="28"/>
              </w:rPr>
              <w:t>图12  项目</w:t>
            </w:r>
            <w:r>
              <w:rPr>
                <w:rFonts w:hint="eastAsia" w:eastAsia="宋体"/>
                <w:b/>
                <w:color w:val="0000FF"/>
                <w:spacing w:val="0"/>
                <w:sz w:val="24"/>
                <w:szCs w:val="28"/>
              </w:rPr>
              <w:t>噪声等声值线</w:t>
            </w:r>
            <w:r>
              <w:rPr>
                <w:rFonts w:eastAsia="宋体"/>
                <w:b/>
                <w:color w:val="0000FF"/>
                <w:spacing w:val="0"/>
                <w:sz w:val="24"/>
                <w:szCs w:val="28"/>
              </w:rPr>
              <w:t>图</w:t>
            </w:r>
          </w:p>
          <w:p>
            <w:pPr>
              <w:pStyle w:val="94"/>
              <w:spacing w:beforeLines="50" w:line="360" w:lineRule="auto"/>
              <w:ind w:firstLine="0" w:firstLineChars="0"/>
              <w:rPr>
                <w:b/>
                <w:color w:val="0000FF"/>
                <w:spacing w:val="0"/>
                <w:sz w:val="24"/>
                <w:szCs w:val="28"/>
              </w:rPr>
            </w:pPr>
            <w:r>
              <w:rPr>
                <w:rFonts w:hint="eastAsia"/>
                <w:b/>
                <w:color w:val="0000FF"/>
                <w:spacing w:val="0"/>
                <w:sz w:val="24"/>
                <w:szCs w:val="28"/>
              </w:rPr>
              <w:t>4</w:t>
            </w:r>
            <w:r>
              <w:rPr>
                <w:b/>
                <w:color w:val="0000FF"/>
                <w:spacing w:val="0"/>
                <w:sz w:val="24"/>
                <w:szCs w:val="28"/>
              </w:rPr>
              <w:t>、固体废物环境影响分析</w:t>
            </w:r>
          </w:p>
          <w:p>
            <w:pPr>
              <w:pStyle w:val="104"/>
              <w:spacing w:line="360" w:lineRule="auto"/>
              <w:ind w:firstLine="504"/>
              <w:rPr>
                <w:rFonts w:hint="eastAsia" w:eastAsia="宋体"/>
                <w:color w:val="0000FF"/>
                <w:sz w:val="24"/>
              </w:rPr>
            </w:pPr>
            <w:r>
              <w:rPr>
                <w:rFonts w:hint="eastAsia" w:eastAsia="宋体"/>
                <w:color w:val="0000FF"/>
                <w:sz w:val="24"/>
              </w:rPr>
              <w:t>主要为沉淀池煤泥、布袋除尘器收集灰和工作人员生活垃圾。</w:t>
            </w:r>
          </w:p>
          <w:p>
            <w:pPr>
              <w:pStyle w:val="104"/>
              <w:spacing w:line="360" w:lineRule="auto"/>
              <w:ind w:firstLine="504"/>
              <w:rPr>
                <w:rFonts w:eastAsia="宋体"/>
                <w:color w:val="0000FF"/>
                <w:sz w:val="22"/>
              </w:rPr>
            </w:pPr>
            <w:r>
              <w:rPr>
                <w:rFonts w:eastAsia="宋体"/>
                <w:color w:val="0000FF"/>
                <w:sz w:val="24"/>
                <w:szCs w:val="22"/>
              </w:rPr>
              <w:t>员工产生的生活垃圾量为</w:t>
            </w:r>
            <w:r>
              <w:rPr>
                <w:rFonts w:hint="eastAsia" w:eastAsia="宋体"/>
                <w:color w:val="0000FF"/>
                <w:sz w:val="24"/>
                <w:szCs w:val="22"/>
              </w:rPr>
              <w:t>1.0</w:t>
            </w:r>
            <w:r>
              <w:rPr>
                <w:rFonts w:eastAsia="宋体"/>
                <w:color w:val="0000FF"/>
                <w:sz w:val="24"/>
                <w:szCs w:val="22"/>
              </w:rPr>
              <w:t>kg/d（</w:t>
            </w:r>
            <w:r>
              <w:rPr>
                <w:rFonts w:hint="eastAsia" w:eastAsia="宋体"/>
                <w:color w:val="0000FF"/>
                <w:sz w:val="24"/>
                <w:szCs w:val="22"/>
              </w:rPr>
              <w:t>0.3</w:t>
            </w:r>
            <w:r>
              <w:rPr>
                <w:rFonts w:eastAsia="宋体"/>
                <w:color w:val="0000FF"/>
                <w:sz w:val="24"/>
                <w:szCs w:val="22"/>
              </w:rPr>
              <w:t>t/a），生活垃圾集中收集后统一运送到当地环卫部门指定的地点。</w:t>
            </w:r>
          </w:p>
          <w:p>
            <w:pPr>
              <w:pStyle w:val="104"/>
              <w:spacing w:line="360" w:lineRule="auto"/>
              <w:ind w:firstLine="504"/>
              <w:rPr>
                <w:rFonts w:hint="eastAsia" w:eastAsia="宋体"/>
                <w:color w:val="0000FF"/>
                <w:sz w:val="24"/>
                <w:szCs w:val="22"/>
              </w:rPr>
            </w:pPr>
            <w:r>
              <w:rPr>
                <w:rFonts w:hint="eastAsia" w:eastAsia="宋体"/>
                <w:color w:val="0000FF"/>
                <w:sz w:val="24"/>
                <w:szCs w:val="22"/>
              </w:rPr>
              <w:t>沉淀池煤泥产生量约3t/a，定期清掏后外售。</w:t>
            </w:r>
          </w:p>
          <w:p>
            <w:pPr>
              <w:pStyle w:val="104"/>
              <w:spacing w:line="360" w:lineRule="auto"/>
              <w:ind w:firstLine="504"/>
              <w:rPr>
                <w:rFonts w:hint="eastAsia" w:eastAsia="宋体"/>
                <w:sz w:val="24"/>
                <w:szCs w:val="22"/>
              </w:rPr>
            </w:pPr>
            <w:r>
              <w:rPr>
                <w:rFonts w:hint="eastAsia" w:eastAsia="宋体"/>
                <w:color w:val="0000FF"/>
                <w:sz w:val="24"/>
              </w:rPr>
              <w:t>布袋除尘器收集灰22.31t/a，收集后外售。</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综上，项目产生的固体废物均可得到妥善的处置，对周围环境影响较小。</w:t>
            </w:r>
          </w:p>
          <w:p>
            <w:pPr>
              <w:spacing w:line="360" w:lineRule="auto"/>
              <w:ind w:firstLine="480" w:firstLineChars="200"/>
              <w:rPr>
                <w:rFonts w:hint="eastAsia"/>
                <w:sz w:val="24"/>
                <w:szCs w:val="28"/>
              </w:rPr>
            </w:pPr>
          </w:p>
          <w:p>
            <w:pPr>
              <w:spacing w:line="360" w:lineRule="auto"/>
              <w:ind w:firstLine="480" w:firstLineChars="200"/>
              <w:rPr>
                <w:rFonts w:hint="eastAsia"/>
                <w:sz w:val="24"/>
                <w:szCs w:val="28"/>
              </w:rPr>
            </w:pPr>
          </w:p>
          <w:p>
            <w:pPr>
              <w:spacing w:line="360" w:lineRule="auto"/>
              <w:ind w:firstLine="480" w:firstLineChars="200"/>
              <w:rPr>
                <w:rFonts w:hint="eastAsia"/>
                <w:sz w:val="24"/>
                <w:szCs w:val="28"/>
              </w:rPr>
            </w:pPr>
          </w:p>
          <w:p>
            <w:pPr>
              <w:spacing w:line="360" w:lineRule="auto"/>
              <w:ind w:firstLine="480" w:firstLineChars="200"/>
              <w:rPr>
                <w:rFonts w:hint="eastAsia"/>
                <w:sz w:val="24"/>
                <w:szCs w:val="28"/>
              </w:rPr>
            </w:pPr>
          </w:p>
          <w:p>
            <w:pPr>
              <w:spacing w:line="360" w:lineRule="auto"/>
              <w:ind w:firstLine="560" w:firstLineChars="200"/>
              <w:rPr>
                <w:sz w:val="28"/>
              </w:rPr>
            </w:pPr>
          </w:p>
        </w:tc>
      </w:tr>
    </w:tbl>
    <w:p>
      <w:pPr>
        <w:rPr>
          <w:rFonts w:eastAsia="黑体"/>
          <w:sz w:val="32"/>
        </w:rPr>
        <w:sectPr>
          <w:pgSz w:w="11907" w:h="16840"/>
          <w:pgMar w:top="1440" w:right="1797" w:bottom="1440" w:left="1797" w:header="851" w:footer="992" w:gutter="0"/>
          <w:cols w:space="720" w:num="1"/>
          <w:docGrid w:type="linesAndChars" w:linePitch="312" w:charSpace="0"/>
        </w:sectPr>
      </w:pPr>
    </w:p>
    <w:p>
      <w:pPr>
        <w:pStyle w:val="15"/>
        <w:adjustRightInd w:val="0"/>
        <w:snapToGrid w:val="0"/>
        <w:spacing w:after="0" w:line="360" w:lineRule="auto"/>
        <w:ind w:left="0" w:leftChars="0"/>
        <w:outlineLvl w:val="0"/>
        <w:rPr>
          <w:rFonts w:hint="eastAsia" w:eastAsia="黑体"/>
          <w:sz w:val="30"/>
          <w:szCs w:val="30"/>
        </w:rPr>
      </w:pPr>
      <w:r>
        <w:rPr>
          <w:rFonts w:eastAsia="黑体"/>
          <w:sz w:val="30"/>
          <w:szCs w:val="30"/>
        </w:rPr>
        <w:t>建设项目拟采取的防治措施及预期治理效果</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317"/>
        <w:gridCol w:w="1186"/>
        <w:gridCol w:w="2238"/>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153" w:type="dxa"/>
            <w:tcBorders>
              <w:tl2br w:val="single" w:color="auto" w:sz="4" w:space="0"/>
            </w:tcBorders>
          </w:tcPr>
          <w:p>
            <w:pPr>
              <w:spacing w:line="440" w:lineRule="exact"/>
              <w:jc w:val="right"/>
              <w:rPr>
                <w:color w:val="0000FF"/>
                <w:szCs w:val="21"/>
              </w:rPr>
            </w:pPr>
            <w:r>
              <w:rPr>
                <w:color w:val="0000FF"/>
                <w:szCs w:val="21"/>
              </w:rPr>
              <w:t>内容</w:t>
            </w:r>
          </w:p>
          <w:p>
            <w:pPr>
              <w:spacing w:line="440" w:lineRule="exact"/>
              <w:rPr>
                <w:color w:val="0000FF"/>
                <w:szCs w:val="21"/>
              </w:rPr>
            </w:pPr>
            <w:r>
              <w:rPr>
                <w:color w:val="0000FF"/>
                <w:szCs w:val="21"/>
              </w:rPr>
              <w:t>类型</w:t>
            </w:r>
          </w:p>
        </w:tc>
        <w:tc>
          <w:tcPr>
            <w:tcW w:w="1317" w:type="dxa"/>
            <w:vAlign w:val="center"/>
          </w:tcPr>
          <w:p>
            <w:pPr>
              <w:spacing w:line="420" w:lineRule="exact"/>
              <w:jc w:val="center"/>
              <w:rPr>
                <w:color w:val="0000FF"/>
                <w:szCs w:val="21"/>
              </w:rPr>
            </w:pPr>
            <w:r>
              <w:rPr>
                <w:color w:val="0000FF"/>
                <w:szCs w:val="21"/>
              </w:rPr>
              <w:t>排放源（编号）</w:t>
            </w:r>
          </w:p>
        </w:tc>
        <w:tc>
          <w:tcPr>
            <w:tcW w:w="1186" w:type="dxa"/>
            <w:vAlign w:val="center"/>
          </w:tcPr>
          <w:p>
            <w:pPr>
              <w:spacing w:line="440" w:lineRule="exact"/>
              <w:rPr>
                <w:color w:val="0000FF"/>
                <w:szCs w:val="21"/>
              </w:rPr>
            </w:pPr>
            <w:r>
              <w:rPr>
                <w:color w:val="0000FF"/>
                <w:szCs w:val="21"/>
              </w:rPr>
              <w:t>污染物名称</w:t>
            </w:r>
          </w:p>
        </w:tc>
        <w:tc>
          <w:tcPr>
            <w:tcW w:w="2238" w:type="dxa"/>
            <w:vAlign w:val="center"/>
          </w:tcPr>
          <w:p>
            <w:pPr>
              <w:spacing w:line="440" w:lineRule="exact"/>
              <w:jc w:val="center"/>
              <w:rPr>
                <w:color w:val="0000FF"/>
                <w:szCs w:val="21"/>
              </w:rPr>
            </w:pPr>
            <w:r>
              <w:rPr>
                <w:color w:val="0000FF"/>
                <w:szCs w:val="21"/>
              </w:rPr>
              <w:t>防治措施</w:t>
            </w:r>
          </w:p>
        </w:tc>
        <w:tc>
          <w:tcPr>
            <w:tcW w:w="2635" w:type="dxa"/>
            <w:vAlign w:val="center"/>
          </w:tcPr>
          <w:p>
            <w:pPr>
              <w:spacing w:line="440" w:lineRule="exact"/>
              <w:jc w:val="center"/>
              <w:rPr>
                <w:color w:val="0000FF"/>
                <w:szCs w:val="21"/>
              </w:rPr>
            </w:pPr>
            <w:r>
              <w:rPr>
                <w:color w:val="0000FF"/>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153" w:type="dxa"/>
            <w:vMerge w:val="restart"/>
            <w:vAlign w:val="center"/>
          </w:tcPr>
          <w:p>
            <w:pPr>
              <w:spacing w:line="400" w:lineRule="exact"/>
              <w:ind w:firstLine="105" w:firstLineChars="50"/>
              <w:rPr>
                <w:color w:val="0000FF"/>
                <w:szCs w:val="21"/>
              </w:rPr>
            </w:pPr>
            <w:r>
              <w:rPr>
                <w:color w:val="0000FF"/>
                <w:szCs w:val="21"/>
              </w:rPr>
              <w:t>大气</w:t>
            </w:r>
          </w:p>
          <w:p>
            <w:pPr>
              <w:spacing w:line="400" w:lineRule="exact"/>
              <w:ind w:firstLine="105" w:firstLineChars="50"/>
              <w:rPr>
                <w:color w:val="0000FF"/>
                <w:szCs w:val="21"/>
              </w:rPr>
            </w:pPr>
            <w:r>
              <w:rPr>
                <w:color w:val="0000FF"/>
                <w:szCs w:val="21"/>
              </w:rPr>
              <w:t>污染物</w:t>
            </w:r>
          </w:p>
        </w:tc>
        <w:tc>
          <w:tcPr>
            <w:tcW w:w="1317" w:type="dxa"/>
            <w:vAlign w:val="center"/>
          </w:tcPr>
          <w:p>
            <w:pPr>
              <w:ind w:left="107" w:hanging="107" w:hangingChars="51"/>
              <w:jc w:val="center"/>
              <w:rPr>
                <w:color w:val="0000FF"/>
                <w:szCs w:val="21"/>
              </w:rPr>
            </w:pPr>
            <w:r>
              <w:rPr>
                <w:rFonts w:hint="eastAsia"/>
                <w:color w:val="0000FF"/>
                <w:szCs w:val="21"/>
              </w:rPr>
              <w:t>堆场及装卸粉尘</w:t>
            </w:r>
          </w:p>
        </w:tc>
        <w:tc>
          <w:tcPr>
            <w:tcW w:w="1186" w:type="dxa"/>
            <w:vAlign w:val="center"/>
          </w:tcPr>
          <w:p>
            <w:pPr>
              <w:ind w:left="122" w:hanging="122"/>
              <w:jc w:val="center"/>
              <w:rPr>
                <w:color w:val="0000FF"/>
                <w:szCs w:val="21"/>
              </w:rPr>
            </w:pPr>
            <w:r>
              <w:rPr>
                <w:rFonts w:hint="eastAsia"/>
                <w:color w:val="0000FF"/>
                <w:szCs w:val="21"/>
              </w:rPr>
              <w:t>颗粒物</w:t>
            </w:r>
          </w:p>
        </w:tc>
        <w:tc>
          <w:tcPr>
            <w:tcW w:w="2238" w:type="dxa"/>
            <w:vAlign w:val="center"/>
          </w:tcPr>
          <w:p>
            <w:pPr>
              <w:ind w:left="122" w:hanging="122"/>
              <w:jc w:val="center"/>
              <w:rPr>
                <w:color w:val="0000FF"/>
                <w:szCs w:val="21"/>
              </w:rPr>
            </w:pPr>
            <w:r>
              <w:rPr>
                <w:rFonts w:hint="eastAsia"/>
                <w:color w:val="0000FF"/>
                <w:szCs w:val="21"/>
              </w:rPr>
              <w:t>全封闭库房、洒水抑尘</w:t>
            </w:r>
          </w:p>
        </w:tc>
        <w:tc>
          <w:tcPr>
            <w:tcW w:w="2635" w:type="dxa"/>
            <w:vMerge w:val="restart"/>
            <w:vAlign w:val="center"/>
          </w:tcPr>
          <w:p>
            <w:pPr>
              <w:spacing w:line="0" w:lineRule="atLeast"/>
              <w:jc w:val="center"/>
              <w:rPr>
                <w:color w:val="0000FF"/>
                <w:szCs w:val="21"/>
              </w:rPr>
            </w:pPr>
            <w:r>
              <w:rPr>
                <w:rFonts w:hint="eastAsia"/>
                <w:color w:val="0000FF"/>
                <w:szCs w:val="21"/>
              </w:rPr>
              <w:t>《煤炭工业污染物排放标准》（GB20426-2006）中表4和表5排放限值要求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1153" w:type="dxa"/>
            <w:vMerge w:val="continue"/>
            <w:vAlign w:val="center"/>
          </w:tcPr>
          <w:p>
            <w:pPr>
              <w:spacing w:line="400" w:lineRule="exact"/>
              <w:ind w:firstLine="105" w:firstLineChars="50"/>
              <w:rPr>
                <w:color w:val="0000FF"/>
                <w:szCs w:val="21"/>
              </w:rPr>
            </w:pPr>
          </w:p>
        </w:tc>
        <w:tc>
          <w:tcPr>
            <w:tcW w:w="1317" w:type="dxa"/>
            <w:vAlign w:val="center"/>
          </w:tcPr>
          <w:p>
            <w:pPr>
              <w:ind w:left="107" w:hanging="107" w:hangingChars="51"/>
              <w:jc w:val="center"/>
              <w:rPr>
                <w:color w:val="0000FF"/>
                <w:szCs w:val="21"/>
              </w:rPr>
            </w:pPr>
            <w:r>
              <w:rPr>
                <w:rFonts w:hint="eastAsia"/>
                <w:color w:val="0000FF"/>
                <w:szCs w:val="21"/>
              </w:rPr>
              <w:t>破碎筛分粉尘</w:t>
            </w:r>
          </w:p>
        </w:tc>
        <w:tc>
          <w:tcPr>
            <w:tcW w:w="1186" w:type="dxa"/>
            <w:vAlign w:val="center"/>
          </w:tcPr>
          <w:p>
            <w:pPr>
              <w:ind w:left="122" w:hanging="122"/>
              <w:jc w:val="center"/>
              <w:rPr>
                <w:color w:val="0000FF"/>
                <w:szCs w:val="21"/>
              </w:rPr>
            </w:pPr>
            <w:r>
              <w:rPr>
                <w:rFonts w:hint="eastAsia"/>
                <w:color w:val="0000FF"/>
                <w:szCs w:val="21"/>
              </w:rPr>
              <w:t>颗粒物</w:t>
            </w:r>
          </w:p>
        </w:tc>
        <w:tc>
          <w:tcPr>
            <w:tcW w:w="2238" w:type="dxa"/>
            <w:vAlign w:val="center"/>
          </w:tcPr>
          <w:p>
            <w:pPr>
              <w:ind w:left="122" w:hanging="122"/>
              <w:jc w:val="center"/>
              <w:rPr>
                <w:color w:val="0000FF"/>
                <w:szCs w:val="21"/>
              </w:rPr>
            </w:pPr>
            <w:r>
              <w:rPr>
                <w:rFonts w:hint="eastAsia"/>
                <w:color w:val="0000FF"/>
                <w:szCs w:val="21"/>
              </w:rPr>
              <w:t>1套布袋除尘器</w:t>
            </w:r>
          </w:p>
        </w:tc>
        <w:tc>
          <w:tcPr>
            <w:tcW w:w="2635" w:type="dxa"/>
            <w:vMerge w:val="continue"/>
            <w:vAlign w:val="center"/>
          </w:tcPr>
          <w:p>
            <w:pPr>
              <w:spacing w:line="0" w:lineRule="atLeas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153" w:type="dxa"/>
            <w:vMerge w:val="continue"/>
            <w:vAlign w:val="center"/>
          </w:tcPr>
          <w:p>
            <w:pPr>
              <w:spacing w:line="400" w:lineRule="exact"/>
              <w:ind w:firstLine="105" w:firstLineChars="50"/>
              <w:rPr>
                <w:color w:val="0000FF"/>
                <w:szCs w:val="21"/>
              </w:rPr>
            </w:pPr>
          </w:p>
        </w:tc>
        <w:tc>
          <w:tcPr>
            <w:tcW w:w="1317" w:type="dxa"/>
            <w:vAlign w:val="center"/>
          </w:tcPr>
          <w:p>
            <w:pPr>
              <w:ind w:left="107" w:hanging="107" w:hangingChars="51"/>
              <w:jc w:val="center"/>
              <w:rPr>
                <w:color w:val="0000FF"/>
                <w:szCs w:val="21"/>
              </w:rPr>
            </w:pPr>
            <w:r>
              <w:rPr>
                <w:rFonts w:hint="eastAsia"/>
                <w:color w:val="0000FF"/>
                <w:szCs w:val="21"/>
              </w:rPr>
              <w:t>皮带运输粉尘</w:t>
            </w:r>
          </w:p>
        </w:tc>
        <w:tc>
          <w:tcPr>
            <w:tcW w:w="1186" w:type="dxa"/>
            <w:vAlign w:val="center"/>
          </w:tcPr>
          <w:p>
            <w:pPr>
              <w:ind w:left="122" w:hanging="122"/>
              <w:jc w:val="center"/>
              <w:rPr>
                <w:color w:val="0000FF"/>
                <w:szCs w:val="21"/>
              </w:rPr>
            </w:pPr>
            <w:r>
              <w:rPr>
                <w:rFonts w:hint="eastAsia"/>
                <w:color w:val="0000FF"/>
                <w:szCs w:val="21"/>
              </w:rPr>
              <w:t>颗粒物</w:t>
            </w:r>
          </w:p>
        </w:tc>
        <w:tc>
          <w:tcPr>
            <w:tcW w:w="2238" w:type="dxa"/>
            <w:vAlign w:val="center"/>
          </w:tcPr>
          <w:p>
            <w:pPr>
              <w:ind w:left="122" w:hanging="122"/>
              <w:jc w:val="center"/>
              <w:rPr>
                <w:color w:val="0000FF"/>
                <w:szCs w:val="21"/>
              </w:rPr>
            </w:pPr>
            <w:r>
              <w:rPr>
                <w:rFonts w:hint="eastAsia"/>
                <w:color w:val="0000FF"/>
                <w:szCs w:val="21"/>
              </w:rPr>
              <w:t>皮带全封闭，洒水抑尘</w:t>
            </w:r>
          </w:p>
        </w:tc>
        <w:tc>
          <w:tcPr>
            <w:tcW w:w="2635" w:type="dxa"/>
            <w:vMerge w:val="continue"/>
            <w:vAlign w:val="center"/>
          </w:tcPr>
          <w:p>
            <w:pPr>
              <w:spacing w:line="0" w:lineRule="atLeas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1153" w:type="dxa"/>
            <w:vMerge w:val="continue"/>
            <w:vAlign w:val="center"/>
          </w:tcPr>
          <w:p>
            <w:pPr>
              <w:spacing w:line="400" w:lineRule="exact"/>
              <w:ind w:firstLine="105" w:firstLineChars="50"/>
              <w:rPr>
                <w:color w:val="0000FF"/>
                <w:szCs w:val="21"/>
              </w:rPr>
            </w:pPr>
          </w:p>
        </w:tc>
        <w:tc>
          <w:tcPr>
            <w:tcW w:w="1317" w:type="dxa"/>
            <w:vAlign w:val="center"/>
          </w:tcPr>
          <w:p>
            <w:pPr>
              <w:ind w:left="107" w:hanging="107" w:hangingChars="51"/>
              <w:jc w:val="center"/>
              <w:rPr>
                <w:color w:val="0000FF"/>
                <w:szCs w:val="21"/>
              </w:rPr>
            </w:pPr>
            <w:r>
              <w:rPr>
                <w:rFonts w:hint="eastAsia"/>
                <w:color w:val="0000FF"/>
                <w:szCs w:val="21"/>
              </w:rPr>
              <w:t>运输车辆扬尘</w:t>
            </w:r>
          </w:p>
        </w:tc>
        <w:tc>
          <w:tcPr>
            <w:tcW w:w="1186" w:type="dxa"/>
            <w:vAlign w:val="center"/>
          </w:tcPr>
          <w:p>
            <w:pPr>
              <w:ind w:left="122" w:hanging="122"/>
              <w:jc w:val="center"/>
              <w:rPr>
                <w:color w:val="0000FF"/>
                <w:szCs w:val="21"/>
              </w:rPr>
            </w:pPr>
            <w:r>
              <w:rPr>
                <w:rFonts w:hint="eastAsia"/>
                <w:color w:val="0000FF"/>
                <w:szCs w:val="21"/>
              </w:rPr>
              <w:t>颗粒物</w:t>
            </w:r>
          </w:p>
        </w:tc>
        <w:tc>
          <w:tcPr>
            <w:tcW w:w="2238" w:type="dxa"/>
            <w:vAlign w:val="center"/>
          </w:tcPr>
          <w:p>
            <w:pPr>
              <w:ind w:left="122" w:hanging="122"/>
              <w:jc w:val="center"/>
              <w:rPr>
                <w:color w:val="0000FF"/>
                <w:szCs w:val="21"/>
              </w:rPr>
            </w:pPr>
            <w:r>
              <w:rPr>
                <w:rFonts w:hint="eastAsia"/>
                <w:color w:val="0000FF"/>
                <w:szCs w:val="21"/>
              </w:rPr>
              <w:t>洒水抑尘</w:t>
            </w:r>
          </w:p>
        </w:tc>
        <w:tc>
          <w:tcPr>
            <w:tcW w:w="2635" w:type="dxa"/>
            <w:vMerge w:val="continue"/>
            <w:vAlign w:val="center"/>
          </w:tcPr>
          <w:p>
            <w:pPr>
              <w:spacing w:line="0" w:lineRule="atLeas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1153" w:type="dxa"/>
            <w:vMerge w:val="continue"/>
            <w:vAlign w:val="center"/>
          </w:tcPr>
          <w:p>
            <w:pPr>
              <w:spacing w:line="400" w:lineRule="exact"/>
              <w:ind w:firstLine="105" w:firstLineChars="50"/>
              <w:rPr>
                <w:color w:val="0000FF"/>
                <w:szCs w:val="21"/>
              </w:rPr>
            </w:pPr>
          </w:p>
        </w:tc>
        <w:tc>
          <w:tcPr>
            <w:tcW w:w="1317" w:type="dxa"/>
            <w:vAlign w:val="center"/>
          </w:tcPr>
          <w:p>
            <w:pPr>
              <w:ind w:left="107" w:hanging="107" w:hangingChars="51"/>
              <w:jc w:val="center"/>
              <w:rPr>
                <w:color w:val="0000FF"/>
                <w:szCs w:val="21"/>
              </w:rPr>
            </w:pPr>
            <w:r>
              <w:rPr>
                <w:rFonts w:hint="eastAsia"/>
                <w:color w:val="0000FF"/>
                <w:szCs w:val="21"/>
              </w:rPr>
              <w:t>汽车尾气</w:t>
            </w:r>
          </w:p>
        </w:tc>
        <w:tc>
          <w:tcPr>
            <w:tcW w:w="1186" w:type="dxa"/>
            <w:vAlign w:val="center"/>
          </w:tcPr>
          <w:p>
            <w:pPr>
              <w:ind w:left="122" w:hanging="122"/>
              <w:jc w:val="center"/>
              <w:rPr>
                <w:color w:val="0000FF"/>
                <w:szCs w:val="21"/>
              </w:rPr>
            </w:pPr>
            <w:r>
              <w:rPr>
                <w:rFonts w:hint="eastAsia"/>
                <w:color w:val="0000FF"/>
                <w:szCs w:val="21"/>
              </w:rPr>
              <w:t>HC、CO</w:t>
            </w:r>
          </w:p>
        </w:tc>
        <w:tc>
          <w:tcPr>
            <w:tcW w:w="2238" w:type="dxa"/>
            <w:vAlign w:val="center"/>
          </w:tcPr>
          <w:p>
            <w:pPr>
              <w:ind w:left="122" w:hanging="122"/>
              <w:jc w:val="center"/>
              <w:rPr>
                <w:color w:val="0000FF"/>
                <w:szCs w:val="21"/>
              </w:rPr>
            </w:pPr>
            <w:r>
              <w:rPr>
                <w:rFonts w:hint="eastAsia"/>
                <w:color w:val="0000FF"/>
                <w:szCs w:val="21"/>
              </w:rPr>
              <w:t>减速</w:t>
            </w:r>
          </w:p>
        </w:tc>
        <w:tc>
          <w:tcPr>
            <w:tcW w:w="2635" w:type="dxa"/>
            <w:vMerge w:val="continue"/>
            <w:vAlign w:val="center"/>
          </w:tcPr>
          <w:p>
            <w:pPr>
              <w:spacing w:line="0" w:lineRule="atLeas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1153" w:type="dxa"/>
            <w:vMerge w:val="restart"/>
            <w:vAlign w:val="center"/>
          </w:tcPr>
          <w:p>
            <w:pPr>
              <w:spacing w:line="440" w:lineRule="exact"/>
              <w:jc w:val="center"/>
              <w:rPr>
                <w:color w:val="0000FF"/>
                <w:szCs w:val="21"/>
              </w:rPr>
            </w:pPr>
            <w:r>
              <w:rPr>
                <w:color w:val="0000FF"/>
                <w:szCs w:val="21"/>
              </w:rPr>
              <w:t>水</w:t>
            </w:r>
          </w:p>
          <w:p>
            <w:pPr>
              <w:spacing w:line="440" w:lineRule="exact"/>
              <w:jc w:val="center"/>
              <w:rPr>
                <w:color w:val="0000FF"/>
                <w:szCs w:val="21"/>
              </w:rPr>
            </w:pPr>
            <w:r>
              <w:rPr>
                <w:color w:val="0000FF"/>
                <w:szCs w:val="21"/>
              </w:rPr>
              <w:t>污染物</w:t>
            </w:r>
          </w:p>
        </w:tc>
        <w:tc>
          <w:tcPr>
            <w:tcW w:w="1317" w:type="dxa"/>
            <w:vAlign w:val="center"/>
          </w:tcPr>
          <w:p>
            <w:pPr>
              <w:spacing w:line="400" w:lineRule="exact"/>
              <w:jc w:val="center"/>
              <w:rPr>
                <w:color w:val="0000FF"/>
                <w:szCs w:val="21"/>
              </w:rPr>
            </w:pPr>
            <w:r>
              <w:rPr>
                <w:color w:val="0000FF"/>
                <w:szCs w:val="21"/>
              </w:rPr>
              <w:t>生活污水</w:t>
            </w:r>
          </w:p>
        </w:tc>
        <w:tc>
          <w:tcPr>
            <w:tcW w:w="1186" w:type="dxa"/>
            <w:vAlign w:val="center"/>
          </w:tcPr>
          <w:p>
            <w:pPr>
              <w:spacing w:line="400" w:lineRule="exact"/>
              <w:jc w:val="center"/>
              <w:rPr>
                <w:color w:val="0000FF"/>
                <w:szCs w:val="21"/>
                <w:lang w:val="de-DE"/>
              </w:rPr>
            </w:pPr>
            <w:r>
              <w:rPr>
                <w:color w:val="0000FF"/>
                <w:szCs w:val="21"/>
                <w:lang w:val="de-DE"/>
              </w:rPr>
              <w:t>COD</w:t>
            </w:r>
            <w:r>
              <w:rPr>
                <w:color w:val="0000FF"/>
                <w:szCs w:val="21"/>
                <w:vertAlign w:val="subscript"/>
                <w:lang w:val="de-DE"/>
              </w:rPr>
              <w:t>cr</w:t>
            </w:r>
            <w:r>
              <w:rPr>
                <w:rFonts w:hint="eastAsia"/>
                <w:color w:val="0000FF"/>
                <w:szCs w:val="21"/>
                <w:lang w:val="de-DE"/>
              </w:rPr>
              <w:t>、</w:t>
            </w:r>
            <w:r>
              <w:rPr>
                <w:color w:val="0000FF"/>
                <w:szCs w:val="21"/>
                <w:lang w:val="de-DE"/>
              </w:rPr>
              <w:t>BOD</w:t>
            </w:r>
            <w:r>
              <w:rPr>
                <w:color w:val="0000FF"/>
                <w:szCs w:val="21"/>
                <w:vertAlign w:val="subscript"/>
                <w:lang w:val="de-DE"/>
              </w:rPr>
              <w:t>5</w:t>
            </w:r>
            <w:r>
              <w:rPr>
                <w:rFonts w:hint="eastAsia"/>
                <w:color w:val="0000FF"/>
                <w:szCs w:val="21"/>
                <w:lang w:val="de-DE"/>
              </w:rPr>
              <w:t>、</w:t>
            </w:r>
            <w:r>
              <w:rPr>
                <w:color w:val="0000FF"/>
                <w:szCs w:val="21"/>
                <w:lang w:val="de-DE"/>
              </w:rPr>
              <w:t>SS</w:t>
            </w:r>
            <w:r>
              <w:rPr>
                <w:rFonts w:hint="eastAsia"/>
                <w:color w:val="0000FF"/>
                <w:szCs w:val="21"/>
                <w:lang w:val="de-DE"/>
              </w:rPr>
              <w:t>、</w:t>
            </w:r>
            <w:r>
              <w:rPr>
                <w:color w:val="0000FF"/>
                <w:szCs w:val="21"/>
                <w:lang w:val="de-DE"/>
              </w:rPr>
              <w:t>NH</w:t>
            </w:r>
            <w:r>
              <w:rPr>
                <w:color w:val="0000FF"/>
                <w:szCs w:val="21"/>
                <w:vertAlign w:val="subscript"/>
                <w:lang w:val="de-DE"/>
              </w:rPr>
              <w:t>3</w:t>
            </w:r>
            <w:r>
              <w:rPr>
                <w:color w:val="0000FF"/>
                <w:szCs w:val="21"/>
                <w:lang w:val="de-DE"/>
              </w:rPr>
              <w:t>-N</w:t>
            </w:r>
          </w:p>
        </w:tc>
        <w:tc>
          <w:tcPr>
            <w:tcW w:w="2238" w:type="dxa"/>
            <w:vAlign w:val="center"/>
          </w:tcPr>
          <w:p>
            <w:pPr>
              <w:spacing w:line="400" w:lineRule="exact"/>
              <w:jc w:val="center"/>
              <w:rPr>
                <w:color w:val="0000FF"/>
                <w:szCs w:val="21"/>
              </w:rPr>
            </w:pPr>
            <w:r>
              <w:rPr>
                <w:rFonts w:hint="eastAsia"/>
                <w:color w:val="0000FF"/>
                <w:szCs w:val="21"/>
              </w:rPr>
              <w:t>厂区新建一座防渗旱厕，定期清掏</w:t>
            </w:r>
          </w:p>
        </w:tc>
        <w:tc>
          <w:tcPr>
            <w:tcW w:w="2635" w:type="dxa"/>
            <w:vMerge w:val="restart"/>
            <w:vAlign w:val="center"/>
          </w:tcPr>
          <w:p>
            <w:pPr>
              <w:spacing w:line="400" w:lineRule="exact"/>
              <w:jc w:val="center"/>
              <w:rPr>
                <w:color w:val="0000FF"/>
                <w:szCs w:val="21"/>
              </w:rPr>
            </w:pPr>
            <w:r>
              <w:rPr>
                <w:color w:val="0000FF"/>
                <w:szCs w:val="21"/>
              </w:rPr>
              <w:t>对环境无不利影响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1153" w:type="dxa"/>
            <w:vMerge w:val="continue"/>
            <w:vAlign w:val="center"/>
          </w:tcPr>
          <w:p>
            <w:pPr>
              <w:spacing w:line="440" w:lineRule="exact"/>
              <w:jc w:val="center"/>
              <w:rPr>
                <w:color w:val="0000FF"/>
                <w:szCs w:val="21"/>
              </w:rPr>
            </w:pPr>
          </w:p>
        </w:tc>
        <w:tc>
          <w:tcPr>
            <w:tcW w:w="1317" w:type="dxa"/>
            <w:vAlign w:val="center"/>
          </w:tcPr>
          <w:p>
            <w:pPr>
              <w:spacing w:line="400" w:lineRule="exact"/>
              <w:jc w:val="center"/>
              <w:rPr>
                <w:color w:val="0000FF"/>
                <w:szCs w:val="21"/>
              </w:rPr>
            </w:pPr>
            <w:r>
              <w:rPr>
                <w:rFonts w:hint="eastAsia"/>
                <w:color w:val="0000FF"/>
                <w:szCs w:val="21"/>
              </w:rPr>
              <w:t>洗车废水</w:t>
            </w:r>
          </w:p>
        </w:tc>
        <w:tc>
          <w:tcPr>
            <w:tcW w:w="1186" w:type="dxa"/>
            <w:vAlign w:val="center"/>
          </w:tcPr>
          <w:p>
            <w:pPr>
              <w:spacing w:line="400" w:lineRule="exact"/>
              <w:jc w:val="center"/>
              <w:rPr>
                <w:color w:val="0000FF"/>
                <w:szCs w:val="21"/>
                <w:lang w:val="de-DE"/>
              </w:rPr>
            </w:pPr>
            <w:r>
              <w:rPr>
                <w:rFonts w:hint="eastAsia"/>
                <w:color w:val="0000FF"/>
                <w:szCs w:val="21"/>
                <w:lang w:val="de-DE"/>
              </w:rPr>
              <w:t>SS</w:t>
            </w:r>
          </w:p>
        </w:tc>
        <w:tc>
          <w:tcPr>
            <w:tcW w:w="2238" w:type="dxa"/>
            <w:vAlign w:val="center"/>
          </w:tcPr>
          <w:p>
            <w:pPr>
              <w:spacing w:line="400" w:lineRule="exact"/>
              <w:jc w:val="center"/>
              <w:rPr>
                <w:rFonts w:hint="eastAsia"/>
                <w:color w:val="0000FF"/>
                <w:szCs w:val="21"/>
              </w:rPr>
            </w:pPr>
            <w:r>
              <w:rPr>
                <w:rFonts w:hint="eastAsia"/>
                <w:color w:val="0000FF"/>
                <w:szCs w:val="21"/>
              </w:rPr>
              <w:t>依托施工期1座20m</w:t>
            </w:r>
            <w:r>
              <w:rPr>
                <w:rFonts w:hint="eastAsia"/>
                <w:color w:val="0000FF"/>
                <w:szCs w:val="21"/>
                <w:vertAlign w:val="superscript"/>
              </w:rPr>
              <w:t>3</w:t>
            </w:r>
            <w:r>
              <w:rPr>
                <w:rFonts w:hint="eastAsia"/>
                <w:color w:val="0000FF"/>
                <w:szCs w:val="21"/>
              </w:rPr>
              <w:t>防渗沉淀池，沉淀后用于厂区泼洒抑尘</w:t>
            </w:r>
          </w:p>
        </w:tc>
        <w:tc>
          <w:tcPr>
            <w:tcW w:w="2635" w:type="dxa"/>
            <w:vMerge w:val="continue"/>
            <w:vAlign w:val="center"/>
          </w:tcPr>
          <w:p>
            <w:pPr>
              <w:spacing w:line="400" w:lineRule="exac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53" w:type="dxa"/>
            <w:vMerge w:val="restart"/>
            <w:vAlign w:val="center"/>
          </w:tcPr>
          <w:p>
            <w:pPr>
              <w:spacing w:line="440" w:lineRule="exact"/>
              <w:jc w:val="center"/>
              <w:rPr>
                <w:color w:val="0000FF"/>
                <w:szCs w:val="21"/>
              </w:rPr>
            </w:pPr>
            <w:r>
              <w:rPr>
                <w:color w:val="0000FF"/>
                <w:szCs w:val="21"/>
              </w:rPr>
              <w:t>固体</w:t>
            </w:r>
          </w:p>
          <w:p>
            <w:pPr>
              <w:spacing w:line="440" w:lineRule="exact"/>
              <w:jc w:val="center"/>
              <w:rPr>
                <w:color w:val="0000FF"/>
                <w:szCs w:val="21"/>
              </w:rPr>
            </w:pPr>
            <w:r>
              <w:rPr>
                <w:color w:val="0000FF"/>
                <w:szCs w:val="21"/>
              </w:rPr>
              <w:t>废弃物</w:t>
            </w:r>
          </w:p>
        </w:tc>
        <w:tc>
          <w:tcPr>
            <w:tcW w:w="2503" w:type="dxa"/>
            <w:gridSpan w:val="2"/>
            <w:vAlign w:val="center"/>
          </w:tcPr>
          <w:p>
            <w:pPr>
              <w:jc w:val="center"/>
              <w:rPr>
                <w:rFonts w:hint="eastAsia"/>
                <w:color w:val="0000FF"/>
                <w:szCs w:val="21"/>
              </w:rPr>
            </w:pPr>
            <w:r>
              <w:rPr>
                <w:rFonts w:hint="eastAsia"/>
                <w:color w:val="0000FF"/>
                <w:szCs w:val="21"/>
              </w:rPr>
              <w:t>沉淀池煤泥</w:t>
            </w:r>
          </w:p>
        </w:tc>
        <w:tc>
          <w:tcPr>
            <w:tcW w:w="2238" w:type="dxa"/>
            <w:vAlign w:val="center"/>
          </w:tcPr>
          <w:p>
            <w:pPr>
              <w:jc w:val="center"/>
              <w:rPr>
                <w:color w:val="0000FF"/>
                <w:szCs w:val="21"/>
              </w:rPr>
            </w:pPr>
            <w:r>
              <w:rPr>
                <w:rFonts w:hint="eastAsia"/>
                <w:color w:val="0000FF"/>
                <w:szCs w:val="21"/>
              </w:rPr>
              <w:t>收集后外售</w:t>
            </w:r>
          </w:p>
        </w:tc>
        <w:tc>
          <w:tcPr>
            <w:tcW w:w="2635" w:type="dxa"/>
            <w:vMerge w:val="restart"/>
            <w:vAlign w:val="center"/>
          </w:tcPr>
          <w:p>
            <w:pPr>
              <w:spacing w:line="400" w:lineRule="exact"/>
              <w:jc w:val="center"/>
              <w:rPr>
                <w:color w:val="0000FF"/>
                <w:szCs w:val="21"/>
              </w:rPr>
            </w:pPr>
            <w:r>
              <w:rPr>
                <w:rFonts w:hint="eastAsia"/>
                <w:color w:val="0000FF"/>
                <w:szCs w:val="21"/>
              </w:rPr>
              <w:t>不外排，对当地环境无危害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53" w:type="dxa"/>
            <w:vMerge w:val="continue"/>
            <w:vAlign w:val="center"/>
          </w:tcPr>
          <w:p>
            <w:pPr>
              <w:spacing w:line="440" w:lineRule="exact"/>
              <w:jc w:val="center"/>
              <w:rPr>
                <w:color w:val="0000FF"/>
                <w:szCs w:val="21"/>
              </w:rPr>
            </w:pPr>
          </w:p>
        </w:tc>
        <w:tc>
          <w:tcPr>
            <w:tcW w:w="2503" w:type="dxa"/>
            <w:gridSpan w:val="2"/>
            <w:vAlign w:val="center"/>
          </w:tcPr>
          <w:p>
            <w:pPr>
              <w:jc w:val="center"/>
              <w:rPr>
                <w:rFonts w:hint="eastAsia"/>
                <w:color w:val="0000FF"/>
                <w:szCs w:val="21"/>
              </w:rPr>
            </w:pPr>
            <w:r>
              <w:rPr>
                <w:rFonts w:hint="eastAsia"/>
                <w:color w:val="0000FF"/>
                <w:szCs w:val="21"/>
              </w:rPr>
              <w:t>布袋除尘器收集灰</w:t>
            </w:r>
          </w:p>
        </w:tc>
        <w:tc>
          <w:tcPr>
            <w:tcW w:w="2238" w:type="dxa"/>
            <w:vAlign w:val="center"/>
          </w:tcPr>
          <w:p>
            <w:pPr>
              <w:jc w:val="center"/>
              <w:rPr>
                <w:rFonts w:hint="eastAsia"/>
                <w:color w:val="0000FF"/>
                <w:szCs w:val="21"/>
              </w:rPr>
            </w:pPr>
            <w:r>
              <w:rPr>
                <w:rFonts w:hint="eastAsia"/>
                <w:color w:val="0000FF"/>
                <w:szCs w:val="21"/>
              </w:rPr>
              <w:t>收集后外售</w:t>
            </w:r>
          </w:p>
        </w:tc>
        <w:tc>
          <w:tcPr>
            <w:tcW w:w="2635" w:type="dxa"/>
            <w:vMerge w:val="continue"/>
            <w:vAlign w:val="center"/>
          </w:tcPr>
          <w:p>
            <w:pPr>
              <w:spacing w:line="400" w:lineRule="exact"/>
              <w:jc w:val="center"/>
              <w:rPr>
                <w:rFonts w:hint="eastAsia"/>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153" w:type="dxa"/>
            <w:vMerge w:val="continue"/>
            <w:vAlign w:val="center"/>
          </w:tcPr>
          <w:p>
            <w:pPr>
              <w:rPr>
                <w:color w:val="0000FF"/>
                <w:szCs w:val="21"/>
              </w:rPr>
            </w:pPr>
          </w:p>
        </w:tc>
        <w:tc>
          <w:tcPr>
            <w:tcW w:w="2503" w:type="dxa"/>
            <w:gridSpan w:val="2"/>
            <w:vAlign w:val="center"/>
          </w:tcPr>
          <w:p>
            <w:pPr>
              <w:jc w:val="center"/>
              <w:rPr>
                <w:color w:val="0000FF"/>
                <w:szCs w:val="21"/>
              </w:rPr>
            </w:pPr>
            <w:r>
              <w:rPr>
                <w:rFonts w:hint="eastAsia"/>
                <w:color w:val="0000FF"/>
                <w:szCs w:val="21"/>
              </w:rPr>
              <w:t>职工生活垃圾</w:t>
            </w:r>
          </w:p>
        </w:tc>
        <w:tc>
          <w:tcPr>
            <w:tcW w:w="2238" w:type="dxa"/>
            <w:vAlign w:val="center"/>
          </w:tcPr>
          <w:p>
            <w:pPr>
              <w:jc w:val="center"/>
              <w:rPr>
                <w:color w:val="0000FF"/>
                <w:szCs w:val="21"/>
              </w:rPr>
            </w:pPr>
            <w:r>
              <w:rPr>
                <w:rFonts w:hint="eastAsia"/>
                <w:color w:val="0000FF"/>
                <w:szCs w:val="21"/>
              </w:rPr>
              <w:t>收集后由环卫部门定时清理</w:t>
            </w:r>
          </w:p>
        </w:tc>
        <w:tc>
          <w:tcPr>
            <w:tcW w:w="2635" w:type="dxa"/>
            <w:vMerge w:val="continue"/>
            <w:vAlign w:val="center"/>
          </w:tcPr>
          <w:p>
            <w:pPr>
              <w:spacing w:line="400" w:lineRule="exac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1153" w:type="dxa"/>
            <w:tcBorders>
              <w:bottom w:val="single" w:color="auto" w:sz="4" w:space="0"/>
            </w:tcBorders>
            <w:vAlign w:val="center"/>
          </w:tcPr>
          <w:p>
            <w:pPr>
              <w:spacing w:line="440" w:lineRule="exact"/>
              <w:jc w:val="center"/>
              <w:rPr>
                <w:color w:val="0000FF"/>
                <w:szCs w:val="21"/>
              </w:rPr>
            </w:pPr>
            <w:r>
              <w:rPr>
                <w:color w:val="0000FF"/>
                <w:szCs w:val="21"/>
              </w:rPr>
              <w:t>噪声</w:t>
            </w:r>
          </w:p>
          <w:p>
            <w:pPr>
              <w:spacing w:line="440" w:lineRule="exact"/>
              <w:jc w:val="center"/>
              <w:rPr>
                <w:color w:val="0000FF"/>
                <w:szCs w:val="21"/>
              </w:rPr>
            </w:pPr>
            <w:r>
              <w:rPr>
                <w:color w:val="0000FF"/>
                <w:szCs w:val="21"/>
              </w:rPr>
              <w:t>污染</w:t>
            </w:r>
          </w:p>
        </w:tc>
        <w:tc>
          <w:tcPr>
            <w:tcW w:w="7376" w:type="dxa"/>
            <w:gridSpan w:val="4"/>
            <w:tcBorders>
              <w:bottom w:val="single" w:color="auto" w:sz="4" w:space="0"/>
            </w:tcBorders>
            <w:vAlign w:val="center"/>
          </w:tcPr>
          <w:p>
            <w:pPr>
              <w:spacing w:line="360" w:lineRule="auto"/>
              <w:rPr>
                <w:color w:val="0000FF"/>
                <w:szCs w:val="21"/>
              </w:rPr>
            </w:pPr>
            <w:r>
              <w:rPr>
                <w:color w:val="0000FF"/>
                <w:szCs w:val="21"/>
              </w:rPr>
              <w:t xml:space="preserve">噪声设备全部选用低噪声设备，噪声源设置在室内，采取隔声、减振措施，确保厂界达到《工业企业厂界环境噪声排放标准》（GB12348—2008）2类区标准；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trPr>
        <w:tc>
          <w:tcPr>
            <w:tcW w:w="1153" w:type="dxa"/>
            <w:tcBorders>
              <w:bottom w:val="single" w:color="auto" w:sz="4" w:space="0"/>
            </w:tcBorders>
            <w:vAlign w:val="center"/>
          </w:tcPr>
          <w:p>
            <w:pPr>
              <w:spacing w:line="440" w:lineRule="exact"/>
              <w:ind w:firstLine="210" w:firstLineChars="100"/>
              <w:rPr>
                <w:szCs w:val="21"/>
              </w:rPr>
            </w:pPr>
            <w:r>
              <w:rPr>
                <w:szCs w:val="21"/>
              </w:rPr>
              <w:t>其它</w:t>
            </w:r>
          </w:p>
        </w:tc>
        <w:tc>
          <w:tcPr>
            <w:tcW w:w="7376" w:type="dxa"/>
            <w:gridSpan w:val="4"/>
            <w:tcBorders>
              <w:bottom w:val="single" w:color="auto" w:sz="4" w:space="0"/>
            </w:tcBorders>
            <w:vAlign w:val="center"/>
          </w:tcPr>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rFonts w:hint="eastAsia"/>
                <w:szCs w:val="21"/>
              </w:rPr>
            </w:pPr>
          </w:p>
          <w:p>
            <w:pPr>
              <w:spacing w:line="400" w:lineRule="exact"/>
              <w:rPr>
                <w:szCs w:val="21"/>
              </w:rPr>
            </w:pPr>
          </w:p>
        </w:tc>
      </w:tr>
    </w:tbl>
    <w:p>
      <w:pPr>
        <w:pStyle w:val="15"/>
        <w:adjustRightInd w:val="0"/>
        <w:snapToGrid w:val="0"/>
        <w:spacing w:after="0" w:line="360" w:lineRule="auto"/>
        <w:ind w:left="0" w:leftChars="0"/>
        <w:outlineLvl w:val="0"/>
        <w:rPr>
          <w:rFonts w:eastAsia="黑体"/>
          <w:sz w:val="30"/>
          <w:szCs w:val="30"/>
        </w:rPr>
      </w:pPr>
      <w:r>
        <w:rPr>
          <w:rFonts w:eastAsia="黑体"/>
          <w:sz w:val="30"/>
          <w:szCs w:val="30"/>
        </w:rPr>
        <w:t>污染防治措施及预期效果</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5" w:hRule="atLeast"/>
        </w:trPr>
        <w:tc>
          <w:tcPr>
            <w:tcW w:w="8421" w:type="dxa"/>
            <w:tcBorders>
              <w:bottom w:val="nil"/>
            </w:tcBorders>
          </w:tcPr>
          <w:p>
            <w:pPr>
              <w:adjustRightInd w:val="0"/>
              <w:snapToGrid w:val="0"/>
              <w:spacing w:line="360" w:lineRule="auto"/>
              <w:jc w:val="left"/>
              <w:rPr>
                <w:b/>
                <w:sz w:val="28"/>
                <w:szCs w:val="28"/>
              </w:rPr>
            </w:pPr>
            <w:r>
              <w:rPr>
                <w:b/>
                <w:sz w:val="28"/>
                <w:szCs w:val="28"/>
              </w:rPr>
              <w:t>施工期污染防治措施及预期效果分析</w:t>
            </w:r>
          </w:p>
          <w:p>
            <w:pPr>
              <w:adjustRightInd w:val="0"/>
              <w:snapToGrid w:val="0"/>
              <w:spacing w:line="360" w:lineRule="auto"/>
              <w:ind w:firstLine="480" w:firstLineChars="200"/>
              <w:jc w:val="left"/>
              <w:rPr>
                <w:b/>
                <w:bCs/>
                <w:color w:val="0000FF"/>
                <w:sz w:val="24"/>
              </w:rPr>
            </w:pPr>
            <w:r>
              <w:rPr>
                <w:b/>
                <w:bCs/>
                <w:color w:val="0000FF"/>
                <w:sz w:val="24"/>
              </w:rPr>
              <w:t>1、废气防治措施</w:t>
            </w:r>
          </w:p>
          <w:p>
            <w:pPr>
              <w:adjustRightInd w:val="0"/>
              <w:snapToGrid w:val="0"/>
              <w:spacing w:line="360" w:lineRule="auto"/>
              <w:ind w:firstLine="480" w:firstLineChars="200"/>
              <w:jc w:val="left"/>
              <w:rPr>
                <w:color w:val="0000FF"/>
                <w:sz w:val="24"/>
              </w:rPr>
            </w:pPr>
            <w:r>
              <w:rPr>
                <w:bCs/>
                <w:color w:val="0000FF"/>
                <w:sz w:val="24"/>
              </w:rPr>
              <w:t>（1）</w:t>
            </w:r>
            <w:r>
              <w:rPr>
                <w:color w:val="0000FF"/>
                <w:sz w:val="24"/>
              </w:rPr>
              <w:t>施工机械和运输车辆所排放的尾气</w:t>
            </w:r>
          </w:p>
          <w:p>
            <w:pPr>
              <w:adjustRightInd w:val="0"/>
              <w:snapToGrid w:val="0"/>
              <w:spacing w:line="360" w:lineRule="auto"/>
              <w:ind w:firstLine="480" w:firstLineChars="200"/>
              <w:jc w:val="left"/>
              <w:rPr>
                <w:color w:val="0000FF"/>
                <w:sz w:val="24"/>
              </w:rPr>
            </w:pPr>
            <w:r>
              <w:rPr>
                <w:color w:val="0000FF"/>
                <w:sz w:val="24"/>
              </w:rPr>
              <w:t>施工期间，汽车尾气的排放局限于施工现场和运输沿线，排放量小，且属于间断无组织排放，加之施工场地开阔，扩散条件良好，因此不会对大气环境造成太大的影响。但为尽可能减轻汽车尾气产生的污染，降低对施工区局部环境的影响，应采取以下措施：</w:t>
            </w:r>
          </w:p>
          <w:p>
            <w:pPr>
              <w:adjustRightInd w:val="0"/>
              <w:snapToGrid w:val="0"/>
              <w:spacing w:line="360" w:lineRule="auto"/>
              <w:ind w:firstLine="480" w:firstLineChars="200"/>
              <w:jc w:val="left"/>
              <w:rPr>
                <w:color w:val="0000FF"/>
                <w:sz w:val="24"/>
              </w:rPr>
            </w:pPr>
            <w:r>
              <w:rPr>
                <w:color w:val="0000FF"/>
                <w:sz w:val="24"/>
              </w:rPr>
              <w:t>①加强对施工车辆的检修和维护，严禁使用超期服役和尾气超标的车辆；</w:t>
            </w:r>
          </w:p>
          <w:p>
            <w:pPr>
              <w:adjustRightInd w:val="0"/>
              <w:snapToGrid w:val="0"/>
              <w:spacing w:line="360" w:lineRule="auto"/>
              <w:ind w:firstLine="480" w:firstLineChars="200"/>
              <w:jc w:val="left"/>
              <w:rPr>
                <w:color w:val="0000FF"/>
                <w:sz w:val="24"/>
              </w:rPr>
            </w:pPr>
            <w:r>
              <w:rPr>
                <w:color w:val="0000FF"/>
                <w:sz w:val="24"/>
              </w:rPr>
              <w:t>②尽可能使用气动和电动的设备、机械，或使用优质燃油，以减少机械和车辆有害气体排放；</w:t>
            </w:r>
          </w:p>
          <w:p>
            <w:pPr>
              <w:adjustRightInd w:val="0"/>
              <w:snapToGrid w:val="0"/>
              <w:spacing w:line="360" w:lineRule="auto"/>
              <w:ind w:firstLine="480" w:firstLineChars="200"/>
              <w:jc w:val="left"/>
              <w:rPr>
                <w:color w:val="0000FF"/>
                <w:sz w:val="24"/>
              </w:rPr>
            </w:pPr>
            <w:r>
              <w:rPr>
                <w:color w:val="0000FF"/>
                <w:sz w:val="24"/>
              </w:rPr>
              <w:t>③合理规划施工进度及进入厂区的车流量，防止施工现场车流量过大。</w:t>
            </w:r>
          </w:p>
          <w:p>
            <w:pPr>
              <w:adjustRightInd w:val="0"/>
              <w:snapToGrid w:val="0"/>
              <w:spacing w:line="360" w:lineRule="auto"/>
              <w:ind w:firstLine="480" w:firstLineChars="200"/>
              <w:jc w:val="left"/>
              <w:rPr>
                <w:bCs/>
                <w:color w:val="0000FF"/>
                <w:sz w:val="24"/>
              </w:rPr>
            </w:pPr>
            <w:r>
              <w:rPr>
                <w:color w:val="0000FF"/>
                <w:sz w:val="24"/>
              </w:rPr>
              <w:t>随着施工结束，施工机械设备尾气也将停止排放。采取上述措施后，对周围环境空气质量状况影响不大。</w:t>
            </w:r>
          </w:p>
          <w:p>
            <w:pPr>
              <w:spacing w:line="360" w:lineRule="auto"/>
              <w:ind w:firstLine="480" w:firstLineChars="200"/>
              <w:jc w:val="left"/>
              <w:rPr>
                <w:bCs/>
                <w:color w:val="0000FF"/>
                <w:sz w:val="24"/>
              </w:rPr>
            </w:pPr>
            <w:r>
              <w:rPr>
                <w:bCs/>
                <w:color w:val="0000FF"/>
                <w:sz w:val="24"/>
              </w:rPr>
              <w:t>（2）施工扬尘</w:t>
            </w:r>
          </w:p>
          <w:p>
            <w:pPr>
              <w:spacing w:line="360" w:lineRule="auto"/>
              <w:ind w:firstLine="480" w:firstLineChars="200"/>
              <w:jc w:val="left"/>
              <w:rPr>
                <w:b/>
                <w:color w:val="0000FF"/>
                <w:sz w:val="24"/>
              </w:rPr>
            </w:pPr>
            <w:r>
              <w:rPr>
                <w:b/>
                <w:color w:val="0000FF"/>
                <w:sz w:val="24"/>
              </w:rPr>
              <w:t>1）参照《市政和房建工程施工扬尘防治“六个百分之百”工作标准》，进一步细化施工扬尘防治管理办法，将“六个百分之百”标准纳入日常动态监管内容，督促工程参建各方严格按照扬尘管控工作要求，加大施工扬尘污染的治理力度。</w:t>
            </w:r>
          </w:p>
          <w:p>
            <w:pPr>
              <w:adjustRightInd w:val="0"/>
              <w:snapToGrid w:val="0"/>
              <w:spacing w:line="360" w:lineRule="auto"/>
              <w:ind w:firstLine="480" w:firstLineChars="200"/>
              <w:jc w:val="left"/>
              <w:rPr>
                <w:color w:val="0000FF"/>
                <w:sz w:val="24"/>
              </w:rPr>
            </w:pPr>
            <w:r>
              <w:rPr>
                <w:color w:val="0000FF"/>
                <w:sz w:val="24"/>
              </w:rPr>
              <w:t>①施工工地周边100%围挡</w:t>
            </w:r>
          </w:p>
          <w:p>
            <w:pPr>
              <w:adjustRightInd w:val="0"/>
              <w:snapToGrid w:val="0"/>
              <w:spacing w:line="360" w:lineRule="auto"/>
              <w:ind w:firstLine="480" w:firstLineChars="200"/>
              <w:jc w:val="left"/>
              <w:rPr>
                <w:color w:val="0000FF"/>
                <w:sz w:val="24"/>
              </w:rPr>
            </w:pPr>
            <w:r>
              <w:rPr>
                <w:color w:val="0000FF"/>
                <w:sz w:val="24"/>
              </w:rPr>
              <w:t>施工现场应设置稳固、整齐、美观并符合安全标准要求的连续封闭式围挡；围挡底部应设置30厘米防溢座，防止泥浆外漏；房屋建筑工程施工期在30天以上的，必须设置不低于2.5米的围墙，工期在30天以内的可设置彩钢围挡。市政道路、桥梁、各类管线敷设工程在城市主要干道、景观地区、繁华区域及车站广场施工的，其边界应设置不低于2米的定型化、工具化、坚固安全的连续封闭式围挡，围挡之间以及围挡与防溢座之间无缝隙。</w:t>
            </w:r>
          </w:p>
          <w:p>
            <w:pPr>
              <w:adjustRightInd w:val="0"/>
              <w:snapToGrid w:val="0"/>
              <w:spacing w:line="360" w:lineRule="auto"/>
              <w:ind w:firstLine="480" w:firstLineChars="200"/>
              <w:jc w:val="left"/>
              <w:rPr>
                <w:color w:val="0000FF"/>
                <w:sz w:val="24"/>
              </w:rPr>
            </w:pPr>
            <w:r>
              <w:rPr>
                <w:color w:val="0000FF"/>
                <w:sz w:val="24"/>
              </w:rPr>
              <w:t>②物料堆放100%覆盖</w:t>
            </w:r>
          </w:p>
          <w:p>
            <w:pPr>
              <w:adjustRightInd w:val="0"/>
              <w:snapToGrid w:val="0"/>
              <w:spacing w:line="360" w:lineRule="auto"/>
              <w:ind w:firstLine="480" w:firstLineChars="200"/>
              <w:jc w:val="left"/>
              <w:rPr>
                <w:color w:val="0000FF"/>
                <w:sz w:val="24"/>
              </w:rPr>
            </w:pPr>
            <w:r>
              <w:rPr>
                <w:color w:val="0000FF"/>
                <w:sz w:val="24"/>
              </w:rPr>
              <w:t>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pPr>
              <w:adjustRightInd w:val="0"/>
              <w:snapToGrid w:val="0"/>
              <w:spacing w:line="360" w:lineRule="auto"/>
              <w:ind w:firstLine="480" w:firstLineChars="200"/>
              <w:jc w:val="left"/>
              <w:rPr>
                <w:color w:val="0000FF"/>
                <w:sz w:val="24"/>
              </w:rPr>
            </w:pPr>
            <w:r>
              <w:rPr>
                <w:color w:val="0000FF"/>
                <w:sz w:val="24"/>
              </w:rPr>
              <w:t>③出入车辆100%冲洗</w:t>
            </w:r>
          </w:p>
          <w:p>
            <w:pPr>
              <w:adjustRightInd w:val="0"/>
              <w:snapToGrid w:val="0"/>
              <w:spacing w:line="360" w:lineRule="auto"/>
              <w:ind w:firstLine="480" w:firstLineChars="200"/>
              <w:jc w:val="left"/>
              <w:rPr>
                <w:color w:val="0000FF"/>
                <w:sz w:val="24"/>
              </w:rPr>
            </w:pPr>
            <w:r>
              <w:rPr>
                <w:color w:val="0000FF"/>
                <w:sz w:val="24"/>
              </w:rPr>
              <w:t>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运输车出场前应冲洗干净确保车轮、车身不带泥；应建立车辆冲洗台账；不具备设置冲洗台条件的，在工地出入口采取铺设麻袋、安排保洁人员及时清理等措施。</w:t>
            </w:r>
          </w:p>
          <w:p>
            <w:pPr>
              <w:adjustRightInd w:val="0"/>
              <w:snapToGrid w:val="0"/>
              <w:spacing w:line="360" w:lineRule="auto"/>
              <w:ind w:firstLine="480" w:firstLineChars="200"/>
              <w:jc w:val="left"/>
              <w:rPr>
                <w:color w:val="0000FF"/>
                <w:sz w:val="24"/>
              </w:rPr>
            </w:pPr>
            <w:r>
              <w:rPr>
                <w:color w:val="0000FF"/>
                <w:sz w:val="24"/>
              </w:rPr>
              <w:t>④施工现场地面100%硬化：施工现场出入口、操作场地、材料堆场、生活区、场内道路等应采取铺设钢板、水泥混凝土、沥青混凝土或焦渣、细石或其他功能相当的材料进行硬化，并辅以洒水、喷洒抑尘剂等其他有效的防尘措施，保证不扬尘、不泥泞；场地硬化的强度、厚度、宽度应满足安全通行卫生保洁的需要。</w:t>
            </w:r>
          </w:p>
          <w:p>
            <w:pPr>
              <w:adjustRightInd w:val="0"/>
              <w:snapToGrid w:val="0"/>
              <w:spacing w:line="360" w:lineRule="auto"/>
              <w:ind w:firstLine="480" w:firstLineChars="200"/>
              <w:jc w:val="left"/>
              <w:rPr>
                <w:color w:val="0000FF"/>
                <w:sz w:val="24"/>
              </w:rPr>
            </w:pPr>
            <w:r>
              <w:rPr>
                <w:color w:val="0000FF"/>
                <w:sz w:val="24"/>
              </w:rPr>
              <w:t>⑤拆迁工地100%湿法作业：旧建筑物拆除施工应严格落实文明施工和作业标准，配备洒水、喷雾等防尘设备和设施，施工时要采取湿法作业，进行洒水、喷雾抑尘,拆除的垃圾必须随拆随清运。</w:t>
            </w:r>
          </w:p>
          <w:p>
            <w:pPr>
              <w:adjustRightInd w:val="0"/>
              <w:snapToGrid w:val="0"/>
              <w:spacing w:line="360" w:lineRule="auto"/>
              <w:ind w:firstLine="480" w:firstLineChars="200"/>
              <w:jc w:val="left"/>
              <w:rPr>
                <w:color w:val="0000FF"/>
                <w:sz w:val="24"/>
              </w:rPr>
            </w:pPr>
            <w:r>
              <w:rPr>
                <w:color w:val="0000FF"/>
                <w:sz w:val="24"/>
              </w:rPr>
              <w:t>⑥渣土车辆100%密闭运输：进出工地车辆应采取密闭车斗，并保证物料不遗撒外漏。若无密闭车斗，物料、垃圾、渣土的装载与车厢持平，不得超高；车斗应用苫布盖严、捆实，车厢左右侧各三竖道，车后十字交叉并收紧，保证物料、垃圾、渣土等不露出、不遗撒。车辆运输不得超过车辆荷载，不得私自加装、改装车辆槽帮。渣土运输车辆必须安装GPS装置，时速不得超过60公里。</w:t>
            </w:r>
          </w:p>
          <w:p>
            <w:pPr>
              <w:adjustRightInd w:val="0"/>
              <w:snapToGrid w:val="0"/>
              <w:spacing w:line="360" w:lineRule="auto"/>
              <w:ind w:firstLine="480" w:firstLineChars="200"/>
              <w:jc w:val="left"/>
              <w:rPr>
                <w:color w:val="0000FF"/>
                <w:sz w:val="24"/>
              </w:rPr>
            </w:pPr>
            <w:r>
              <w:rPr>
                <w:color w:val="0000FF"/>
                <w:sz w:val="24"/>
              </w:rPr>
              <w:t>（2）本项目施工扬尘除采取以上扬尘防治“六个百分之百”措施之外，还应采取以下措施，以减少施工扬尘对周围环境的影响：</w:t>
            </w:r>
          </w:p>
          <w:p>
            <w:pPr>
              <w:adjustRightInd w:val="0"/>
              <w:snapToGrid w:val="0"/>
              <w:spacing w:line="360" w:lineRule="auto"/>
              <w:ind w:firstLine="480" w:firstLineChars="200"/>
              <w:jc w:val="left"/>
              <w:rPr>
                <w:color w:val="0000FF"/>
                <w:sz w:val="24"/>
              </w:rPr>
            </w:pPr>
            <w:r>
              <w:rPr>
                <w:color w:val="0000FF"/>
                <w:sz w:val="24"/>
              </w:rPr>
              <w:t>①采取配置工地滞尘防护网、设置围墙，优先修建好进厂道路，必要时采用洒水以降低和防治二次扬尘。</w:t>
            </w:r>
          </w:p>
          <w:p>
            <w:pPr>
              <w:adjustRightInd w:val="0"/>
              <w:snapToGrid w:val="0"/>
              <w:spacing w:line="360" w:lineRule="auto"/>
              <w:ind w:firstLine="480" w:firstLineChars="200"/>
              <w:jc w:val="left"/>
              <w:rPr>
                <w:color w:val="0000FF"/>
                <w:sz w:val="24"/>
              </w:rPr>
            </w:pPr>
            <w:r>
              <w:rPr>
                <w:color w:val="0000FF"/>
                <w:sz w:val="24"/>
              </w:rPr>
              <w:t>②在土方平整阶段，运输车辆必须做到净车进出场，最大限度减少渣士撒落造成扬尘污染。在运输、装卸建筑材料时，应采用封闭车辆运输。</w:t>
            </w:r>
          </w:p>
          <w:p>
            <w:pPr>
              <w:adjustRightInd w:val="0"/>
              <w:snapToGrid w:val="0"/>
              <w:spacing w:line="360" w:lineRule="auto"/>
              <w:ind w:firstLine="480" w:firstLineChars="200"/>
              <w:jc w:val="left"/>
              <w:rPr>
                <w:color w:val="0000FF"/>
                <w:sz w:val="24"/>
              </w:rPr>
            </w:pPr>
            <w:r>
              <w:rPr>
                <w:color w:val="0000FF"/>
                <w:sz w:val="24"/>
              </w:rPr>
              <w:t>③遇到干燥、易起尘的土方工程作业时，应辅以洒水压尘，尽量缩短起尘操作时间。四级或四级以上大风天气，应停止土方作业，同时作业处覆以防尘网。</w:t>
            </w:r>
          </w:p>
          <w:p>
            <w:pPr>
              <w:adjustRightInd w:val="0"/>
              <w:snapToGrid w:val="0"/>
              <w:spacing w:line="360" w:lineRule="auto"/>
              <w:ind w:firstLine="480" w:firstLineChars="200"/>
              <w:jc w:val="left"/>
              <w:rPr>
                <w:color w:val="0000FF"/>
                <w:sz w:val="24"/>
              </w:rPr>
            </w:pPr>
            <w:r>
              <w:rPr>
                <w:color w:val="0000FF"/>
                <w:sz w:val="24"/>
              </w:rPr>
              <w:t>④施工过程中使用水泥、石灰、砂石、铺装材料等易产生扬尘的建筑材料，应采取密封存储、用防尘布遮盖等措施。</w:t>
            </w:r>
          </w:p>
          <w:p>
            <w:pPr>
              <w:adjustRightInd w:val="0"/>
              <w:snapToGrid w:val="0"/>
              <w:spacing w:line="360" w:lineRule="auto"/>
              <w:ind w:firstLine="480" w:firstLineChars="200"/>
              <w:jc w:val="left"/>
              <w:rPr>
                <w:color w:val="0000FF"/>
                <w:sz w:val="24"/>
              </w:rPr>
            </w:pPr>
            <w:r>
              <w:rPr>
                <w:color w:val="0000FF"/>
                <w:sz w:val="24"/>
              </w:rPr>
              <w:t>⑤施工过程中产生的建筑垃圾，应及时清运。若在工地内堆置超过一周的，则应采取覆盖防尘布，定期喷水抑尘等措施，防止风蚀起尘及水蚀迁移。</w:t>
            </w:r>
          </w:p>
          <w:p>
            <w:pPr>
              <w:adjustRightInd w:val="0"/>
              <w:snapToGrid w:val="0"/>
              <w:spacing w:line="360" w:lineRule="auto"/>
              <w:ind w:firstLine="480" w:firstLineChars="200"/>
              <w:jc w:val="left"/>
              <w:rPr>
                <w:color w:val="0000FF"/>
                <w:sz w:val="24"/>
              </w:rPr>
            </w:pPr>
            <w:r>
              <w:rPr>
                <w:color w:val="0000FF"/>
                <w:sz w:val="24"/>
              </w:rPr>
              <w:t>⑥运输车辆尽可能采用密闭车斗，并保证物料不遗撒外漏。若无密闭车斗，物料、垃圾、渣土的装载高度不得超过车辆槽帮上沿，车斗应用苫布遮盖严实，保证物料、渣士、垃圾不露出。</w:t>
            </w:r>
          </w:p>
          <w:p>
            <w:pPr>
              <w:adjustRightInd w:val="0"/>
              <w:snapToGrid w:val="0"/>
              <w:spacing w:line="360" w:lineRule="auto"/>
              <w:ind w:firstLine="480" w:firstLineChars="200"/>
              <w:jc w:val="left"/>
              <w:rPr>
                <w:color w:val="0000FF"/>
                <w:sz w:val="24"/>
              </w:rPr>
            </w:pPr>
            <w:r>
              <w:rPr>
                <w:color w:val="0000FF"/>
                <w:sz w:val="24"/>
              </w:rPr>
              <w:t>⑦不得现场搅拌消化石灰及拌石灰土等，尽量使用成品或半成品石材、木制品，实施装配式施工，减少因切割造成的扬尘。</w:t>
            </w:r>
          </w:p>
          <w:p>
            <w:pPr>
              <w:adjustRightInd w:val="0"/>
              <w:snapToGrid w:val="0"/>
              <w:spacing w:line="360" w:lineRule="auto"/>
              <w:ind w:firstLine="480" w:firstLineChars="200"/>
              <w:jc w:val="left"/>
              <w:rPr>
                <w:b/>
                <w:bCs/>
                <w:color w:val="0000FF"/>
                <w:sz w:val="24"/>
              </w:rPr>
            </w:pPr>
            <w:r>
              <w:rPr>
                <w:b/>
                <w:bCs/>
                <w:color w:val="0000FF"/>
                <w:sz w:val="24"/>
              </w:rPr>
              <w:t>2、废水防治措施</w:t>
            </w:r>
          </w:p>
          <w:p>
            <w:pPr>
              <w:adjustRightInd w:val="0"/>
              <w:snapToGrid w:val="0"/>
              <w:spacing w:line="360" w:lineRule="auto"/>
              <w:ind w:firstLine="480" w:firstLineChars="200"/>
              <w:jc w:val="left"/>
              <w:rPr>
                <w:color w:val="0000FF"/>
                <w:sz w:val="24"/>
              </w:rPr>
            </w:pPr>
            <w:r>
              <w:rPr>
                <w:color w:val="0000FF"/>
                <w:sz w:val="24"/>
              </w:rPr>
              <w:t>项目施工过程产生的废水，主要为施工人员生活污水和施工机械、建筑材料砂石等冲洗废水。</w:t>
            </w:r>
          </w:p>
          <w:p>
            <w:pPr>
              <w:adjustRightInd w:val="0"/>
              <w:snapToGrid w:val="0"/>
              <w:spacing w:line="360" w:lineRule="auto"/>
              <w:ind w:firstLine="480" w:firstLineChars="200"/>
              <w:jc w:val="left"/>
              <w:rPr>
                <w:color w:val="0000FF"/>
                <w:sz w:val="24"/>
              </w:rPr>
            </w:pPr>
            <w:r>
              <w:rPr>
                <w:color w:val="0000FF"/>
                <w:sz w:val="24"/>
              </w:rPr>
              <w:t>（1）生活污水</w:t>
            </w:r>
          </w:p>
          <w:p>
            <w:pPr>
              <w:adjustRightInd w:val="0"/>
              <w:snapToGrid w:val="0"/>
              <w:spacing w:line="360" w:lineRule="auto"/>
              <w:ind w:firstLine="480" w:firstLineChars="200"/>
              <w:jc w:val="left"/>
              <w:rPr>
                <w:color w:val="0000FF"/>
                <w:sz w:val="24"/>
              </w:rPr>
            </w:pPr>
            <w:r>
              <w:rPr>
                <w:color w:val="0000FF"/>
                <w:sz w:val="24"/>
                <w:szCs w:val="28"/>
              </w:rPr>
              <w:t>施工场地设有旱厕，由环卫部门定期清运。施工场地设</w:t>
            </w:r>
            <w:r>
              <w:rPr>
                <w:rFonts w:hint="eastAsia"/>
                <w:color w:val="0000FF"/>
                <w:sz w:val="24"/>
                <w:szCs w:val="28"/>
              </w:rPr>
              <w:t>施工营地</w:t>
            </w:r>
            <w:r>
              <w:rPr>
                <w:color w:val="0000FF"/>
                <w:sz w:val="24"/>
                <w:szCs w:val="28"/>
              </w:rPr>
              <w:t>，废水主要为洗漱废水，水质简单，可泼洒抑尘、自然蒸发。因此废水对环境的影响较小</w:t>
            </w:r>
            <w:r>
              <w:rPr>
                <w:color w:val="0000FF"/>
                <w:sz w:val="24"/>
              </w:rPr>
              <w:t>。</w:t>
            </w:r>
          </w:p>
          <w:p>
            <w:pPr>
              <w:adjustRightInd w:val="0"/>
              <w:snapToGrid w:val="0"/>
              <w:spacing w:line="360" w:lineRule="auto"/>
              <w:ind w:firstLine="480" w:firstLineChars="200"/>
              <w:jc w:val="left"/>
              <w:rPr>
                <w:color w:val="0000FF"/>
                <w:sz w:val="24"/>
              </w:rPr>
            </w:pPr>
            <w:r>
              <w:rPr>
                <w:color w:val="0000FF"/>
                <w:sz w:val="24"/>
              </w:rPr>
              <w:t>（2）施工机械冲洗废水、含泥废水</w:t>
            </w:r>
          </w:p>
          <w:p>
            <w:pPr>
              <w:adjustRightInd w:val="0"/>
              <w:snapToGrid w:val="0"/>
              <w:spacing w:line="360" w:lineRule="auto"/>
              <w:ind w:firstLine="480" w:firstLineChars="200"/>
              <w:jc w:val="left"/>
              <w:rPr>
                <w:color w:val="0000FF"/>
                <w:sz w:val="24"/>
              </w:rPr>
            </w:pPr>
            <w:r>
              <w:rPr>
                <w:color w:val="0000FF"/>
                <w:sz w:val="24"/>
              </w:rPr>
              <w:t>施工期施工废水产生和排放，其防治措施主要有：</w:t>
            </w:r>
          </w:p>
          <w:p>
            <w:pPr>
              <w:adjustRightInd w:val="0"/>
              <w:snapToGrid w:val="0"/>
              <w:spacing w:line="360" w:lineRule="auto"/>
              <w:ind w:firstLine="480" w:firstLineChars="200"/>
              <w:jc w:val="left"/>
              <w:rPr>
                <w:color w:val="0000FF"/>
                <w:sz w:val="24"/>
              </w:rPr>
            </w:pPr>
            <w:r>
              <w:rPr>
                <w:color w:val="0000FF"/>
                <w:sz w:val="24"/>
              </w:rPr>
              <w:t>①加强施工期管理，针对施工期污水产生过程不连续、废水种类较单一等特点，可采取相应措施有效控制污水中污染物的产生量。</w:t>
            </w:r>
          </w:p>
          <w:p>
            <w:pPr>
              <w:adjustRightInd w:val="0"/>
              <w:snapToGrid w:val="0"/>
              <w:spacing w:line="360" w:lineRule="auto"/>
              <w:ind w:firstLine="480" w:firstLineChars="200"/>
              <w:jc w:val="left"/>
              <w:rPr>
                <w:color w:val="0000FF"/>
                <w:sz w:val="24"/>
              </w:rPr>
            </w:pPr>
            <w:r>
              <w:rPr>
                <w:color w:val="0000FF"/>
                <w:sz w:val="24"/>
              </w:rPr>
              <w:t>②施工现场因地制宜，对含油量高的施工机械冲洗水或悬浮物含量高的其他施工废水需经沉淀池处理后方可回用于施工场地，项目设</w:t>
            </w:r>
            <w:r>
              <w:rPr>
                <w:rFonts w:hint="eastAsia"/>
                <w:color w:val="0000FF"/>
                <w:sz w:val="24"/>
              </w:rPr>
              <w:t>1</w:t>
            </w:r>
            <w:r>
              <w:rPr>
                <w:color w:val="0000FF"/>
                <w:sz w:val="24"/>
              </w:rPr>
              <w:t>座</w:t>
            </w:r>
            <w:r>
              <w:rPr>
                <w:rFonts w:hint="eastAsia"/>
                <w:color w:val="0000FF"/>
                <w:sz w:val="24"/>
              </w:rPr>
              <w:t>20</w:t>
            </w:r>
            <w:r>
              <w:rPr>
                <w:color w:val="0000FF"/>
                <w:sz w:val="24"/>
              </w:rPr>
              <w:t>m</w:t>
            </w:r>
            <w:r>
              <w:rPr>
                <w:color w:val="0000FF"/>
                <w:sz w:val="24"/>
                <w:vertAlign w:val="superscript"/>
              </w:rPr>
              <w:t>3</w:t>
            </w:r>
            <w:r>
              <w:rPr>
                <w:color w:val="0000FF"/>
                <w:sz w:val="24"/>
              </w:rPr>
              <w:t>的沉淀池，对施工期的施工废水进行沉淀处理；</w:t>
            </w:r>
            <w:r>
              <w:rPr>
                <w:rFonts w:hint="eastAsia"/>
                <w:color w:val="0000FF"/>
                <w:sz w:val="24"/>
              </w:rPr>
              <w:t>项目应</w:t>
            </w:r>
            <w:r>
              <w:rPr>
                <w:color w:val="0000FF"/>
                <w:sz w:val="24"/>
              </w:rPr>
              <w:t>及时清扫施工运输过程中抛洒的上述建筑材料，以免这些物质随雨水冲刷污染附近水体。</w:t>
            </w:r>
          </w:p>
          <w:p>
            <w:pPr>
              <w:adjustRightInd w:val="0"/>
              <w:snapToGrid w:val="0"/>
              <w:spacing w:line="360" w:lineRule="auto"/>
              <w:ind w:firstLine="480" w:firstLineChars="200"/>
              <w:jc w:val="left"/>
              <w:rPr>
                <w:b/>
                <w:bCs/>
                <w:color w:val="0000FF"/>
                <w:sz w:val="24"/>
              </w:rPr>
            </w:pPr>
            <w:r>
              <w:rPr>
                <w:b/>
                <w:bCs/>
                <w:color w:val="0000FF"/>
                <w:sz w:val="24"/>
              </w:rPr>
              <w:t>3、噪声防治措施</w:t>
            </w:r>
          </w:p>
          <w:p>
            <w:pPr>
              <w:adjustRightInd w:val="0"/>
              <w:snapToGrid w:val="0"/>
              <w:spacing w:line="360" w:lineRule="auto"/>
              <w:ind w:firstLine="480" w:firstLineChars="200"/>
              <w:jc w:val="left"/>
              <w:rPr>
                <w:color w:val="0000FF"/>
                <w:sz w:val="24"/>
              </w:rPr>
            </w:pPr>
            <w:r>
              <w:rPr>
                <w:color w:val="0000FF"/>
                <w:sz w:val="24"/>
              </w:rPr>
              <w:t>为了减少施工噪声的影响，施工单位应严格执行《中华人民共和国噪声污染防治法》和《建筑施工场界噪声排放标准》(GB12523-2011) ，采用低噪声施工机具和先进工艺进行施工，具体防治措施如下：</w:t>
            </w:r>
          </w:p>
          <w:p>
            <w:pPr>
              <w:adjustRightInd w:val="0"/>
              <w:snapToGrid w:val="0"/>
              <w:spacing w:line="360" w:lineRule="auto"/>
              <w:ind w:firstLine="480" w:firstLineChars="200"/>
              <w:jc w:val="left"/>
              <w:rPr>
                <w:color w:val="0000FF"/>
                <w:sz w:val="24"/>
              </w:rPr>
            </w:pPr>
            <w:r>
              <w:rPr>
                <w:color w:val="0000FF"/>
                <w:sz w:val="24"/>
              </w:rPr>
              <w:t>①合理安排施工计划和施工机械设备组合及施工时间，禁止在中午(12: 00-14: 00)和夜间(22: 00-6: 00) 施工，避免在同一时间集中使用大量的动力机械设备。施工过程中，尽量减少运行动力机械设备的数量，尽可能使动力机械设备均匀地使用。</w:t>
            </w:r>
          </w:p>
          <w:p>
            <w:pPr>
              <w:adjustRightInd w:val="0"/>
              <w:snapToGrid w:val="0"/>
              <w:spacing w:line="360" w:lineRule="auto"/>
              <w:ind w:firstLine="480" w:firstLineChars="200"/>
              <w:jc w:val="left"/>
              <w:rPr>
                <w:color w:val="0000FF"/>
                <w:sz w:val="24"/>
              </w:rPr>
            </w:pPr>
            <w:r>
              <w:rPr>
                <w:color w:val="0000FF"/>
                <w:sz w:val="24"/>
              </w:rPr>
              <w:t>②对本项目的施工进行合理布局，尽量将高噪声的机械设备安装在地块远离居民区的地方。</w:t>
            </w:r>
          </w:p>
          <w:p>
            <w:pPr>
              <w:adjustRightInd w:val="0"/>
              <w:snapToGrid w:val="0"/>
              <w:spacing w:line="360" w:lineRule="auto"/>
              <w:ind w:firstLine="480" w:firstLineChars="200"/>
              <w:jc w:val="left"/>
              <w:rPr>
                <w:color w:val="0000FF"/>
                <w:sz w:val="24"/>
              </w:rPr>
            </w:pPr>
            <w:r>
              <w:rPr>
                <w:color w:val="0000FF"/>
                <w:sz w:val="24"/>
              </w:rPr>
              <w:t>③选择低噪声的机械设备。闲置的机械设备等应该及时予以关闭；一切动力机械设备都应该经常检修，特别是那些会因为部件松动而产生噪声的机械，以及那些降噪部件容易损坏而导致强噪声产生的机械设备。</w:t>
            </w:r>
          </w:p>
          <w:p>
            <w:pPr>
              <w:adjustRightInd w:val="0"/>
              <w:snapToGrid w:val="0"/>
              <w:spacing w:line="360" w:lineRule="auto"/>
              <w:ind w:firstLine="480" w:firstLineChars="200"/>
              <w:jc w:val="left"/>
              <w:rPr>
                <w:color w:val="0000FF"/>
                <w:sz w:val="24"/>
              </w:rPr>
            </w:pPr>
            <w:r>
              <w:rPr>
                <w:color w:val="0000FF"/>
                <w:sz w:val="24"/>
              </w:rPr>
              <w:t>④将各种噪声比较大的机械设备布置远离居民区，并进行一定的隔离和防护消声处理，必要的时候，建议在施工场地四周建立临时性移动隔声屏障，这样可以减少对项目周围等敏感点的影响。</w:t>
            </w:r>
          </w:p>
          <w:p>
            <w:pPr>
              <w:adjustRightInd w:val="0"/>
              <w:snapToGrid w:val="0"/>
              <w:spacing w:line="360" w:lineRule="auto"/>
              <w:ind w:firstLine="480" w:firstLineChars="200"/>
              <w:jc w:val="left"/>
              <w:rPr>
                <w:color w:val="0000FF"/>
                <w:sz w:val="24"/>
              </w:rPr>
            </w:pPr>
            <w:r>
              <w:rPr>
                <w:color w:val="0000FF"/>
                <w:sz w:val="24"/>
              </w:rPr>
              <w:t>⑤对施工车辆造成的噪声影响要加强管理，运输车辆所经过的道路禁止鸣笛，以免影响沿途居民的正常生活。</w:t>
            </w:r>
          </w:p>
          <w:p>
            <w:pPr>
              <w:adjustRightInd w:val="0"/>
              <w:snapToGrid w:val="0"/>
              <w:spacing w:line="360" w:lineRule="auto"/>
              <w:ind w:firstLine="480" w:firstLineChars="200"/>
              <w:jc w:val="left"/>
              <w:rPr>
                <w:color w:val="0000FF"/>
                <w:sz w:val="24"/>
              </w:rPr>
            </w:pPr>
            <w:r>
              <w:rPr>
                <w:color w:val="0000FF"/>
                <w:sz w:val="24"/>
              </w:rPr>
              <w:t>⑥建设方必须加强相应的管理，严禁夜间时段(22: 00-6: 00)装修施工，防止噪声扰民。</w:t>
            </w:r>
          </w:p>
          <w:p>
            <w:pPr>
              <w:adjustRightInd w:val="0"/>
              <w:snapToGrid w:val="0"/>
              <w:spacing w:line="360" w:lineRule="auto"/>
              <w:ind w:firstLine="480" w:firstLineChars="200"/>
              <w:jc w:val="left"/>
              <w:rPr>
                <w:color w:val="0000FF"/>
                <w:sz w:val="24"/>
              </w:rPr>
            </w:pPr>
            <w:r>
              <w:rPr>
                <w:color w:val="0000FF"/>
                <w:sz w:val="24"/>
              </w:rPr>
              <w:t>通过上述措施，可尽量减缓施工噪声对外环境的影响。</w:t>
            </w:r>
          </w:p>
          <w:p>
            <w:pPr>
              <w:adjustRightInd w:val="0"/>
              <w:snapToGrid w:val="0"/>
              <w:spacing w:line="360" w:lineRule="auto"/>
              <w:ind w:firstLine="480" w:firstLineChars="200"/>
              <w:jc w:val="left"/>
              <w:rPr>
                <w:b/>
                <w:bCs/>
                <w:color w:val="0000FF"/>
                <w:sz w:val="24"/>
              </w:rPr>
            </w:pPr>
            <w:r>
              <w:rPr>
                <w:b/>
                <w:bCs/>
                <w:color w:val="0000FF"/>
                <w:sz w:val="24"/>
              </w:rPr>
              <w:t>4、固体废物防治措施</w:t>
            </w:r>
          </w:p>
          <w:p>
            <w:pPr>
              <w:adjustRightInd w:val="0"/>
              <w:snapToGrid w:val="0"/>
              <w:spacing w:line="360" w:lineRule="auto"/>
              <w:ind w:firstLine="480" w:firstLineChars="200"/>
              <w:jc w:val="left"/>
              <w:rPr>
                <w:color w:val="0000FF"/>
                <w:sz w:val="24"/>
              </w:rPr>
            </w:pPr>
            <w:r>
              <w:rPr>
                <w:color w:val="0000FF"/>
                <w:sz w:val="24"/>
              </w:rPr>
              <w:t>施工期固体废物主要为工程弃土、建筑垃圾和施工人员的生活垃圾。</w:t>
            </w:r>
          </w:p>
          <w:p>
            <w:pPr>
              <w:adjustRightInd w:val="0"/>
              <w:snapToGrid w:val="0"/>
              <w:spacing w:line="360" w:lineRule="auto"/>
              <w:ind w:firstLine="480" w:firstLineChars="200"/>
              <w:jc w:val="left"/>
              <w:rPr>
                <w:color w:val="0000FF"/>
                <w:sz w:val="24"/>
              </w:rPr>
            </w:pPr>
            <w:r>
              <w:rPr>
                <w:color w:val="0000FF"/>
                <w:sz w:val="24"/>
              </w:rPr>
              <w:t>施工期间平整土地所需的填士及各种建设材料如砂石等均会产生不少建筑垃圾，若施工单位不加管理，随路散落，随意倾倒垃圾，将制造新的垃圾堆场，对环境均会造成一定影响。故建设单位应要求施工单位实行标准施工、规划运输，首先将建筑垃圾分类，尽量回收其中尚可利用的部分建筑材料，对没有利用价值的废弃物如工程弃土等及时清运至政府指定地点处置。运输时必须采用密封的车箱，不要随路散落，也不要随意倾倒建筑垃圾，制造新的“垃圾堆场”。</w:t>
            </w:r>
          </w:p>
          <w:p>
            <w:pPr>
              <w:adjustRightInd w:val="0"/>
              <w:snapToGrid w:val="0"/>
              <w:spacing w:line="360" w:lineRule="auto"/>
              <w:ind w:firstLine="480" w:firstLineChars="200"/>
              <w:jc w:val="left"/>
              <w:rPr>
                <w:color w:val="0000FF"/>
                <w:sz w:val="24"/>
              </w:rPr>
            </w:pPr>
            <w:r>
              <w:rPr>
                <w:color w:val="0000FF"/>
                <w:sz w:val="24"/>
              </w:rPr>
              <w:t>建筑垃圾处置不当，由于扬尘和雨水淋洗等原因，会对环境空气和水环境造成二次污染，对周围环境产生相当严重的不利影响。因此，从环境保护的角度来看，对建筑废弃物的妥善处置十分重要，通过严格管理可以避免施工固体废物对环境产生的不良影响。</w:t>
            </w:r>
          </w:p>
          <w:p>
            <w:pPr>
              <w:pStyle w:val="94"/>
              <w:spacing w:line="360" w:lineRule="auto"/>
              <w:ind w:firstLine="0" w:firstLineChars="0"/>
              <w:rPr>
                <w:rFonts w:hint="eastAsia"/>
                <w:color w:val="0000FF"/>
                <w:spacing w:val="0"/>
                <w:sz w:val="24"/>
                <w:szCs w:val="28"/>
              </w:rPr>
            </w:pPr>
            <w:r>
              <w:rPr>
                <w:color w:val="0000FF"/>
                <w:sz w:val="24"/>
                <w:szCs w:val="24"/>
              </w:rPr>
              <w:t xml:space="preserve">  施工人员的生活垃圾若随意乱弃，也将会影响局部环境内生活环境质量。施工人员产生生活垃圾必须集中收集后先运到生活垃圾暂存点，然后送到生活垃圾填埋场进行处理。废弃的包装材料应分类收集，只有这样才能保持环境卫生，以避免影响周围环境。</w:t>
            </w:r>
          </w:p>
          <w:p>
            <w:pPr>
              <w:pStyle w:val="94"/>
              <w:spacing w:beforeLines="50" w:line="360" w:lineRule="auto"/>
              <w:ind w:firstLine="0" w:firstLineChars="0"/>
              <w:rPr>
                <w:b/>
                <w:color w:val="0000FF"/>
                <w:spacing w:val="0"/>
                <w:sz w:val="24"/>
                <w:szCs w:val="28"/>
              </w:rPr>
            </w:pPr>
            <w:r>
              <w:rPr>
                <w:b/>
                <w:color w:val="0000FF"/>
                <w:spacing w:val="0"/>
                <w:sz w:val="24"/>
                <w:szCs w:val="28"/>
              </w:rPr>
              <w:t>运营期污染防治措施及预期效果分析</w:t>
            </w:r>
          </w:p>
          <w:p>
            <w:pPr>
              <w:pStyle w:val="94"/>
              <w:spacing w:line="360" w:lineRule="auto"/>
              <w:ind w:firstLine="0" w:firstLineChars="0"/>
              <w:rPr>
                <w:color w:val="0000FF"/>
                <w:spacing w:val="0"/>
                <w:sz w:val="24"/>
                <w:szCs w:val="28"/>
              </w:rPr>
            </w:pPr>
            <w:r>
              <w:rPr>
                <w:color w:val="0000FF"/>
                <w:spacing w:val="0"/>
                <w:sz w:val="24"/>
                <w:szCs w:val="28"/>
              </w:rPr>
              <w:t>1.1、废气治理措施</w:t>
            </w:r>
          </w:p>
          <w:p>
            <w:pPr>
              <w:pStyle w:val="104"/>
              <w:spacing w:line="360" w:lineRule="auto"/>
              <w:ind w:firstLine="480"/>
              <w:rPr>
                <w:rFonts w:eastAsia="宋体"/>
                <w:color w:val="0000FF"/>
                <w:spacing w:val="0"/>
                <w:sz w:val="24"/>
                <w:szCs w:val="28"/>
              </w:rPr>
            </w:pPr>
            <w:r>
              <w:rPr>
                <w:rFonts w:hint="eastAsia" w:eastAsia="宋体"/>
                <w:color w:val="0000FF"/>
                <w:spacing w:val="0"/>
                <w:sz w:val="24"/>
                <w:szCs w:val="28"/>
              </w:rPr>
              <w:t>本项目运营期废气主要为煤炭堆存、装卸过程中产生的粉尘；物料皮带运输、转载产尘；筛分生产作业产生的煤尘；运输车辆进出厂扬尘；运输车辆汽车尾气。</w:t>
            </w:r>
          </w:p>
          <w:p>
            <w:pPr>
              <w:pStyle w:val="94"/>
              <w:spacing w:line="360" w:lineRule="auto"/>
              <w:ind w:firstLine="480"/>
              <w:rPr>
                <w:rFonts w:hint="eastAsia"/>
                <w:color w:val="0000FF"/>
                <w:spacing w:val="0"/>
                <w:sz w:val="24"/>
                <w:szCs w:val="28"/>
              </w:rPr>
            </w:pPr>
            <w:r>
              <w:rPr>
                <w:rFonts w:hint="eastAsia"/>
                <w:color w:val="0000FF"/>
                <w:spacing w:val="0"/>
                <w:sz w:val="24"/>
                <w:szCs w:val="28"/>
              </w:rPr>
              <w:t>（1）筛分粉尘</w:t>
            </w:r>
          </w:p>
          <w:p>
            <w:pPr>
              <w:spacing w:line="360" w:lineRule="auto"/>
              <w:ind w:firstLine="480" w:firstLineChars="200"/>
              <w:rPr>
                <w:color w:val="0000FF"/>
                <w:sz w:val="24"/>
              </w:rPr>
            </w:pPr>
            <w:r>
              <w:rPr>
                <w:rFonts w:hint="eastAsia"/>
                <w:color w:val="0000FF"/>
                <w:sz w:val="24"/>
              </w:rPr>
              <w:t>项目筛分过程粉尘尘产生量为22.54t/a；本次环评要求</w:t>
            </w:r>
            <w:r>
              <w:rPr>
                <w:color w:val="0000FF"/>
                <w:sz w:val="24"/>
              </w:rPr>
              <w:t>筛选加工设备设在轻钢结构全封闭的筛选区，将产尘设备集中布置，筛分设备及转载点要全封闭，留设吸尘口，通过吸尘管道、引风机（配备风机风量为</w:t>
            </w:r>
            <w:r>
              <w:rPr>
                <w:rFonts w:hint="eastAsia"/>
                <w:color w:val="0000FF"/>
                <w:sz w:val="24"/>
              </w:rPr>
              <w:t>5</w:t>
            </w:r>
            <w:r>
              <w:rPr>
                <w:color w:val="0000FF"/>
                <w:sz w:val="24"/>
              </w:rPr>
              <w:t>000m</w:t>
            </w:r>
            <w:r>
              <w:rPr>
                <w:color w:val="0000FF"/>
                <w:sz w:val="24"/>
                <w:vertAlign w:val="superscript"/>
              </w:rPr>
              <w:t>3</w:t>
            </w:r>
            <w:r>
              <w:rPr>
                <w:color w:val="0000FF"/>
                <w:sz w:val="24"/>
              </w:rPr>
              <w:t>/h）将逸散的煤尘引至1台布袋除尘器，处理后经一根不低于15m</w:t>
            </w:r>
            <w:r>
              <w:rPr>
                <w:rFonts w:hint="eastAsia"/>
                <w:color w:val="0000FF"/>
                <w:sz w:val="24"/>
              </w:rPr>
              <w:t>高</w:t>
            </w:r>
            <w:r>
              <w:rPr>
                <w:color w:val="0000FF"/>
                <w:sz w:val="24"/>
              </w:rPr>
              <w:t>排气筒排放，</w:t>
            </w:r>
            <w:r>
              <w:rPr>
                <w:rFonts w:hint="eastAsia"/>
                <w:color w:val="0000FF"/>
                <w:sz w:val="24"/>
              </w:rPr>
              <w:t>布袋除尘器除尘效率按99%计，则</w:t>
            </w:r>
            <w:r>
              <w:rPr>
                <w:color w:val="0000FF"/>
                <w:sz w:val="24"/>
              </w:rPr>
              <w:t>煤尘排放量为</w:t>
            </w:r>
            <w:r>
              <w:rPr>
                <w:rFonts w:hint="eastAsia"/>
                <w:color w:val="0000FF"/>
                <w:sz w:val="24"/>
              </w:rPr>
              <w:t>0.23</w:t>
            </w:r>
            <w:r>
              <w:rPr>
                <w:color w:val="0000FF"/>
                <w:sz w:val="24"/>
              </w:rPr>
              <w:t>t/a，排放浓度为</w:t>
            </w:r>
            <w:r>
              <w:rPr>
                <w:rFonts w:hint="eastAsia"/>
                <w:color w:val="0000FF"/>
                <w:sz w:val="24"/>
              </w:rPr>
              <w:t>6.39</w:t>
            </w:r>
            <w:r>
              <w:rPr>
                <w:color w:val="0000FF"/>
                <w:sz w:val="24"/>
              </w:rPr>
              <w:t>mg/m</w:t>
            </w:r>
            <w:r>
              <w:rPr>
                <w:color w:val="0000FF"/>
                <w:sz w:val="24"/>
                <w:vertAlign w:val="superscript"/>
              </w:rPr>
              <w:t>3</w:t>
            </w:r>
            <w:r>
              <w:rPr>
                <w:color w:val="0000FF"/>
                <w:sz w:val="24"/>
              </w:rPr>
              <w:t>，满足《煤炭工业污染物排放标准》(GB 20426</w:t>
            </w:r>
            <w:r>
              <w:rPr>
                <w:rFonts w:hint="eastAsia"/>
                <w:color w:val="0000FF"/>
                <w:sz w:val="24"/>
              </w:rPr>
              <w:t>-</w:t>
            </w:r>
            <w:r>
              <w:rPr>
                <w:color w:val="0000FF"/>
                <w:sz w:val="24"/>
              </w:rPr>
              <w:t>2006)煤尘排放浓度≤80mg/m</w:t>
            </w:r>
            <w:r>
              <w:rPr>
                <w:color w:val="0000FF"/>
                <w:sz w:val="24"/>
                <w:vertAlign w:val="superscript"/>
              </w:rPr>
              <w:t>3</w:t>
            </w:r>
            <w:r>
              <w:rPr>
                <w:color w:val="0000FF"/>
                <w:sz w:val="24"/>
              </w:rPr>
              <w:t>或设备去除效率≥98%的要求。</w:t>
            </w:r>
          </w:p>
          <w:p>
            <w:pPr>
              <w:pStyle w:val="94"/>
              <w:spacing w:line="360" w:lineRule="auto"/>
              <w:ind w:firstLine="480"/>
              <w:rPr>
                <w:rFonts w:hint="eastAsia"/>
                <w:color w:val="0000FF"/>
                <w:spacing w:val="0"/>
                <w:sz w:val="24"/>
                <w:szCs w:val="28"/>
              </w:rPr>
            </w:pPr>
            <w:r>
              <w:rPr>
                <w:rFonts w:hint="eastAsia"/>
                <w:color w:val="0000FF"/>
                <w:spacing w:val="0"/>
                <w:sz w:val="24"/>
                <w:szCs w:val="28"/>
              </w:rPr>
              <w:t xml:space="preserve">布袋除尘器工作原理：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 </w:t>
            </w:r>
          </w:p>
          <w:p>
            <w:pPr>
              <w:pStyle w:val="94"/>
              <w:spacing w:line="360" w:lineRule="auto"/>
              <w:ind w:firstLine="480"/>
              <w:rPr>
                <w:rFonts w:hint="eastAsia"/>
                <w:color w:val="0000FF"/>
                <w:spacing w:val="0"/>
                <w:sz w:val="24"/>
                <w:szCs w:val="28"/>
              </w:rPr>
            </w:pPr>
            <w:r>
              <w:rPr>
                <w:rFonts w:hint="eastAsia"/>
                <w:color w:val="0000FF"/>
                <w:spacing w:val="0"/>
                <w:sz w:val="24"/>
                <w:szCs w:val="28"/>
              </w:rPr>
              <w:t>产品优点：除尘效率高，一般在99%以上；处理风量的范围广；结构简单，维护操作方便；对粉尘的特性不敏感，不受粉尘及电阻的影响。</w:t>
            </w:r>
          </w:p>
          <w:p>
            <w:pPr>
              <w:pStyle w:val="94"/>
              <w:spacing w:line="360" w:lineRule="auto"/>
              <w:ind w:firstLine="480"/>
              <w:rPr>
                <w:rFonts w:hint="eastAsia"/>
                <w:color w:val="0000FF"/>
                <w:spacing w:val="0"/>
                <w:sz w:val="24"/>
                <w:szCs w:val="28"/>
              </w:rPr>
            </w:pPr>
            <w:r>
              <w:rPr>
                <w:rFonts w:hint="eastAsia"/>
                <w:color w:val="0000FF"/>
                <w:spacing w:val="0"/>
                <w:sz w:val="24"/>
                <w:szCs w:val="28"/>
              </w:rPr>
              <w:t>（2）堆场及装卸粉尘</w:t>
            </w:r>
          </w:p>
          <w:p>
            <w:pPr>
              <w:pStyle w:val="94"/>
              <w:spacing w:line="360" w:lineRule="auto"/>
              <w:ind w:firstLine="480"/>
              <w:rPr>
                <w:rFonts w:hint="eastAsia"/>
                <w:color w:val="0000FF"/>
                <w:spacing w:val="0"/>
                <w:sz w:val="24"/>
                <w:szCs w:val="28"/>
              </w:rPr>
            </w:pPr>
            <w:r>
              <w:rPr>
                <w:rFonts w:hint="eastAsia"/>
                <w:color w:val="0000FF"/>
                <w:spacing w:val="0"/>
                <w:sz w:val="24"/>
                <w:szCs w:val="28"/>
              </w:rPr>
              <w:t>项目储煤库留有通风口和库房门，因而煤炭堆放过程会有扬尘产生，煤炭堆放在室内，且堆放场内设有1套喷淋装置，喷淋和室内堆放条件下，降尘率可达到90%，堆场煤尘经喷淋降尘后排放量为0.022t/a。</w:t>
            </w:r>
          </w:p>
          <w:p>
            <w:pPr>
              <w:pStyle w:val="94"/>
              <w:spacing w:line="360" w:lineRule="auto"/>
              <w:ind w:firstLine="480"/>
              <w:rPr>
                <w:rFonts w:hint="eastAsia"/>
                <w:color w:val="0000FF"/>
                <w:spacing w:val="0"/>
                <w:sz w:val="24"/>
                <w:szCs w:val="28"/>
              </w:rPr>
            </w:pPr>
            <w:r>
              <w:rPr>
                <w:rFonts w:hint="eastAsia"/>
                <w:color w:val="0000FF"/>
                <w:spacing w:val="0"/>
                <w:sz w:val="24"/>
                <w:szCs w:val="28"/>
              </w:rPr>
              <w:t>煤炭卸货在储煤库内进行，卸煤时在库内进行，煤尘逸散到外界的量较小，装箱时在室外进行，卸煤和煤炭装箱是均对其进行洒水降尘，降尘率可达到80%，煤炭装卸粉尘经洒水降尘后排放量为0.72t/a。</w:t>
            </w:r>
          </w:p>
          <w:p>
            <w:pPr>
              <w:pStyle w:val="94"/>
              <w:spacing w:line="360" w:lineRule="auto"/>
              <w:ind w:firstLine="480"/>
              <w:rPr>
                <w:rFonts w:hint="eastAsia"/>
                <w:color w:val="0000FF"/>
                <w:spacing w:val="0"/>
                <w:sz w:val="24"/>
                <w:szCs w:val="28"/>
              </w:rPr>
            </w:pPr>
            <w:r>
              <w:rPr>
                <w:rFonts w:hint="eastAsia"/>
                <w:color w:val="0000FF"/>
                <w:spacing w:val="0"/>
                <w:sz w:val="24"/>
                <w:szCs w:val="28"/>
              </w:rPr>
              <w:t>煤炭入库储存并对其遮盖防尘网，进行装卸工序时进行洒水喷淋后其对环境影响较小，环保措施可行。</w:t>
            </w:r>
          </w:p>
          <w:p>
            <w:pPr>
              <w:pStyle w:val="94"/>
              <w:spacing w:line="360" w:lineRule="auto"/>
              <w:ind w:firstLine="480"/>
              <w:rPr>
                <w:rFonts w:hint="eastAsia"/>
                <w:color w:val="0000FF"/>
                <w:spacing w:val="0"/>
                <w:sz w:val="24"/>
                <w:szCs w:val="28"/>
              </w:rPr>
            </w:pPr>
            <w:r>
              <w:rPr>
                <w:rFonts w:hint="eastAsia"/>
                <w:color w:val="0000FF"/>
                <w:spacing w:val="0"/>
                <w:sz w:val="24"/>
                <w:szCs w:val="28"/>
              </w:rPr>
              <w:t>水喷淋装置：本项目在储煤库内建设1套水喷淋装置，水喷淋设置水雾喷淋头，水雾喷淋头的原理是在一定的水压力作用下，将直流水利用离心搅拌或撞击原理将水分解成细小水滴而喷射出来的一种设备。它喷射出来的水雾形成围绕喷头轴心线扩展的圆锥体，其推顶角为水雾喷头的雾化角。水经过加压通过喷头喷出，形成雾状，水雾喷头通过改变角度旋转在厂房大部范围均匀落下，达到降尘等效果。</w:t>
            </w:r>
          </w:p>
          <w:p>
            <w:pPr>
              <w:pStyle w:val="94"/>
              <w:spacing w:line="360" w:lineRule="auto"/>
              <w:ind w:firstLine="480"/>
              <w:rPr>
                <w:rFonts w:hint="eastAsia"/>
                <w:color w:val="0000FF"/>
                <w:spacing w:val="0"/>
                <w:sz w:val="24"/>
                <w:szCs w:val="28"/>
              </w:rPr>
            </w:pPr>
            <w:r>
              <w:rPr>
                <w:rFonts w:hint="eastAsia"/>
                <w:color w:val="0000FF"/>
                <w:spacing w:val="0"/>
                <w:sz w:val="24"/>
                <w:szCs w:val="28"/>
              </w:rPr>
              <w:t>（3）物料皮带运输粉尘</w:t>
            </w:r>
          </w:p>
          <w:p>
            <w:pPr>
              <w:pStyle w:val="94"/>
              <w:spacing w:line="360" w:lineRule="auto"/>
              <w:ind w:firstLine="480"/>
              <w:rPr>
                <w:rFonts w:hint="eastAsia"/>
                <w:color w:val="0000FF"/>
                <w:spacing w:val="0"/>
                <w:sz w:val="24"/>
                <w:szCs w:val="28"/>
              </w:rPr>
            </w:pPr>
            <w:r>
              <w:rPr>
                <w:rFonts w:hint="eastAsia"/>
                <w:color w:val="0000FF"/>
                <w:spacing w:val="0"/>
                <w:sz w:val="24"/>
                <w:szCs w:val="28"/>
              </w:rPr>
              <w:t>煤炭在经由皮带进行传输过程中，会产生煤尘，本次环评要求建设单位对传输皮带和物料转载点采用轻钢结构进行全封闭，并在设计时尽量降低物料转载和跌落高度，采取以上措施后，皮带运输粉尘产生量减小，对外界环境影响较小，因而环保措施可行。</w:t>
            </w:r>
          </w:p>
          <w:p>
            <w:pPr>
              <w:pStyle w:val="94"/>
              <w:spacing w:line="360" w:lineRule="auto"/>
              <w:ind w:firstLine="480"/>
              <w:rPr>
                <w:rFonts w:hint="eastAsia"/>
                <w:color w:val="0000FF"/>
                <w:spacing w:val="0"/>
                <w:sz w:val="24"/>
                <w:szCs w:val="28"/>
              </w:rPr>
            </w:pPr>
            <w:r>
              <w:rPr>
                <w:rFonts w:hint="eastAsia"/>
                <w:color w:val="0000FF"/>
                <w:spacing w:val="0"/>
                <w:sz w:val="24"/>
                <w:szCs w:val="28"/>
              </w:rPr>
              <w:t>（4）运输车辆扬尘</w:t>
            </w:r>
          </w:p>
          <w:p>
            <w:pPr>
              <w:spacing w:line="360" w:lineRule="auto"/>
              <w:ind w:firstLine="480" w:firstLineChars="200"/>
              <w:rPr>
                <w:color w:val="0000FF"/>
                <w:sz w:val="24"/>
              </w:rPr>
            </w:pPr>
            <w:r>
              <w:rPr>
                <w:color w:val="0000FF"/>
                <w:sz w:val="24"/>
              </w:rPr>
              <w:t>本项目道路路况以0.</w:t>
            </w:r>
            <w:r>
              <w:rPr>
                <w:rFonts w:hint="eastAsia"/>
                <w:color w:val="0000FF"/>
                <w:sz w:val="24"/>
              </w:rPr>
              <w:t>1</w:t>
            </w:r>
            <w:r>
              <w:rPr>
                <w:color w:val="0000FF"/>
                <w:sz w:val="24"/>
              </w:rPr>
              <w:t>kg/m</w:t>
            </w:r>
            <w:r>
              <w:rPr>
                <w:color w:val="0000FF"/>
                <w:sz w:val="24"/>
                <w:vertAlign w:val="superscript"/>
              </w:rPr>
              <w:t>2</w:t>
            </w:r>
            <w:r>
              <w:rPr>
                <w:color w:val="0000FF"/>
                <w:sz w:val="24"/>
              </w:rPr>
              <w:t>计，则项目</w:t>
            </w:r>
            <w:r>
              <w:rPr>
                <w:rFonts w:hint="eastAsia"/>
                <w:color w:val="0000FF"/>
                <w:sz w:val="24"/>
              </w:rPr>
              <w:t>运输车辆</w:t>
            </w:r>
            <w:r>
              <w:rPr>
                <w:color w:val="0000FF"/>
                <w:sz w:val="24"/>
              </w:rPr>
              <w:t>动力</w:t>
            </w:r>
            <w:r>
              <w:rPr>
                <w:rFonts w:hint="eastAsia"/>
                <w:color w:val="0000FF"/>
                <w:sz w:val="24"/>
              </w:rPr>
              <w:t>扬尘</w:t>
            </w:r>
            <w:r>
              <w:rPr>
                <w:color w:val="0000FF"/>
                <w:sz w:val="24"/>
              </w:rPr>
              <w:t>起尘量为</w:t>
            </w:r>
            <w:r>
              <w:rPr>
                <w:rFonts w:hint="eastAsia"/>
                <w:color w:val="0000FF"/>
                <w:sz w:val="24"/>
              </w:rPr>
              <w:t>1.5</w:t>
            </w:r>
            <w:r>
              <w:rPr>
                <w:color w:val="0000FF"/>
                <w:sz w:val="24"/>
              </w:rPr>
              <w:t>t/a，</w:t>
            </w:r>
            <w:r>
              <w:rPr>
                <w:rFonts w:hint="eastAsia"/>
                <w:color w:val="0000FF"/>
                <w:sz w:val="24"/>
              </w:rPr>
              <w:t>在采取</w:t>
            </w:r>
            <w:r>
              <w:rPr>
                <w:color w:val="0000FF"/>
                <w:sz w:val="24"/>
              </w:rPr>
              <w:t>在大风干燥天气对经过的道路实施洒水进行抑尘，</w:t>
            </w:r>
            <w:r>
              <w:rPr>
                <w:rFonts w:hint="eastAsia"/>
                <w:color w:val="0000FF"/>
                <w:sz w:val="24"/>
              </w:rPr>
              <w:t>同时对车辆进行限速，对装载机装卸物料的量进行控制等措施后</w:t>
            </w:r>
            <w:r>
              <w:rPr>
                <w:color w:val="0000FF"/>
                <w:sz w:val="24"/>
              </w:rPr>
              <w:t>，项目</w:t>
            </w:r>
            <w:r>
              <w:rPr>
                <w:rFonts w:hint="eastAsia"/>
                <w:color w:val="0000FF"/>
                <w:sz w:val="24"/>
              </w:rPr>
              <w:t>运输车辆</w:t>
            </w:r>
            <w:r>
              <w:rPr>
                <w:color w:val="0000FF"/>
                <w:sz w:val="24"/>
              </w:rPr>
              <w:t>动力</w:t>
            </w:r>
            <w:r>
              <w:rPr>
                <w:rFonts w:hint="eastAsia"/>
                <w:color w:val="0000FF"/>
                <w:sz w:val="24"/>
              </w:rPr>
              <w:t>扬尘</w:t>
            </w:r>
            <w:r>
              <w:rPr>
                <w:color w:val="0000FF"/>
                <w:sz w:val="24"/>
              </w:rPr>
              <w:t>起尘量为</w:t>
            </w:r>
            <w:r>
              <w:rPr>
                <w:rFonts w:hint="eastAsia"/>
                <w:color w:val="0000FF"/>
                <w:sz w:val="24"/>
              </w:rPr>
              <w:t>0.3</w:t>
            </w:r>
            <w:r>
              <w:rPr>
                <w:color w:val="0000FF"/>
                <w:sz w:val="24"/>
              </w:rPr>
              <w:t>t/a</w:t>
            </w:r>
            <w:r>
              <w:rPr>
                <w:rFonts w:hint="eastAsia"/>
                <w:color w:val="0000FF"/>
                <w:sz w:val="24"/>
              </w:rPr>
              <w:t>，对周围环境的影响较小，措施可行。</w:t>
            </w:r>
          </w:p>
          <w:p>
            <w:pPr>
              <w:pStyle w:val="94"/>
              <w:spacing w:line="360" w:lineRule="auto"/>
              <w:ind w:firstLine="480"/>
              <w:rPr>
                <w:rFonts w:hint="eastAsia"/>
                <w:color w:val="0000FF"/>
                <w:spacing w:val="0"/>
                <w:sz w:val="24"/>
                <w:szCs w:val="28"/>
              </w:rPr>
            </w:pPr>
            <w:r>
              <w:rPr>
                <w:rFonts w:hint="eastAsia"/>
                <w:color w:val="0000FF"/>
                <w:spacing w:val="0"/>
                <w:sz w:val="24"/>
                <w:szCs w:val="28"/>
              </w:rPr>
              <w:t>（5）汽车尾气</w:t>
            </w:r>
          </w:p>
          <w:p>
            <w:pPr>
              <w:pStyle w:val="94"/>
              <w:spacing w:line="360" w:lineRule="auto"/>
              <w:ind w:firstLine="480"/>
              <w:rPr>
                <w:rFonts w:hint="eastAsia"/>
                <w:color w:val="0000FF"/>
                <w:spacing w:val="0"/>
                <w:sz w:val="24"/>
                <w:szCs w:val="28"/>
              </w:rPr>
            </w:pPr>
            <w:r>
              <w:rPr>
                <w:rFonts w:hint="eastAsia"/>
                <w:color w:val="0000FF"/>
                <w:spacing w:val="0"/>
                <w:sz w:val="24"/>
                <w:szCs w:val="28"/>
              </w:rPr>
              <w:t>汽车尾气是本项目的大气污染之一，主要含有 NO</w:t>
            </w:r>
            <w:r>
              <w:rPr>
                <w:rFonts w:hint="eastAsia"/>
                <w:color w:val="0000FF"/>
                <w:spacing w:val="0"/>
                <w:sz w:val="24"/>
                <w:szCs w:val="28"/>
                <w:vertAlign w:val="subscript"/>
              </w:rPr>
              <w:t>x</w:t>
            </w:r>
            <w:r>
              <w:rPr>
                <w:rFonts w:hint="eastAsia"/>
                <w:color w:val="0000FF"/>
                <w:spacing w:val="0"/>
                <w:sz w:val="24"/>
                <w:szCs w:val="28"/>
              </w:rPr>
              <w:t>、CO、TSP 和未完全燃烧的碳氢化合物 HC。本项目车辆进出厂区较分散，汽车尾气属于无组织排放，经空气迅速扩散后对外环境影响较小。</w:t>
            </w:r>
          </w:p>
          <w:p>
            <w:pPr>
              <w:spacing w:line="360" w:lineRule="auto"/>
              <w:ind w:firstLine="480" w:firstLineChars="200"/>
              <w:rPr>
                <w:color w:val="0000FF"/>
                <w:sz w:val="24"/>
                <w:szCs w:val="22"/>
                <w:lang w:val="en-US" w:eastAsia="zh-CN"/>
              </w:rPr>
            </w:pPr>
            <w:r>
              <w:rPr>
                <w:color w:val="0000FF"/>
                <w:sz w:val="24"/>
                <w:szCs w:val="22"/>
                <w:lang w:val="en-US" w:eastAsia="zh-CN"/>
              </w:rPr>
              <w:t>综上所述，项目产生的废气采取措施后可达标排放，对周围环境影响较小，措施可行。</w:t>
            </w:r>
          </w:p>
          <w:p>
            <w:pPr>
              <w:pStyle w:val="94"/>
              <w:spacing w:beforeLines="50" w:line="360" w:lineRule="auto"/>
              <w:ind w:firstLine="0" w:firstLineChars="0"/>
              <w:rPr>
                <w:b/>
                <w:color w:val="0000FF"/>
                <w:spacing w:val="0"/>
                <w:sz w:val="24"/>
                <w:szCs w:val="28"/>
              </w:rPr>
            </w:pPr>
            <w:r>
              <w:rPr>
                <w:b/>
                <w:color w:val="0000FF"/>
                <w:spacing w:val="0"/>
                <w:sz w:val="24"/>
                <w:szCs w:val="28"/>
              </w:rPr>
              <w:t>2、废水治理措施</w:t>
            </w:r>
          </w:p>
          <w:p>
            <w:pPr>
              <w:pStyle w:val="104"/>
              <w:spacing w:line="360" w:lineRule="auto"/>
              <w:ind w:firstLine="570" w:firstLineChars="0"/>
              <w:rPr>
                <w:rFonts w:hint="eastAsia" w:eastAsia="宋体"/>
                <w:b/>
                <w:color w:val="0000FF"/>
                <w:spacing w:val="0"/>
                <w:sz w:val="24"/>
                <w:szCs w:val="28"/>
              </w:rPr>
            </w:pPr>
            <w:r>
              <w:rPr>
                <w:rFonts w:hint="eastAsia" w:eastAsia="宋体"/>
                <w:b/>
                <w:color w:val="0000FF"/>
                <w:spacing w:val="0"/>
                <w:sz w:val="24"/>
                <w:szCs w:val="28"/>
              </w:rPr>
              <w:t>2.1地表水污染防治措施</w:t>
            </w:r>
          </w:p>
          <w:p>
            <w:pPr>
              <w:pStyle w:val="104"/>
              <w:spacing w:line="360" w:lineRule="auto"/>
              <w:ind w:firstLine="480"/>
              <w:rPr>
                <w:rFonts w:hint="eastAsia" w:eastAsia="宋体"/>
                <w:color w:val="0000FF"/>
                <w:spacing w:val="0"/>
                <w:sz w:val="24"/>
                <w:szCs w:val="28"/>
              </w:rPr>
            </w:pPr>
            <w:r>
              <w:rPr>
                <w:rFonts w:eastAsia="宋体"/>
                <w:color w:val="0000FF"/>
                <w:spacing w:val="0"/>
                <w:sz w:val="24"/>
                <w:szCs w:val="28"/>
              </w:rPr>
              <w:t>由前文分析可知，</w:t>
            </w:r>
            <w:r>
              <w:rPr>
                <w:rFonts w:hint="eastAsia" w:eastAsia="宋体"/>
                <w:color w:val="0000FF"/>
                <w:spacing w:val="0"/>
                <w:sz w:val="24"/>
                <w:szCs w:val="28"/>
              </w:rPr>
              <w:t>项目运营后产生的废水主要有生活废水和洗车废水。</w:t>
            </w:r>
          </w:p>
          <w:p>
            <w:pPr>
              <w:pStyle w:val="14"/>
              <w:spacing w:after="0" w:line="360" w:lineRule="auto"/>
              <w:ind w:firstLine="480" w:firstLineChars="200"/>
              <w:rPr>
                <w:rFonts w:hint="eastAsia"/>
                <w:color w:val="0000FF"/>
                <w:kern w:val="2"/>
                <w:sz w:val="24"/>
                <w:szCs w:val="22"/>
              </w:rPr>
            </w:pPr>
            <w:r>
              <w:rPr>
                <w:rFonts w:hint="eastAsia"/>
                <w:color w:val="0000FF"/>
                <w:kern w:val="2"/>
                <w:sz w:val="24"/>
                <w:szCs w:val="22"/>
              </w:rPr>
              <w:t>项目洗车废水产生量为1296</w:t>
            </w:r>
            <w:r>
              <w:rPr>
                <w:rFonts w:hint="eastAsia"/>
                <w:color w:val="0000FF"/>
                <w:sz w:val="24"/>
                <w:szCs w:val="28"/>
              </w:rPr>
              <w:t>m</w:t>
            </w:r>
            <w:r>
              <w:rPr>
                <w:rFonts w:hint="eastAsia"/>
                <w:color w:val="0000FF"/>
                <w:sz w:val="24"/>
                <w:szCs w:val="28"/>
                <w:vertAlign w:val="superscript"/>
              </w:rPr>
              <w:t>3</w:t>
            </w:r>
            <w:r>
              <w:rPr>
                <w:rFonts w:hint="eastAsia"/>
                <w:color w:val="0000FF"/>
                <w:sz w:val="24"/>
                <w:szCs w:val="28"/>
              </w:rPr>
              <w:t>/a，4.32m</w:t>
            </w:r>
            <w:r>
              <w:rPr>
                <w:rFonts w:hint="eastAsia"/>
                <w:color w:val="0000FF"/>
                <w:sz w:val="24"/>
                <w:szCs w:val="28"/>
                <w:vertAlign w:val="superscript"/>
              </w:rPr>
              <w:t>3</w:t>
            </w:r>
            <w:r>
              <w:rPr>
                <w:rFonts w:hint="eastAsia"/>
                <w:color w:val="0000FF"/>
                <w:sz w:val="24"/>
                <w:szCs w:val="28"/>
              </w:rPr>
              <w:t>/d，洗车废水中污染物主要为SS，SS浓度约为200mg/L，经厂区1座停留时间48h、容积10m</w:t>
            </w:r>
            <w:r>
              <w:rPr>
                <w:rFonts w:hint="eastAsia"/>
                <w:color w:val="0000FF"/>
                <w:sz w:val="24"/>
                <w:szCs w:val="28"/>
                <w:vertAlign w:val="superscript"/>
              </w:rPr>
              <w:t>3</w:t>
            </w:r>
            <w:r>
              <w:rPr>
                <w:rFonts w:hint="eastAsia"/>
                <w:color w:val="0000FF"/>
                <w:sz w:val="24"/>
                <w:szCs w:val="28"/>
              </w:rPr>
              <w:t>的防渗沉淀池处理后，SS浓度为50mg/L，可回用于煤炭堆放场区和厂区道路泼洒抑尘。</w:t>
            </w:r>
          </w:p>
          <w:p>
            <w:pPr>
              <w:pStyle w:val="14"/>
              <w:spacing w:after="0" w:line="360" w:lineRule="auto"/>
              <w:ind w:firstLine="480" w:firstLineChars="200"/>
              <w:rPr>
                <w:rFonts w:hint="eastAsia"/>
                <w:color w:val="0000FF"/>
                <w:kern w:val="2"/>
                <w:sz w:val="24"/>
                <w:szCs w:val="22"/>
              </w:rPr>
            </w:pPr>
            <w:r>
              <w:rPr>
                <w:rFonts w:hint="eastAsia"/>
                <w:color w:val="0000FF"/>
                <w:kern w:val="2"/>
                <w:sz w:val="24"/>
                <w:szCs w:val="22"/>
              </w:rPr>
              <w:t>项目生活废水产生量为0.4</w:t>
            </w:r>
            <w:r>
              <w:rPr>
                <w:color w:val="0000FF"/>
                <w:kern w:val="2"/>
                <w:sz w:val="24"/>
                <w:szCs w:val="22"/>
              </w:rPr>
              <w:t>m</w:t>
            </w:r>
            <w:r>
              <w:rPr>
                <w:color w:val="0000FF"/>
                <w:kern w:val="2"/>
                <w:sz w:val="24"/>
                <w:szCs w:val="22"/>
                <w:vertAlign w:val="superscript"/>
              </w:rPr>
              <w:t>3</w:t>
            </w:r>
            <w:r>
              <w:rPr>
                <w:color w:val="0000FF"/>
                <w:kern w:val="2"/>
                <w:sz w:val="24"/>
                <w:szCs w:val="22"/>
              </w:rPr>
              <w:t>/d（</w:t>
            </w:r>
            <w:r>
              <w:rPr>
                <w:rFonts w:hint="eastAsia"/>
                <w:color w:val="0000FF"/>
                <w:kern w:val="2"/>
                <w:sz w:val="24"/>
                <w:szCs w:val="22"/>
              </w:rPr>
              <w:t>120</w:t>
            </w:r>
            <w:r>
              <w:rPr>
                <w:color w:val="0000FF"/>
                <w:kern w:val="2"/>
                <w:sz w:val="24"/>
                <w:szCs w:val="22"/>
              </w:rPr>
              <w:t>m</w:t>
            </w:r>
            <w:r>
              <w:rPr>
                <w:color w:val="0000FF"/>
                <w:kern w:val="2"/>
                <w:sz w:val="24"/>
                <w:szCs w:val="22"/>
                <w:vertAlign w:val="superscript"/>
              </w:rPr>
              <w:t>3</w:t>
            </w:r>
            <w:r>
              <w:rPr>
                <w:color w:val="0000FF"/>
                <w:kern w:val="2"/>
                <w:sz w:val="24"/>
                <w:szCs w:val="22"/>
              </w:rPr>
              <w:t>/a），</w:t>
            </w:r>
            <w:r>
              <w:rPr>
                <w:rFonts w:hint="eastAsia"/>
                <w:color w:val="0000FF"/>
                <w:kern w:val="2"/>
                <w:sz w:val="24"/>
                <w:szCs w:val="22"/>
              </w:rPr>
              <w:t>生活废水依托庆阳亿信肥业有限公司化粪池进行处理后由庆阳亿信肥业有限公司统一采用吸污车拉至宁县污水处理厂进行处理。经了解，庆阳亿信肥业厂区现建有一座10m</w:t>
            </w:r>
            <w:r>
              <w:rPr>
                <w:rFonts w:hint="eastAsia"/>
                <w:color w:val="0000FF"/>
                <w:kern w:val="2"/>
                <w:sz w:val="24"/>
                <w:szCs w:val="22"/>
                <w:vertAlign w:val="superscript"/>
              </w:rPr>
              <w:t>3</w:t>
            </w:r>
            <w:r>
              <w:rPr>
                <w:rFonts w:hint="eastAsia"/>
                <w:color w:val="0000FF"/>
                <w:kern w:val="2"/>
                <w:sz w:val="24"/>
                <w:szCs w:val="22"/>
              </w:rPr>
              <w:t>的化粪池用以处理生活废水，亿信肥业生活废水产生量为4.4 m</w:t>
            </w:r>
            <w:r>
              <w:rPr>
                <w:rFonts w:hint="eastAsia"/>
                <w:color w:val="0000FF"/>
                <w:kern w:val="2"/>
                <w:sz w:val="24"/>
                <w:szCs w:val="22"/>
                <w:vertAlign w:val="superscript"/>
              </w:rPr>
              <w:t>3</w:t>
            </w:r>
            <w:r>
              <w:rPr>
                <w:rFonts w:hint="eastAsia"/>
                <w:color w:val="0000FF"/>
                <w:kern w:val="2"/>
                <w:sz w:val="24"/>
                <w:szCs w:val="22"/>
              </w:rPr>
              <w:t>/d，则化粪池尚有5.6m</w:t>
            </w:r>
            <w:r>
              <w:rPr>
                <w:rFonts w:hint="eastAsia"/>
                <w:color w:val="0000FF"/>
                <w:kern w:val="2"/>
                <w:sz w:val="24"/>
                <w:szCs w:val="22"/>
                <w:vertAlign w:val="superscript"/>
              </w:rPr>
              <w:t>3</w:t>
            </w:r>
            <w:r>
              <w:rPr>
                <w:rFonts w:hint="eastAsia"/>
                <w:color w:val="0000FF"/>
                <w:kern w:val="2"/>
                <w:sz w:val="24"/>
                <w:szCs w:val="22"/>
              </w:rPr>
              <w:t>的容量，本项目生活废水产生量为0.4</w:t>
            </w:r>
            <w:r>
              <w:rPr>
                <w:color w:val="0000FF"/>
                <w:kern w:val="2"/>
                <w:sz w:val="24"/>
                <w:szCs w:val="22"/>
              </w:rPr>
              <w:t xml:space="preserve"> m</w:t>
            </w:r>
            <w:r>
              <w:rPr>
                <w:color w:val="0000FF"/>
                <w:kern w:val="2"/>
                <w:sz w:val="24"/>
                <w:szCs w:val="22"/>
                <w:vertAlign w:val="superscript"/>
              </w:rPr>
              <w:t>3</w:t>
            </w:r>
            <w:r>
              <w:rPr>
                <w:color w:val="0000FF"/>
                <w:kern w:val="2"/>
                <w:sz w:val="24"/>
                <w:szCs w:val="22"/>
              </w:rPr>
              <w:t>/d</w:t>
            </w:r>
            <w:r>
              <w:rPr>
                <w:rFonts w:hint="eastAsia"/>
                <w:color w:val="0000FF"/>
                <w:kern w:val="2"/>
                <w:sz w:val="24"/>
                <w:szCs w:val="22"/>
              </w:rPr>
              <w:t>，因而厂区现有化粪池可容纳项目生活废水。</w:t>
            </w:r>
          </w:p>
          <w:p>
            <w:pPr>
              <w:pStyle w:val="14"/>
              <w:spacing w:after="0" w:line="360" w:lineRule="auto"/>
              <w:ind w:firstLine="480" w:firstLineChars="200"/>
              <w:rPr>
                <w:rFonts w:hint="eastAsia"/>
                <w:color w:val="0000FF"/>
                <w:kern w:val="2"/>
                <w:sz w:val="24"/>
                <w:szCs w:val="22"/>
              </w:rPr>
            </w:pPr>
            <w:r>
              <w:rPr>
                <w:color w:val="0000FF"/>
                <w:kern w:val="2"/>
                <w:sz w:val="24"/>
                <w:szCs w:val="22"/>
              </w:rPr>
              <w:t>综上所述，项目运营期产生的废水能够有效合理的处置，对地表水环境不会产生显著的影响。</w:t>
            </w:r>
          </w:p>
          <w:p>
            <w:pPr>
              <w:pStyle w:val="104"/>
              <w:spacing w:line="360" w:lineRule="auto"/>
              <w:ind w:firstLine="570" w:firstLineChars="0"/>
              <w:rPr>
                <w:rFonts w:hint="eastAsia" w:eastAsia="宋体"/>
                <w:b/>
                <w:color w:val="0000FF"/>
                <w:spacing w:val="0"/>
                <w:sz w:val="24"/>
                <w:szCs w:val="28"/>
              </w:rPr>
            </w:pPr>
            <w:r>
              <w:rPr>
                <w:rFonts w:hint="eastAsia" w:eastAsia="宋体"/>
                <w:b/>
                <w:color w:val="0000FF"/>
                <w:spacing w:val="0"/>
                <w:sz w:val="24"/>
                <w:szCs w:val="28"/>
              </w:rPr>
              <w:t>2.2地下水防治措施</w:t>
            </w:r>
          </w:p>
          <w:p>
            <w:pPr>
              <w:autoSpaceDE w:val="0"/>
              <w:autoSpaceDN w:val="0"/>
              <w:spacing w:line="360" w:lineRule="auto"/>
              <w:ind w:firstLine="480" w:firstLineChars="200"/>
              <w:rPr>
                <w:color w:val="0000FF"/>
                <w:sz w:val="24"/>
                <w:szCs w:val="22"/>
              </w:rPr>
            </w:pPr>
            <w:r>
              <w:rPr>
                <w:color w:val="0000FF"/>
                <w:sz w:val="24"/>
                <w:szCs w:val="22"/>
              </w:rPr>
              <w:t>为防止造成地下水污染，厂区采取分区防渗的措施，具体为：</w:t>
            </w:r>
            <w:r>
              <w:rPr>
                <w:rFonts w:hint="eastAsia"/>
                <w:color w:val="0000FF"/>
                <w:sz w:val="24"/>
                <w:szCs w:val="22"/>
              </w:rPr>
              <w:t>储煤库</w:t>
            </w:r>
            <w:r>
              <w:rPr>
                <w:color w:val="0000FF"/>
                <w:sz w:val="24"/>
                <w:szCs w:val="22"/>
              </w:rPr>
              <w:t>为重点防渗区；</w:t>
            </w:r>
            <w:r>
              <w:rPr>
                <w:rFonts w:hint="eastAsia"/>
                <w:color w:val="0000FF"/>
                <w:sz w:val="24"/>
                <w:szCs w:val="22"/>
              </w:rPr>
              <w:t>沉淀池为一般防渗区；</w:t>
            </w:r>
            <w:r>
              <w:rPr>
                <w:color w:val="0000FF"/>
                <w:sz w:val="24"/>
                <w:szCs w:val="22"/>
              </w:rPr>
              <w:t>其他区域为简单防渗区。</w:t>
            </w:r>
          </w:p>
          <w:p>
            <w:pPr>
              <w:pStyle w:val="104"/>
              <w:spacing w:line="360" w:lineRule="auto"/>
              <w:ind w:firstLine="570" w:firstLineChars="0"/>
              <w:rPr>
                <w:rFonts w:hint="eastAsia" w:eastAsia="宋体"/>
                <w:color w:val="0000FF"/>
                <w:spacing w:val="0"/>
                <w:sz w:val="24"/>
                <w:szCs w:val="28"/>
              </w:rPr>
            </w:pPr>
            <w:r>
              <w:rPr>
                <w:rFonts w:hint="eastAsia" w:eastAsia="宋体"/>
                <w:color w:val="0000FF"/>
                <w:spacing w:val="0"/>
                <w:sz w:val="24"/>
                <w:szCs w:val="28"/>
              </w:rPr>
              <w:t>2.2.1重点防渗区</w:t>
            </w:r>
          </w:p>
          <w:p>
            <w:pPr>
              <w:pStyle w:val="104"/>
              <w:spacing w:line="360" w:lineRule="auto"/>
              <w:ind w:firstLine="570" w:firstLineChars="0"/>
              <w:rPr>
                <w:rFonts w:hint="eastAsia" w:eastAsia="宋体"/>
                <w:color w:val="0000FF"/>
                <w:sz w:val="24"/>
                <w:szCs w:val="22"/>
              </w:rPr>
            </w:pPr>
            <w:r>
              <w:rPr>
                <w:rFonts w:hint="eastAsia" w:ascii="宋体" w:hAnsi="宋体" w:eastAsia="宋体"/>
                <w:color w:val="0000FF"/>
                <w:sz w:val="24"/>
                <w:szCs w:val="22"/>
              </w:rPr>
              <w:t>储煤库</w:t>
            </w:r>
            <w:r>
              <w:rPr>
                <w:rFonts w:eastAsia="宋体"/>
                <w:color w:val="0000FF"/>
                <w:sz w:val="24"/>
                <w:szCs w:val="22"/>
              </w:rPr>
              <w:t>为重点防渗区，其防渗要求为：地面底部采取粘土铺底，其上铺设10cm的砂砾并夯实，再铺设HDPE防渗膜，最后铺设10～15cm的抗渗混凝土进行硬化。</w:t>
            </w:r>
          </w:p>
          <w:p>
            <w:pPr>
              <w:pStyle w:val="104"/>
              <w:spacing w:line="360" w:lineRule="auto"/>
              <w:ind w:firstLine="570" w:firstLineChars="0"/>
              <w:rPr>
                <w:rFonts w:hint="eastAsia" w:eastAsia="宋体"/>
                <w:color w:val="0000FF"/>
                <w:spacing w:val="0"/>
                <w:sz w:val="24"/>
                <w:szCs w:val="28"/>
              </w:rPr>
            </w:pPr>
            <w:r>
              <w:rPr>
                <w:rFonts w:hint="eastAsia" w:eastAsia="宋体"/>
                <w:color w:val="0000FF"/>
                <w:spacing w:val="0"/>
                <w:sz w:val="24"/>
                <w:szCs w:val="28"/>
              </w:rPr>
              <w:t>2.2.2一般防渗区</w:t>
            </w:r>
          </w:p>
          <w:p>
            <w:pPr>
              <w:spacing w:line="360" w:lineRule="auto"/>
              <w:ind w:firstLine="480" w:firstLineChars="200"/>
              <w:contextualSpacing/>
              <w:jc w:val="left"/>
              <w:rPr>
                <w:rFonts w:hint="eastAsia"/>
                <w:b/>
                <w:bCs/>
                <w:color w:val="0000FF"/>
                <w:sz w:val="24"/>
              </w:rPr>
            </w:pPr>
            <w:r>
              <w:rPr>
                <w:rFonts w:hint="eastAsia"/>
                <w:color w:val="0000FF"/>
                <w:sz w:val="24"/>
              </w:rPr>
              <w:t>沉淀池</w:t>
            </w:r>
            <w:r>
              <w:rPr>
                <w:color w:val="0000FF"/>
                <w:sz w:val="24"/>
              </w:rPr>
              <w:t>为一般防渗区</w:t>
            </w:r>
            <w:r>
              <w:rPr>
                <w:rFonts w:hint="eastAsia"/>
                <w:color w:val="0000FF"/>
                <w:sz w:val="24"/>
              </w:rPr>
              <w:t>，其防渗要求为：旱厕地面以下部分采用</w:t>
            </w:r>
            <w:r>
              <w:rPr>
                <w:color w:val="0000FF"/>
                <w:sz w:val="24"/>
              </w:rPr>
              <w:t>抗渗混凝土浇筑</w:t>
            </w:r>
            <w:r>
              <w:rPr>
                <w:rFonts w:hint="eastAsia"/>
                <w:color w:val="0000FF"/>
                <w:sz w:val="24"/>
              </w:rPr>
              <w:t>。</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2.2.3简单防渗区</w:t>
            </w:r>
          </w:p>
          <w:p>
            <w:pPr>
              <w:pStyle w:val="104"/>
              <w:spacing w:line="360" w:lineRule="auto"/>
              <w:ind w:firstLine="570" w:firstLineChars="0"/>
              <w:rPr>
                <w:rFonts w:hint="eastAsia" w:eastAsia="宋体"/>
                <w:color w:val="0000FF"/>
                <w:spacing w:val="0"/>
                <w:sz w:val="24"/>
                <w:szCs w:val="28"/>
              </w:rPr>
            </w:pPr>
            <w:r>
              <w:rPr>
                <w:rFonts w:hint="eastAsia" w:eastAsia="宋体"/>
                <w:color w:val="0000FF"/>
                <w:spacing w:val="0"/>
                <w:sz w:val="24"/>
                <w:szCs w:val="28"/>
              </w:rPr>
              <w:t>厂区内除了重点防渗区、一般防渗区、绿化以外的其他区域为简单防渗区，简单防渗区只要求对地面用水泥硬化即可。</w:t>
            </w:r>
          </w:p>
          <w:p>
            <w:pPr>
              <w:pStyle w:val="104"/>
              <w:spacing w:line="360" w:lineRule="auto"/>
              <w:ind w:firstLine="570" w:firstLineChars="0"/>
              <w:rPr>
                <w:rFonts w:eastAsia="宋体"/>
                <w:color w:val="0000FF"/>
                <w:spacing w:val="0"/>
                <w:sz w:val="24"/>
                <w:szCs w:val="28"/>
              </w:rPr>
            </w:pPr>
            <w:r>
              <w:rPr>
                <w:rFonts w:eastAsia="宋体"/>
                <w:color w:val="0000FF"/>
                <w:spacing w:val="0"/>
                <w:sz w:val="24"/>
                <w:szCs w:val="28"/>
              </w:rPr>
              <w:t>综上所述，采取以上</w:t>
            </w:r>
            <w:r>
              <w:rPr>
                <w:rFonts w:hint="eastAsia" w:eastAsia="宋体"/>
                <w:color w:val="0000FF"/>
                <w:spacing w:val="0"/>
                <w:sz w:val="24"/>
                <w:szCs w:val="28"/>
              </w:rPr>
              <w:t>水污染防治</w:t>
            </w:r>
            <w:r>
              <w:rPr>
                <w:rFonts w:eastAsia="宋体"/>
                <w:color w:val="0000FF"/>
                <w:spacing w:val="0"/>
                <w:sz w:val="24"/>
                <w:szCs w:val="28"/>
              </w:rPr>
              <w:t>措施后，运营期产生废水对水环境不会造成影响。</w:t>
            </w:r>
          </w:p>
          <w:p>
            <w:pPr>
              <w:pStyle w:val="94"/>
              <w:spacing w:beforeLines="50" w:line="360" w:lineRule="auto"/>
              <w:ind w:firstLine="0" w:firstLineChars="0"/>
              <w:rPr>
                <w:b/>
                <w:color w:val="0000FF"/>
                <w:spacing w:val="0"/>
                <w:sz w:val="24"/>
                <w:szCs w:val="28"/>
              </w:rPr>
            </w:pPr>
            <w:r>
              <w:rPr>
                <w:rFonts w:hint="eastAsia"/>
                <w:b/>
                <w:color w:val="0000FF"/>
                <w:spacing w:val="0"/>
                <w:sz w:val="24"/>
                <w:szCs w:val="28"/>
              </w:rPr>
              <w:t>3</w:t>
            </w:r>
            <w:r>
              <w:rPr>
                <w:b/>
                <w:color w:val="0000FF"/>
                <w:spacing w:val="0"/>
                <w:sz w:val="24"/>
                <w:szCs w:val="28"/>
              </w:rPr>
              <w:t>、噪声治理措施</w:t>
            </w:r>
          </w:p>
          <w:p>
            <w:pPr>
              <w:tabs>
                <w:tab w:val="left" w:pos="1335"/>
              </w:tabs>
              <w:spacing w:line="360" w:lineRule="auto"/>
              <w:ind w:firstLine="480" w:firstLineChars="200"/>
              <w:rPr>
                <w:color w:val="0000FF"/>
                <w:sz w:val="24"/>
              </w:rPr>
            </w:pPr>
            <w:r>
              <w:rPr>
                <w:color w:val="0000FF"/>
                <w:sz w:val="24"/>
              </w:rPr>
              <w:t>本项目运营期主要产噪设备为</w:t>
            </w:r>
            <w:r>
              <w:rPr>
                <w:rFonts w:hint="eastAsia"/>
                <w:color w:val="0000FF"/>
                <w:sz w:val="24"/>
              </w:rPr>
              <w:t>分拣机</w:t>
            </w:r>
            <w:r>
              <w:rPr>
                <w:color w:val="0000FF"/>
                <w:sz w:val="24"/>
              </w:rPr>
              <w:t>、</w:t>
            </w:r>
            <w:r>
              <w:rPr>
                <w:rFonts w:hint="eastAsia"/>
                <w:color w:val="0000FF"/>
                <w:sz w:val="24"/>
              </w:rPr>
              <w:t>风机</w:t>
            </w:r>
            <w:r>
              <w:rPr>
                <w:color w:val="0000FF"/>
                <w:sz w:val="24"/>
              </w:rPr>
              <w:t>，其声级值为9</w:t>
            </w:r>
            <w:r>
              <w:rPr>
                <w:rFonts w:hint="eastAsia"/>
                <w:color w:val="0000FF"/>
                <w:sz w:val="24"/>
              </w:rPr>
              <w:t>0</w:t>
            </w:r>
            <w:r>
              <w:rPr>
                <w:color w:val="0000FF"/>
                <w:sz w:val="24"/>
              </w:rPr>
              <w:t>dB(A)；为了减轻各类设备噪声对工作人员产生影响，根据各类噪声的声源特征，提出以下噪声防治措施。</w:t>
            </w:r>
          </w:p>
          <w:p>
            <w:pPr>
              <w:spacing w:line="360" w:lineRule="auto"/>
              <w:ind w:firstLine="480" w:firstLineChars="200"/>
              <w:rPr>
                <w:color w:val="0000FF"/>
                <w:sz w:val="24"/>
              </w:rPr>
            </w:pPr>
            <w:r>
              <w:rPr>
                <w:color w:val="0000FF"/>
                <w:sz w:val="24"/>
              </w:rPr>
              <w:t>（1）尽量选用低噪声设备，从源头减少噪声的产生；</w:t>
            </w:r>
          </w:p>
          <w:p>
            <w:pPr>
              <w:spacing w:line="360" w:lineRule="auto"/>
              <w:ind w:firstLine="480" w:firstLineChars="200"/>
              <w:rPr>
                <w:color w:val="0000FF"/>
                <w:sz w:val="24"/>
              </w:rPr>
            </w:pPr>
            <w:r>
              <w:rPr>
                <w:color w:val="0000FF"/>
                <w:sz w:val="24"/>
              </w:rPr>
              <w:t>（2）加强设备的维护，确保设备处于良好的运转状态，杜绝因设备不正常运转时产生的高噪声现象；</w:t>
            </w:r>
          </w:p>
          <w:p>
            <w:pPr>
              <w:spacing w:line="360" w:lineRule="auto"/>
              <w:ind w:firstLine="480" w:firstLineChars="200"/>
              <w:rPr>
                <w:color w:val="0000FF"/>
                <w:sz w:val="24"/>
              </w:rPr>
            </w:pPr>
            <w:r>
              <w:rPr>
                <w:color w:val="0000FF"/>
                <w:sz w:val="24"/>
              </w:rPr>
              <w:t>（3）高噪音设备进行基础减震处理，在机座下加减振器等；</w:t>
            </w:r>
          </w:p>
          <w:p>
            <w:pPr>
              <w:spacing w:line="360" w:lineRule="auto"/>
              <w:ind w:firstLine="480" w:firstLineChars="200"/>
              <w:rPr>
                <w:color w:val="0000FF"/>
                <w:sz w:val="24"/>
              </w:rPr>
            </w:pPr>
            <w:r>
              <w:rPr>
                <w:color w:val="0000FF"/>
                <w:sz w:val="24"/>
              </w:rPr>
              <w:t>（4）厂房应考虑选用隔声较好的材料，安装隔声门窗等进行降噪；</w:t>
            </w:r>
          </w:p>
          <w:p>
            <w:pPr>
              <w:kinsoku w:val="0"/>
              <w:spacing w:line="360" w:lineRule="auto"/>
              <w:ind w:firstLine="480" w:firstLineChars="200"/>
              <w:contextualSpacing/>
              <w:jc w:val="left"/>
              <w:textAlignment w:val="baseline"/>
              <w:rPr>
                <w:color w:val="0000FF"/>
                <w:sz w:val="24"/>
              </w:rPr>
            </w:pPr>
            <w:r>
              <w:rPr>
                <w:color w:val="0000FF"/>
                <w:sz w:val="24"/>
              </w:rPr>
              <w:t>（5）在设计中合理布局，充分利用厂内建筑物的隔声作用，以减轻各类声源对周围环境的影响；</w:t>
            </w:r>
          </w:p>
          <w:p>
            <w:pPr>
              <w:spacing w:line="360" w:lineRule="auto"/>
              <w:ind w:firstLine="480" w:firstLineChars="200"/>
              <w:rPr>
                <w:color w:val="0000FF"/>
                <w:sz w:val="24"/>
              </w:rPr>
            </w:pPr>
            <w:r>
              <w:rPr>
                <w:color w:val="0000FF"/>
                <w:sz w:val="24"/>
              </w:rPr>
              <w:t>（6）利用绿化带、植被吸声。</w:t>
            </w:r>
          </w:p>
          <w:p>
            <w:pPr>
              <w:tabs>
                <w:tab w:val="left" w:pos="1335"/>
              </w:tabs>
              <w:spacing w:line="360" w:lineRule="auto"/>
              <w:ind w:firstLine="480" w:firstLineChars="200"/>
              <w:rPr>
                <w:color w:val="0000FF"/>
                <w:sz w:val="24"/>
              </w:rPr>
            </w:pPr>
            <w:r>
              <w:rPr>
                <w:color w:val="0000FF"/>
                <w:sz w:val="24"/>
              </w:rPr>
              <w:t>本项目在采取以上降噪措施后，运转设备产生噪声再经距离衰减后，可满足《工业企业厂界环境噪声排放标准》（GB12348-2008）中的</w:t>
            </w:r>
            <w:r>
              <w:rPr>
                <w:rFonts w:hint="eastAsia"/>
                <w:color w:val="0000FF"/>
                <w:sz w:val="24"/>
              </w:rPr>
              <w:t>3</w:t>
            </w:r>
            <w:r>
              <w:rPr>
                <w:color w:val="0000FF"/>
                <w:sz w:val="24"/>
              </w:rPr>
              <w:t>类标准限值的要求。</w:t>
            </w:r>
          </w:p>
          <w:p>
            <w:pPr>
              <w:spacing w:line="360" w:lineRule="auto"/>
              <w:ind w:firstLine="480" w:firstLineChars="200"/>
              <w:rPr>
                <w:color w:val="0000FF"/>
                <w:sz w:val="24"/>
              </w:rPr>
            </w:pPr>
            <w:r>
              <w:rPr>
                <w:color w:val="0000FF"/>
                <w:sz w:val="24"/>
              </w:rPr>
              <w:t>因此，本项目运营期采取的噪声污染防治措施行之有效。</w:t>
            </w:r>
          </w:p>
          <w:p>
            <w:pPr>
              <w:pStyle w:val="94"/>
              <w:spacing w:beforeLines="50" w:line="440" w:lineRule="exact"/>
              <w:ind w:firstLine="0" w:firstLineChars="0"/>
              <w:rPr>
                <w:b/>
                <w:color w:val="0000FF"/>
                <w:spacing w:val="0"/>
                <w:sz w:val="24"/>
                <w:szCs w:val="28"/>
              </w:rPr>
            </w:pPr>
            <w:r>
              <w:rPr>
                <w:rFonts w:hint="eastAsia"/>
                <w:b/>
                <w:color w:val="0000FF"/>
                <w:spacing w:val="0"/>
                <w:sz w:val="24"/>
                <w:szCs w:val="28"/>
              </w:rPr>
              <w:t>4</w:t>
            </w:r>
            <w:r>
              <w:rPr>
                <w:b/>
                <w:color w:val="0000FF"/>
                <w:spacing w:val="0"/>
                <w:sz w:val="24"/>
                <w:szCs w:val="28"/>
              </w:rPr>
              <w:t>、固体废弃物治理措施</w:t>
            </w:r>
          </w:p>
          <w:p>
            <w:pPr>
              <w:pStyle w:val="104"/>
              <w:spacing w:line="360" w:lineRule="auto"/>
              <w:ind w:firstLine="504"/>
              <w:rPr>
                <w:rFonts w:hint="eastAsia" w:eastAsia="宋体"/>
                <w:color w:val="0000FF"/>
                <w:sz w:val="24"/>
              </w:rPr>
            </w:pPr>
            <w:r>
              <w:rPr>
                <w:rFonts w:hint="eastAsia" w:eastAsia="宋体"/>
                <w:color w:val="0000FF"/>
                <w:sz w:val="24"/>
              </w:rPr>
              <w:t>主要为沉淀池煤泥、布袋除尘器收集灰和工作人员生活垃圾。</w:t>
            </w:r>
          </w:p>
          <w:p>
            <w:pPr>
              <w:pStyle w:val="104"/>
              <w:spacing w:line="360" w:lineRule="auto"/>
              <w:ind w:firstLine="504"/>
              <w:rPr>
                <w:rFonts w:hint="eastAsia" w:eastAsia="宋体"/>
                <w:color w:val="0000FF"/>
                <w:sz w:val="22"/>
              </w:rPr>
            </w:pPr>
            <w:r>
              <w:rPr>
                <w:rFonts w:eastAsia="宋体"/>
                <w:color w:val="0000FF"/>
                <w:sz w:val="24"/>
                <w:szCs w:val="22"/>
              </w:rPr>
              <w:t>员工生活垃圾集中收集后统一运送到当地环卫部门指定的地点。</w:t>
            </w:r>
            <w:r>
              <w:rPr>
                <w:rFonts w:hint="eastAsia" w:eastAsia="宋体"/>
                <w:color w:val="0000FF"/>
                <w:sz w:val="24"/>
                <w:szCs w:val="22"/>
              </w:rPr>
              <w:t>沉淀池煤泥定期清掏后外售。</w:t>
            </w:r>
            <w:r>
              <w:rPr>
                <w:rFonts w:hint="eastAsia" w:eastAsia="宋体"/>
                <w:color w:val="0000FF"/>
                <w:sz w:val="24"/>
              </w:rPr>
              <w:t>布袋除尘器收集后外售。</w:t>
            </w:r>
          </w:p>
          <w:p>
            <w:pPr>
              <w:pStyle w:val="104"/>
              <w:spacing w:line="360" w:lineRule="auto"/>
              <w:ind w:firstLine="480"/>
              <w:rPr>
                <w:rFonts w:hint="eastAsia" w:eastAsia="宋体"/>
                <w:color w:val="0000FF"/>
                <w:spacing w:val="0"/>
                <w:sz w:val="24"/>
                <w:szCs w:val="28"/>
              </w:rPr>
            </w:pPr>
            <w:r>
              <w:rPr>
                <w:rFonts w:hint="eastAsia" w:eastAsia="宋体"/>
                <w:color w:val="0000FF"/>
                <w:spacing w:val="0"/>
                <w:sz w:val="24"/>
                <w:szCs w:val="28"/>
              </w:rPr>
              <w:t>综上，项目产生的固体废物均可得到妥善的处置，对周围环境影响较小。</w:t>
            </w:r>
          </w:p>
          <w:p>
            <w:pPr>
              <w:pStyle w:val="94"/>
              <w:spacing w:beforeLines="50" w:line="440" w:lineRule="exact"/>
              <w:ind w:firstLine="0" w:firstLineChars="0"/>
              <w:rPr>
                <w:b/>
                <w:color w:val="0000FF"/>
                <w:spacing w:val="0"/>
                <w:sz w:val="24"/>
                <w:szCs w:val="28"/>
              </w:rPr>
            </w:pPr>
            <w:r>
              <w:rPr>
                <w:rFonts w:hint="eastAsia"/>
                <w:b/>
                <w:color w:val="0000FF"/>
                <w:spacing w:val="0"/>
                <w:sz w:val="24"/>
                <w:szCs w:val="28"/>
              </w:rPr>
              <w:t>5</w:t>
            </w:r>
            <w:r>
              <w:rPr>
                <w:b/>
                <w:color w:val="0000FF"/>
                <w:spacing w:val="0"/>
                <w:sz w:val="24"/>
                <w:szCs w:val="28"/>
              </w:rPr>
              <w:t>、环保投资</w:t>
            </w:r>
          </w:p>
          <w:p>
            <w:pPr>
              <w:spacing w:line="440" w:lineRule="exact"/>
              <w:ind w:firstLine="573"/>
              <w:rPr>
                <w:color w:val="0000FF"/>
                <w:kern w:val="0"/>
                <w:sz w:val="24"/>
                <w:szCs w:val="28"/>
              </w:rPr>
            </w:pPr>
            <w:r>
              <w:rPr>
                <w:color w:val="0000FF"/>
                <w:kern w:val="0"/>
                <w:sz w:val="24"/>
                <w:szCs w:val="28"/>
              </w:rPr>
              <w:t>该项目环保投资共</w:t>
            </w:r>
            <w:r>
              <w:rPr>
                <w:rFonts w:hint="eastAsia"/>
                <w:color w:val="0000FF"/>
                <w:kern w:val="0"/>
                <w:sz w:val="24"/>
                <w:szCs w:val="28"/>
              </w:rPr>
              <w:t>200</w:t>
            </w:r>
            <w:r>
              <w:rPr>
                <w:color w:val="0000FF"/>
                <w:kern w:val="0"/>
                <w:sz w:val="24"/>
                <w:szCs w:val="28"/>
              </w:rPr>
              <w:t>万元，占项目总投资的</w:t>
            </w:r>
            <w:r>
              <w:rPr>
                <w:rFonts w:hint="eastAsia"/>
                <w:color w:val="0000FF"/>
                <w:kern w:val="0"/>
                <w:sz w:val="24"/>
                <w:szCs w:val="28"/>
              </w:rPr>
              <w:t>22.5</w:t>
            </w:r>
            <w:r>
              <w:rPr>
                <w:color w:val="0000FF"/>
                <w:kern w:val="0"/>
                <w:sz w:val="24"/>
                <w:szCs w:val="28"/>
              </w:rPr>
              <w:t>%。环保投资明细详见表3</w:t>
            </w:r>
            <w:r>
              <w:rPr>
                <w:rFonts w:hint="eastAsia"/>
                <w:color w:val="0000FF"/>
                <w:kern w:val="0"/>
                <w:sz w:val="24"/>
                <w:szCs w:val="28"/>
              </w:rPr>
              <w:t>2</w:t>
            </w:r>
            <w:r>
              <w:rPr>
                <w:color w:val="0000FF"/>
                <w:kern w:val="0"/>
                <w:sz w:val="24"/>
                <w:szCs w:val="28"/>
              </w:rPr>
              <w:t>。</w:t>
            </w:r>
          </w:p>
          <w:p>
            <w:pPr>
              <w:widowControl/>
              <w:spacing w:line="440" w:lineRule="exact"/>
              <w:ind w:firstLine="600" w:firstLineChars="250"/>
              <w:jc w:val="center"/>
              <w:rPr>
                <w:b/>
                <w:color w:val="0000FF"/>
                <w:sz w:val="24"/>
              </w:rPr>
            </w:pPr>
            <w:r>
              <w:rPr>
                <w:b/>
                <w:color w:val="0000FF"/>
                <w:sz w:val="24"/>
              </w:rPr>
              <w:t>表</w:t>
            </w:r>
            <w:r>
              <w:rPr>
                <w:rFonts w:hint="eastAsia"/>
                <w:b/>
                <w:color w:val="0000FF"/>
                <w:sz w:val="24"/>
              </w:rPr>
              <w:t>32</w:t>
            </w:r>
            <w:r>
              <w:rPr>
                <w:b/>
                <w:color w:val="0000FF"/>
                <w:sz w:val="24"/>
              </w:rPr>
              <w:t xml:space="preserve">  环保投资明细表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45"/>
              <w:gridCol w:w="507"/>
              <w:gridCol w:w="1654"/>
              <w:gridCol w:w="3827"/>
              <w:gridCol w:w="1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845" w:type="dxa"/>
                  <w:vAlign w:val="center"/>
                </w:tcPr>
                <w:p>
                  <w:pPr>
                    <w:adjustRightInd w:val="0"/>
                    <w:snapToGrid w:val="0"/>
                    <w:jc w:val="center"/>
                    <w:rPr>
                      <w:color w:val="0000FF"/>
                      <w:szCs w:val="21"/>
                    </w:rPr>
                  </w:pPr>
                  <w:r>
                    <w:rPr>
                      <w:color w:val="0000FF"/>
                      <w:szCs w:val="21"/>
                    </w:rPr>
                    <w:t>类别</w:t>
                  </w:r>
                </w:p>
              </w:tc>
              <w:tc>
                <w:tcPr>
                  <w:tcW w:w="2161" w:type="dxa"/>
                  <w:gridSpan w:val="2"/>
                  <w:vAlign w:val="center"/>
                </w:tcPr>
                <w:p>
                  <w:pPr>
                    <w:adjustRightInd w:val="0"/>
                    <w:snapToGrid w:val="0"/>
                    <w:jc w:val="center"/>
                    <w:rPr>
                      <w:color w:val="0000FF"/>
                      <w:szCs w:val="21"/>
                    </w:rPr>
                  </w:pPr>
                  <w:r>
                    <w:rPr>
                      <w:color w:val="0000FF"/>
                      <w:szCs w:val="21"/>
                    </w:rPr>
                    <w:t>项目</w:t>
                  </w:r>
                </w:p>
              </w:tc>
              <w:tc>
                <w:tcPr>
                  <w:tcW w:w="3827" w:type="dxa"/>
                  <w:vAlign w:val="center"/>
                </w:tcPr>
                <w:p>
                  <w:pPr>
                    <w:adjustRightInd w:val="0"/>
                    <w:snapToGrid w:val="0"/>
                    <w:jc w:val="center"/>
                    <w:rPr>
                      <w:color w:val="0000FF"/>
                      <w:szCs w:val="21"/>
                    </w:rPr>
                  </w:pPr>
                  <w:r>
                    <w:rPr>
                      <w:color w:val="0000FF"/>
                      <w:szCs w:val="21"/>
                    </w:rPr>
                    <w:t>具体措施</w:t>
                  </w:r>
                </w:p>
              </w:tc>
              <w:tc>
                <w:tcPr>
                  <w:tcW w:w="1362" w:type="dxa"/>
                  <w:vAlign w:val="center"/>
                </w:tcPr>
                <w:p>
                  <w:pPr>
                    <w:adjustRightInd w:val="0"/>
                    <w:snapToGrid w:val="0"/>
                    <w:jc w:val="center"/>
                    <w:rPr>
                      <w:color w:val="0000FF"/>
                      <w:szCs w:val="21"/>
                    </w:rPr>
                  </w:pPr>
                  <w:r>
                    <w:rPr>
                      <w:color w:val="0000FF"/>
                      <w:szCs w:val="21"/>
                    </w:rPr>
                    <w:t>投资</w:t>
                  </w:r>
                </w:p>
                <w:p>
                  <w:pPr>
                    <w:adjustRightInd w:val="0"/>
                    <w:snapToGrid w:val="0"/>
                    <w:jc w:val="center"/>
                    <w:rPr>
                      <w:color w:val="0000FF"/>
                      <w:szCs w:val="21"/>
                    </w:rPr>
                  </w:pPr>
                  <w:r>
                    <w:rPr>
                      <w:rFonts w:hAnsi="宋体" w:cs="宋体"/>
                      <w:color w:val="0000FF"/>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45" w:type="dxa"/>
                  <w:vMerge w:val="restart"/>
                  <w:vAlign w:val="center"/>
                </w:tcPr>
                <w:p>
                  <w:pPr>
                    <w:adjustRightInd w:val="0"/>
                    <w:snapToGrid w:val="0"/>
                    <w:jc w:val="center"/>
                    <w:rPr>
                      <w:color w:val="0000FF"/>
                      <w:szCs w:val="21"/>
                    </w:rPr>
                  </w:pPr>
                  <w:r>
                    <w:rPr>
                      <w:color w:val="0000FF"/>
                      <w:szCs w:val="21"/>
                    </w:rPr>
                    <w:t>施工期</w:t>
                  </w:r>
                </w:p>
              </w:tc>
              <w:tc>
                <w:tcPr>
                  <w:tcW w:w="2161" w:type="dxa"/>
                  <w:gridSpan w:val="2"/>
                  <w:vAlign w:val="center"/>
                </w:tcPr>
                <w:p>
                  <w:pPr>
                    <w:adjustRightInd w:val="0"/>
                    <w:snapToGrid w:val="0"/>
                    <w:jc w:val="center"/>
                    <w:rPr>
                      <w:color w:val="0000FF"/>
                      <w:szCs w:val="21"/>
                    </w:rPr>
                  </w:pPr>
                  <w:r>
                    <w:rPr>
                      <w:color w:val="0000FF"/>
                      <w:szCs w:val="21"/>
                    </w:rPr>
                    <w:t>扬尘</w:t>
                  </w:r>
                </w:p>
              </w:tc>
              <w:tc>
                <w:tcPr>
                  <w:tcW w:w="3827" w:type="dxa"/>
                  <w:vAlign w:val="center"/>
                </w:tcPr>
                <w:p>
                  <w:pPr>
                    <w:adjustRightInd w:val="0"/>
                    <w:snapToGrid w:val="0"/>
                    <w:jc w:val="center"/>
                    <w:rPr>
                      <w:color w:val="0000FF"/>
                      <w:szCs w:val="21"/>
                    </w:rPr>
                  </w:pPr>
                  <w:r>
                    <w:rPr>
                      <w:color w:val="0000FF"/>
                      <w:szCs w:val="21"/>
                    </w:rPr>
                    <w:t>洒水降尘、及时清扫路面尘土</w:t>
                  </w:r>
                </w:p>
              </w:tc>
              <w:tc>
                <w:tcPr>
                  <w:tcW w:w="1362" w:type="dxa"/>
                  <w:vAlign w:val="center"/>
                </w:tcPr>
                <w:p>
                  <w:pPr>
                    <w:adjustRightInd w:val="0"/>
                    <w:snapToGrid w:val="0"/>
                    <w:jc w:val="center"/>
                    <w:rPr>
                      <w:color w:val="0000FF"/>
                      <w:szCs w:val="21"/>
                    </w:rPr>
                  </w:pPr>
                  <w:r>
                    <w:rPr>
                      <w:color w:val="0000FF"/>
                      <w:szCs w:val="21"/>
                    </w:rPr>
                    <w:t>0.</w:t>
                  </w:r>
                  <w:r>
                    <w:rPr>
                      <w:rFonts w:hint="eastAsia"/>
                      <w:color w:val="0000FF"/>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45" w:type="dxa"/>
                  <w:vMerge w:val="continue"/>
                  <w:vAlign w:val="center"/>
                </w:tcPr>
                <w:p>
                  <w:pPr>
                    <w:adjustRightInd w:val="0"/>
                    <w:snapToGrid w:val="0"/>
                    <w:jc w:val="center"/>
                    <w:rPr>
                      <w:color w:val="0000FF"/>
                      <w:szCs w:val="21"/>
                    </w:rPr>
                  </w:pPr>
                </w:p>
              </w:tc>
              <w:tc>
                <w:tcPr>
                  <w:tcW w:w="2161" w:type="dxa"/>
                  <w:gridSpan w:val="2"/>
                  <w:vAlign w:val="center"/>
                </w:tcPr>
                <w:p>
                  <w:pPr>
                    <w:adjustRightInd w:val="0"/>
                    <w:snapToGrid w:val="0"/>
                    <w:jc w:val="center"/>
                    <w:rPr>
                      <w:color w:val="0000FF"/>
                      <w:szCs w:val="21"/>
                    </w:rPr>
                  </w:pPr>
                  <w:r>
                    <w:rPr>
                      <w:color w:val="0000FF"/>
                      <w:szCs w:val="21"/>
                    </w:rPr>
                    <w:t>噪声</w:t>
                  </w:r>
                </w:p>
              </w:tc>
              <w:tc>
                <w:tcPr>
                  <w:tcW w:w="3827" w:type="dxa"/>
                  <w:vAlign w:val="center"/>
                </w:tcPr>
                <w:p>
                  <w:pPr>
                    <w:adjustRightInd w:val="0"/>
                    <w:snapToGrid w:val="0"/>
                    <w:jc w:val="center"/>
                    <w:rPr>
                      <w:color w:val="0000FF"/>
                      <w:szCs w:val="21"/>
                    </w:rPr>
                  </w:pPr>
                  <w:r>
                    <w:rPr>
                      <w:color w:val="0000FF"/>
                      <w:szCs w:val="21"/>
                    </w:rPr>
                    <w:t xml:space="preserve">简易隔声屏障、使用低噪声施工设备 </w:t>
                  </w:r>
                </w:p>
              </w:tc>
              <w:tc>
                <w:tcPr>
                  <w:tcW w:w="1362" w:type="dxa"/>
                  <w:vAlign w:val="center"/>
                </w:tcPr>
                <w:p>
                  <w:pPr>
                    <w:adjustRightInd w:val="0"/>
                    <w:snapToGrid w:val="0"/>
                    <w:jc w:val="center"/>
                    <w:rPr>
                      <w:color w:val="0000FF"/>
                      <w:szCs w:val="21"/>
                    </w:rPr>
                  </w:pPr>
                  <w:r>
                    <w:rPr>
                      <w:color w:val="0000FF"/>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845" w:type="dxa"/>
                  <w:vMerge w:val="continue"/>
                  <w:vAlign w:val="center"/>
                </w:tcPr>
                <w:p>
                  <w:pPr>
                    <w:adjustRightInd w:val="0"/>
                    <w:snapToGrid w:val="0"/>
                    <w:jc w:val="center"/>
                    <w:rPr>
                      <w:color w:val="0000FF"/>
                      <w:szCs w:val="21"/>
                    </w:rPr>
                  </w:pPr>
                </w:p>
              </w:tc>
              <w:tc>
                <w:tcPr>
                  <w:tcW w:w="2161" w:type="dxa"/>
                  <w:gridSpan w:val="2"/>
                  <w:vAlign w:val="center"/>
                </w:tcPr>
                <w:p>
                  <w:pPr>
                    <w:adjustRightInd w:val="0"/>
                    <w:snapToGrid w:val="0"/>
                    <w:jc w:val="center"/>
                    <w:rPr>
                      <w:color w:val="0000FF"/>
                      <w:szCs w:val="21"/>
                    </w:rPr>
                  </w:pPr>
                  <w:r>
                    <w:rPr>
                      <w:color w:val="0000FF"/>
                      <w:szCs w:val="21"/>
                    </w:rPr>
                    <w:t>固体废弃物</w:t>
                  </w:r>
                </w:p>
              </w:tc>
              <w:tc>
                <w:tcPr>
                  <w:tcW w:w="3827" w:type="dxa"/>
                  <w:vAlign w:val="center"/>
                </w:tcPr>
                <w:p>
                  <w:pPr>
                    <w:adjustRightInd w:val="0"/>
                    <w:snapToGrid w:val="0"/>
                    <w:jc w:val="center"/>
                    <w:rPr>
                      <w:color w:val="0000FF"/>
                      <w:szCs w:val="21"/>
                    </w:rPr>
                  </w:pPr>
                  <w:r>
                    <w:rPr>
                      <w:color w:val="0000FF"/>
                      <w:szCs w:val="21"/>
                    </w:rPr>
                    <w:t>生活垃圾运往环卫部门指定地点</w:t>
                  </w:r>
                </w:p>
              </w:tc>
              <w:tc>
                <w:tcPr>
                  <w:tcW w:w="1362" w:type="dxa"/>
                  <w:vAlign w:val="center"/>
                </w:tcPr>
                <w:p>
                  <w:pPr>
                    <w:adjustRightInd w:val="0"/>
                    <w:snapToGrid w:val="0"/>
                    <w:jc w:val="center"/>
                    <w:rPr>
                      <w:color w:val="0000FF"/>
                      <w:szCs w:val="21"/>
                    </w:rPr>
                  </w:pPr>
                  <w:r>
                    <w:rPr>
                      <w:color w:val="0000FF"/>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4" w:hRule="atLeast"/>
                <w:jc w:val="center"/>
              </w:trPr>
              <w:tc>
                <w:tcPr>
                  <w:tcW w:w="845" w:type="dxa"/>
                  <w:vMerge w:val="continue"/>
                  <w:vAlign w:val="center"/>
                </w:tcPr>
                <w:p>
                  <w:pPr>
                    <w:adjustRightInd w:val="0"/>
                    <w:snapToGrid w:val="0"/>
                    <w:jc w:val="center"/>
                    <w:rPr>
                      <w:color w:val="0000FF"/>
                      <w:szCs w:val="21"/>
                    </w:rPr>
                  </w:pPr>
                </w:p>
              </w:tc>
              <w:tc>
                <w:tcPr>
                  <w:tcW w:w="2161" w:type="dxa"/>
                  <w:gridSpan w:val="2"/>
                  <w:vAlign w:val="center"/>
                </w:tcPr>
                <w:p>
                  <w:pPr>
                    <w:adjustRightInd w:val="0"/>
                    <w:snapToGrid w:val="0"/>
                    <w:jc w:val="center"/>
                    <w:rPr>
                      <w:color w:val="0000FF"/>
                      <w:szCs w:val="21"/>
                    </w:rPr>
                  </w:pPr>
                  <w:r>
                    <w:rPr>
                      <w:rFonts w:hint="eastAsia"/>
                      <w:color w:val="0000FF"/>
                      <w:szCs w:val="21"/>
                    </w:rPr>
                    <w:t>废水</w:t>
                  </w:r>
                </w:p>
              </w:tc>
              <w:tc>
                <w:tcPr>
                  <w:tcW w:w="3827" w:type="dxa"/>
                  <w:vAlign w:val="center"/>
                </w:tcPr>
                <w:p>
                  <w:pPr>
                    <w:adjustRightInd w:val="0"/>
                    <w:snapToGrid w:val="0"/>
                    <w:jc w:val="center"/>
                    <w:rPr>
                      <w:color w:val="0000FF"/>
                      <w:szCs w:val="21"/>
                    </w:rPr>
                  </w:pPr>
                  <w:r>
                    <w:rPr>
                      <w:rFonts w:hint="eastAsia"/>
                      <w:color w:val="0000FF"/>
                      <w:szCs w:val="21"/>
                    </w:rPr>
                    <w:t>一座10m</w:t>
                  </w:r>
                  <w:r>
                    <w:rPr>
                      <w:rFonts w:hint="eastAsia"/>
                      <w:color w:val="0000FF"/>
                      <w:szCs w:val="21"/>
                      <w:vertAlign w:val="superscript"/>
                    </w:rPr>
                    <w:t>3</w:t>
                  </w:r>
                  <w:r>
                    <w:rPr>
                      <w:rFonts w:hint="eastAsia"/>
                      <w:color w:val="0000FF"/>
                      <w:szCs w:val="21"/>
                    </w:rPr>
                    <w:t>防渗沉淀池</w:t>
                  </w:r>
                </w:p>
              </w:tc>
              <w:tc>
                <w:tcPr>
                  <w:tcW w:w="1362" w:type="dxa"/>
                  <w:vAlign w:val="center"/>
                </w:tcPr>
                <w:p>
                  <w:pPr>
                    <w:adjustRightInd w:val="0"/>
                    <w:snapToGrid w:val="0"/>
                    <w:jc w:val="center"/>
                    <w:rPr>
                      <w:color w:val="0000FF"/>
                      <w:szCs w:val="21"/>
                    </w:rPr>
                  </w:pPr>
                  <w:r>
                    <w:rPr>
                      <w:color w:val="0000FF"/>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restart"/>
                  <w:vAlign w:val="center"/>
                </w:tcPr>
                <w:p>
                  <w:pPr>
                    <w:adjustRightInd w:val="0"/>
                    <w:snapToGrid w:val="0"/>
                    <w:jc w:val="center"/>
                    <w:rPr>
                      <w:color w:val="0000FF"/>
                      <w:szCs w:val="21"/>
                    </w:rPr>
                  </w:pPr>
                  <w:r>
                    <w:rPr>
                      <w:color w:val="0000FF"/>
                      <w:szCs w:val="21"/>
                    </w:rPr>
                    <w:t>运营期</w:t>
                  </w:r>
                </w:p>
              </w:tc>
              <w:tc>
                <w:tcPr>
                  <w:tcW w:w="507" w:type="dxa"/>
                  <w:vMerge w:val="restart"/>
                  <w:vAlign w:val="center"/>
                </w:tcPr>
                <w:p>
                  <w:pPr>
                    <w:adjustRightInd w:val="0"/>
                    <w:snapToGrid w:val="0"/>
                    <w:jc w:val="center"/>
                    <w:rPr>
                      <w:color w:val="0000FF"/>
                      <w:szCs w:val="21"/>
                    </w:rPr>
                  </w:pPr>
                  <w:r>
                    <w:rPr>
                      <w:color w:val="0000FF"/>
                      <w:szCs w:val="21"/>
                    </w:rPr>
                    <w:t>废气</w:t>
                  </w:r>
                </w:p>
              </w:tc>
              <w:tc>
                <w:tcPr>
                  <w:tcW w:w="1654" w:type="dxa"/>
                  <w:vAlign w:val="center"/>
                </w:tcPr>
                <w:p>
                  <w:pPr>
                    <w:adjustRightInd w:val="0"/>
                    <w:snapToGrid w:val="0"/>
                    <w:jc w:val="center"/>
                    <w:rPr>
                      <w:color w:val="0000FF"/>
                      <w:szCs w:val="21"/>
                    </w:rPr>
                  </w:pPr>
                  <w:r>
                    <w:rPr>
                      <w:rFonts w:hint="eastAsia"/>
                      <w:color w:val="0000FF"/>
                      <w:szCs w:val="21"/>
                    </w:rPr>
                    <w:t>筛分粉尘</w:t>
                  </w:r>
                </w:p>
              </w:tc>
              <w:tc>
                <w:tcPr>
                  <w:tcW w:w="3827" w:type="dxa"/>
                  <w:vAlign w:val="center"/>
                </w:tcPr>
                <w:p>
                  <w:pPr>
                    <w:adjustRightInd w:val="0"/>
                    <w:snapToGrid w:val="0"/>
                    <w:jc w:val="center"/>
                    <w:rPr>
                      <w:color w:val="0000FF"/>
                      <w:szCs w:val="21"/>
                    </w:rPr>
                  </w:pPr>
                  <w:r>
                    <w:rPr>
                      <w:rFonts w:hint="eastAsia"/>
                      <w:color w:val="0000FF"/>
                      <w:szCs w:val="21"/>
                    </w:rPr>
                    <w:t>1套布袋除尘器+1根15m高排气筒</w:t>
                  </w:r>
                </w:p>
              </w:tc>
              <w:tc>
                <w:tcPr>
                  <w:tcW w:w="1362" w:type="dxa"/>
                  <w:vAlign w:val="center"/>
                </w:tcPr>
                <w:p>
                  <w:pPr>
                    <w:adjustRightInd w:val="0"/>
                    <w:snapToGrid w:val="0"/>
                    <w:jc w:val="center"/>
                    <w:rPr>
                      <w:color w:val="0000FF"/>
                      <w:szCs w:val="21"/>
                    </w:rPr>
                  </w:pPr>
                  <w:r>
                    <w:rPr>
                      <w:rFonts w:hint="eastAsia"/>
                      <w:color w:val="0000FF"/>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color w:val="0000FF"/>
                      <w:szCs w:val="21"/>
                    </w:rPr>
                  </w:pPr>
                </w:p>
              </w:tc>
              <w:tc>
                <w:tcPr>
                  <w:tcW w:w="1654" w:type="dxa"/>
                  <w:vAlign w:val="center"/>
                </w:tcPr>
                <w:p>
                  <w:pPr>
                    <w:adjustRightInd w:val="0"/>
                    <w:snapToGrid w:val="0"/>
                    <w:jc w:val="center"/>
                    <w:rPr>
                      <w:rFonts w:hint="eastAsia"/>
                      <w:color w:val="0000FF"/>
                      <w:szCs w:val="21"/>
                    </w:rPr>
                  </w:pPr>
                  <w:r>
                    <w:rPr>
                      <w:rFonts w:hint="eastAsia"/>
                      <w:color w:val="0000FF"/>
                      <w:szCs w:val="21"/>
                    </w:rPr>
                    <w:t>堆场、装卸粉尘</w:t>
                  </w:r>
                </w:p>
              </w:tc>
              <w:tc>
                <w:tcPr>
                  <w:tcW w:w="3827" w:type="dxa"/>
                  <w:vAlign w:val="center"/>
                </w:tcPr>
                <w:p>
                  <w:pPr>
                    <w:adjustRightInd w:val="0"/>
                    <w:snapToGrid w:val="0"/>
                    <w:jc w:val="center"/>
                    <w:rPr>
                      <w:rFonts w:hint="eastAsia"/>
                      <w:color w:val="0000FF"/>
                      <w:szCs w:val="21"/>
                    </w:rPr>
                  </w:pPr>
                  <w:r>
                    <w:rPr>
                      <w:rFonts w:hint="eastAsia"/>
                      <w:color w:val="0000FF"/>
                      <w:szCs w:val="21"/>
                    </w:rPr>
                    <w:t>封闭库房，1套喷淋装置</w:t>
                  </w:r>
                </w:p>
              </w:tc>
              <w:tc>
                <w:tcPr>
                  <w:tcW w:w="1362" w:type="dxa"/>
                  <w:vAlign w:val="center"/>
                </w:tcPr>
                <w:p>
                  <w:pPr>
                    <w:adjustRightInd w:val="0"/>
                    <w:snapToGrid w:val="0"/>
                    <w:jc w:val="center"/>
                    <w:rPr>
                      <w:rFonts w:hint="eastAsia"/>
                      <w:color w:val="0000FF"/>
                      <w:szCs w:val="21"/>
                    </w:rPr>
                  </w:pPr>
                  <w:r>
                    <w:rPr>
                      <w:rFonts w:hint="eastAsia"/>
                      <w:color w:val="0000FF"/>
                      <w:szCs w:val="21"/>
                    </w:rPr>
                    <w:t>厂房计入工程投资，其他10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color w:val="0000FF"/>
                      <w:szCs w:val="21"/>
                    </w:rPr>
                  </w:pPr>
                </w:p>
              </w:tc>
              <w:tc>
                <w:tcPr>
                  <w:tcW w:w="1654" w:type="dxa"/>
                  <w:vAlign w:val="center"/>
                </w:tcPr>
                <w:p>
                  <w:pPr>
                    <w:adjustRightInd w:val="0"/>
                    <w:snapToGrid w:val="0"/>
                    <w:jc w:val="center"/>
                    <w:rPr>
                      <w:rFonts w:hint="eastAsia"/>
                      <w:color w:val="0000FF"/>
                      <w:szCs w:val="21"/>
                    </w:rPr>
                  </w:pPr>
                  <w:r>
                    <w:rPr>
                      <w:rFonts w:hint="eastAsia"/>
                      <w:color w:val="0000FF"/>
                      <w:szCs w:val="21"/>
                    </w:rPr>
                    <w:t>皮带运输粉尘</w:t>
                  </w:r>
                </w:p>
              </w:tc>
              <w:tc>
                <w:tcPr>
                  <w:tcW w:w="3827" w:type="dxa"/>
                  <w:vAlign w:val="center"/>
                </w:tcPr>
                <w:p>
                  <w:pPr>
                    <w:adjustRightInd w:val="0"/>
                    <w:snapToGrid w:val="0"/>
                    <w:jc w:val="center"/>
                    <w:rPr>
                      <w:rFonts w:hint="eastAsia"/>
                      <w:color w:val="0000FF"/>
                      <w:szCs w:val="21"/>
                    </w:rPr>
                  </w:pPr>
                  <w:r>
                    <w:rPr>
                      <w:rFonts w:hint="eastAsia"/>
                      <w:color w:val="0000FF"/>
                      <w:szCs w:val="21"/>
                    </w:rPr>
                    <w:t>皮带封闭</w:t>
                  </w:r>
                </w:p>
              </w:tc>
              <w:tc>
                <w:tcPr>
                  <w:tcW w:w="1362" w:type="dxa"/>
                  <w:vAlign w:val="center"/>
                </w:tcPr>
                <w:p>
                  <w:pPr>
                    <w:adjustRightInd w:val="0"/>
                    <w:snapToGrid w:val="0"/>
                    <w:jc w:val="center"/>
                    <w:rPr>
                      <w:rFonts w:hint="eastAsia"/>
                      <w:color w:val="0000FF"/>
                      <w:szCs w:val="21"/>
                    </w:rPr>
                  </w:pPr>
                  <w:r>
                    <w:rPr>
                      <w:rFonts w:hint="eastAsia"/>
                      <w:color w:val="0000FF"/>
                      <w:szCs w:val="21"/>
                    </w:rPr>
                    <w:t>计入工程投资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color w:val="0000FF"/>
                      <w:szCs w:val="21"/>
                    </w:rPr>
                  </w:pPr>
                </w:p>
              </w:tc>
              <w:tc>
                <w:tcPr>
                  <w:tcW w:w="1654" w:type="dxa"/>
                  <w:vAlign w:val="center"/>
                </w:tcPr>
                <w:p>
                  <w:pPr>
                    <w:adjustRightInd w:val="0"/>
                    <w:snapToGrid w:val="0"/>
                    <w:jc w:val="center"/>
                    <w:rPr>
                      <w:rFonts w:hint="eastAsia"/>
                      <w:color w:val="0000FF"/>
                      <w:szCs w:val="21"/>
                    </w:rPr>
                  </w:pPr>
                  <w:r>
                    <w:rPr>
                      <w:rFonts w:hint="eastAsia"/>
                      <w:color w:val="0000FF"/>
                      <w:szCs w:val="21"/>
                    </w:rPr>
                    <w:t>汽车动力起尘</w:t>
                  </w:r>
                </w:p>
              </w:tc>
              <w:tc>
                <w:tcPr>
                  <w:tcW w:w="3827" w:type="dxa"/>
                  <w:vAlign w:val="center"/>
                </w:tcPr>
                <w:p>
                  <w:pPr>
                    <w:adjustRightInd w:val="0"/>
                    <w:snapToGrid w:val="0"/>
                    <w:jc w:val="center"/>
                    <w:rPr>
                      <w:rFonts w:hint="eastAsia"/>
                      <w:color w:val="0000FF"/>
                      <w:szCs w:val="21"/>
                    </w:rPr>
                  </w:pPr>
                  <w:r>
                    <w:rPr>
                      <w:rFonts w:hint="eastAsia"/>
                      <w:color w:val="0000FF"/>
                      <w:szCs w:val="21"/>
                    </w:rPr>
                    <w:t>1台洒水车</w:t>
                  </w:r>
                </w:p>
              </w:tc>
              <w:tc>
                <w:tcPr>
                  <w:tcW w:w="1362" w:type="dxa"/>
                  <w:vAlign w:val="center"/>
                </w:tcPr>
                <w:p>
                  <w:pPr>
                    <w:adjustRightInd w:val="0"/>
                    <w:snapToGrid w:val="0"/>
                    <w:jc w:val="center"/>
                    <w:rPr>
                      <w:rFonts w:hint="eastAsia"/>
                      <w:color w:val="0000FF"/>
                      <w:szCs w:val="21"/>
                    </w:rPr>
                  </w:pPr>
                  <w:r>
                    <w:rPr>
                      <w:rFonts w:hint="eastAsia"/>
                      <w:color w:val="0000FF"/>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continue"/>
                  <w:vAlign w:val="center"/>
                </w:tcPr>
                <w:p>
                  <w:pPr>
                    <w:adjustRightInd w:val="0"/>
                    <w:snapToGrid w:val="0"/>
                    <w:jc w:val="center"/>
                    <w:rPr>
                      <w:color w:val="0000FF"/>
                      <w:szCs w:val="21"/>
                    </w:rPr>
                  </w:pPr>
                </w:p>
              </w:tc>
              <w:tc>
                <w:tcPr>
                  <w:tcW w:w="507" w:type="dxa"/>
                  <w:vMerge w:val="restart"/>
                  <w:vAlign w:val="center"/>
                </w:tcPr>
                <w:p>
                  <w:pPr>
                    <w:adjustRightInd w:val="0"/>
                    <w:snapToGrid w:val="0"/>
                    <w:jc w:val="center"/>
                    <w:rPr>
                      <w:color w:val="0000FF"/>
                      <w:szCs w:val="21"/>
                    </w:rPr>
                  </w:pPr>
                  <w:r>
                    <w:rPr>
                      <w:rFonts w:hint="eastAsia"/>
                      <w:color w:val="0000FF"/>
                      <w:szCs w:val="21"/>
                    </w:rPr>
                    <w:t>废水</w:t>
                  </w:r>
                </w:p>
              </w:tc>
              <w:tc>
                <w:tcPr>
                  <w:tcW w:w="1654" w:type="dxa"/>
                  <w:vAlign w:val="center"/>
                </w:tcPr>
                <w:p>
                  <w:pPr>
                    <w:adjustRightInd w:val="0"/>
                    <w:snapToGrid w:val="0"/>
                    <w:jc w:val="center"/>
                    <w:rPr>
                      <w:rFonts w:hint="eastAsia"/>
                      <w:color w:val="0000FF"/>
                      <w:szCs w:val="21"/>
                    </w:rPr>
                  </w:pPr>
                  <w:r>
                    <w:rPr>
                      <w:rFonts w:hint="eastAsia"/>
                      <w:color w:val="0000FF"/>
                      <w:szCs w:val="21"/>
                    </w:rPr>
                    <w:t>生活废水</w:t>
                  </w:r>
                </w:p>
              </w:tc>
              <w:tc>
                <w:tcPr>
                  <w:tcW w:w="3827" w:type="dxa"/>
                  <w:vAlign w:val="center"/>
                </w:tcPr>
                <w:p>
                  <w:pPr>
                    <w:adjustRightInd w:val="0"/>
                    <w:snapToGrid w:val="0"/>
                    <w:jc w:val="center"/>
                    <w:rPr>
                      <w:rFonts w:hint="eastAsia"/>
                      <w:color w:val="0000FF"/>
                      <w:szCs w:val="21"/>
                    </w:rPr>
                  </w:pPr>
                  <w:r>
                    <w:rPr>
                      <w:rFonts w:hint="eastAsia"/>
                      <w:color w:val="0000FF"/>
                      <w:szCs w:val="21"/>
                    </w:rPr>
                    <w:t>依托庆阳亿信肥业有限公司化粪池处理</w:t>
                  </w:r>
                </w:p>
              </w:tc>
              <w:tc>
                <w:tcPr>
                  <w:tcW w:w="1362" w:type="dxa"/>
                  <w:vAlign w:val="center"/>
                </w:tcPr>
                <w:p>
                  <w:pPr>
                    <w:adjustRightInd w:val="0"/>
                    <w:snapToGrid w:val="0"/>
                    <w:jc w:val="center"/>
                    <w:rPr>
                      <w:rFonts w:hint="eastAsia"/>
                      <w:color w:val="0000FF"/>
                      <w:szCs w:val="21"/>
                    </w:rPr>
                  </w:pPr>
                  <w:r>
                    <w:rPr>
                      <w:rFonts w:hint="eastAsia"/>
                      <w:color w:val="0000FF"/>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3"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rFonts w:hint="eastAsia"/>
                      <w:color w:val="0000FF"/>
                      <w:szCs w:val="21"/>
                    </w:rPr>
                  </w:pPr>
                </w:p>
              </w:tc>
              <w:tc>
                <w:tcPr>
                  <w:tcW w:w="1654" w:type="dxa"/>
                  <w:vAlign w:val="center"/>
                </w:tcPr>
                <w:p>
                  <w:pPr>
                    <w:adjustRightInd w:val="0"/>
                    <w:snapToGrid w:val="0"/>
                    <w:jc w:val="center"/>
                    <w:rPr>
                      <w:rFonts w:hint="eastAsia"/>
                      <w:color w:val="0000FF"/>
                      <w:szCs w:val="21"/>
                    </w:rPr>
                  </w:pPr>
                  <w:r>
                    <w:rPr>
                      <w:rFonts w:hint="eastAsia"/>
                      <w:color w:val="0000FF"/>
                      <w:szCs w:val="21"/>
                    </w:rPr>
                    <w:t>洗车废水</w:t>
                  </w:r>
                </w:p>
              </w:tc>
              <w:tc>
                <w:tcPr>
                  <w:tcW w:w="3827" w:type="dxa"/>
                  <w:vAlign w:val="center"/>
                </w:tcPr>
                <w:p>
                  <w:pPr>
                    <w:adjustRightInd w:val="0"/>
                    <w:snapToGrid w:val="0"/>
                    <w:jc w:val="center"/>
                    <w:rPr>
                      <w:rFonts w:hint="eastAsia"/>
                      <w:color w:val="0000FF"/>
                      <w:szCs w:val="21"/>
                    </w:rPr>
                  </w:pPr>
                  <w:r>
                    <w:rPr>
                      <w:rFonts w:hint="eastAsia"/>
                      <w:color w:val="0000FF"/>
                      <w:szCs w:val="21"/>
                    </w:rPr>
                    <w:t>利用施工期建设防渗沉淀池</w:t>
                  </w:r>
                </w:p>
              </w:tc>
              <w:tc>
                <w:tcPr>
                  <w:tcW w:w="1362" w:type="dxa"/>
                  <w:vAlign w:val="center"/>
                </w:tcPr>
                <w:p>
                  <w:pPr>
                    <w:adjustRightInd w:val="0"/>
                    <w:snapToGrid w:val="0"/>
                    <w:jc w:val="center"/>
                    <w:rPr>
                      <w:rFonts w:hint="eastAsia"/>
                      <w:color w:val="0000FF"/>
                      <w:szCs w:val="21"/>
                    </w:rPr>
                  </w:pPr>
                  <w:r>
                    <w:rPr>
                      <w:rFonts w:hint="eastAsia"/>
                      <w:color w:val="0000FF"/>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845" w:type="dxa"/>
                  <w:vMerge w:val="continue"/>
                  <w:vAlign w:val="center"/>
                </w:tcPr>
                <w:p>
                  <w:pPr>
                    <w:adjustRightInd w:val="0"/>
                    <w:snapToGrid w:val="0"/>
                    <w:jc w:val="center"/>
                    <w:rPr>
                      <w:color w:val="0000FF"/>
                      <w:szCs w:val="21"/>
                    </w:rPr>
                  </w:pPr>
                </w:p>
              </w:tc>
              <w:tc>
                <w:tcPr>
                  <w:tcW w:w="507" w:type="dxa"/>
                  <w:vMerge w:val="restart"/>
                  <w:vAlign w:val="center"/>
                </w:tcPr>
                <w:p>
                  <w:pPr>
                    <w:adjustRightInd w:val="0"/>
                    <w:snapToGrid w:val="0"/>
                    <w:jc w:val="center"/>
                    <w:rPr>
                      <w:color w:val="0000FF"/>
                      <w:szCs w:val="21"/>
                    </w:rPr>
                  </w:pPr>
                  <w:r>
                    <w:rPr>
                      <w:color w:val="0000FF"/>
                      <w:szCs w:val="21"/>
                    </w:rPr>
                    <w:t>固体废弃物</w:t>
                  </w:r>
                </w:p>
              </w:tc>
              <w:tc>
                <w:tcPr>
                  <w:tcW w:w="1654" w:type="dxa"/>
                  <w:vAlign w:val="center"/>
                </w:tcPr>
                <w:p>
                  <w:pPr>
                    <w:adjustRightInd w:val="0"/>
                    <w:snapToGrid w:val="0"/>
                    <w:jc w:val="center"/>
                    <w:rPr>
                      <w:color w:val="0000FF"/>
                      <w:szCs w:val="21"/>
                    </w:rPr>
                  </w:pPr>
                  <w:r>
                    <w:rPr>
                      <w:color w:val="0000FF"/>
                      <w:szCs w:val="21"/>
                    </w:rPr>
                    <w:t>生活垃圾</w:t>
                  </w:r>
                </w:p>
              </w:tc>
              <w:tc>
                <w:tcPr>
                  <w:tcW w:w="3827" w:type="dxa"/>
                  <w:vAlign w:val="center"/>
                </w:tcPr>
                <w:p>
                  <w:pPr>
                    <w:adjustRightInd w:val="0"/>
                    <w:snapToGrid w:val="0"/>
                    <w:jc w:val="center"/>
                    <w:rPr>
                      <w:color w:val="0000FF"/>
                      <w:szCs w:val="21"/>
                    </w:rPr>
                  </w:pPr>
                  <w:r>
                    <w:rPr>
                      <w:rFonts w:hint="eastAsia"/>
                      <w:color w:val="0000FF"/>
                      <w:szCs w:val="21"/>
                    </w:rPr>
                    <w:t>1</w:t>
                  </w:r>
                  <w:r>
                    <w:rPr>
                      <w:color w:val="0000FF"/>
                      <w:szCs w:val="21"/>
                    </w:rPr>
                    <w:t>个垃圾桶收集</w:t>
                  </w:r>
                </w:p>
              </w:tc>
              <w:tc>
                <w:tcPr>
                  <w:tcW w:w="1362" w:type="dxa"/>
                  <w:vAlign w:val="center"/>
                </w:tcPr>
                <w:p>
                  <w:pPr>
                    <w:adjustRightInd w:val="0"/>
                    <w:snapToGrid w:val="0"/>
                    <w:jc w:val="center"/>
                    <w:rPr>
                      <w:color w:val="0000FF"/>
                      <w:szCs w:val="21"/>
                    </w:rPr>
                  </w:pPr>
                  <w:r>
                    <w:rPr>
                      <w:color w:val="0000FF"/>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color w:val="0000FF"/>
                      <w:szCs w:val="21"/>
                    </w:rPr>
                  </w:pPr>
                </w:p>
              </w:tc>
              <w:tc>
                <w:tcPr>
                  <w:tcW w:w="1654" w:type="dxa"/>
                  <w:vAlign w:val="center"/>
                </w:tcPr>
                <w:p>
                  <w:pPr>
                    <w:adjustRightInd w:val="0"/>
                    <w:snapToGrid w:val="0"/>
                    <w:jc w:val="center"/>
                    <w:rPr>
                      <w:rFonts w:hint="eastAsia"/>
                      <w:color w:val="0000FF"/>
                      <w:szCs w:val="21"/>
                    </w:rPr>
                  </w:pPr>
                  <w:r>
                    <w:rPr>
                      <w:rFonts w:hint="eastAsia"/>
                      <w:color w:val="0000FF"/>
                      <w:szCs w:val="21"/>
                    </w:rPr>
                    <w:t>沉淀池煤泥</w:t>
                  </w:r>
                </w:p>
              </w:tc>
              <w:tc>
                <w:tcPr>
                  <w:tcW w:w="3827" w:type="dxa"/>
                  <w:vAlign w:val="center"/>
                </w:tcPr>
                <w:p>
                  <w:pPr>
                    <w:adjustRightInd w:val="0"/>
                    <w:snapToGrid w:val="0"/>
                    <w:jc w:val="center"/>
                    <w:rPr>
                      <w:rFonts w:hint="eastAsia"/>
                      <w:color w:val="0000FF"/>
                      <w:szCs w:val="21"/>
                    </w:rPr>
                  </w:pPr>
                  <w:r>
                    <w:rPr>
                      <w:rFonts w:hint="eastAsia"/>
                      <w:color w:val="0000FF"/>
                      <w:szCs w:val="21"/>
                    </w:rPr>
                    <w:t>1个收集桶，定期清掏外售</w:t>
                  </w:r>
                </w:p>
              </w:tc>
              <w:tc>
                <w:tcPr>
                  <w:tcW w:w="1362" w:type="dxa"/>
                  <w:vAlign w:val="center"/>
                </w:tcPr>
                <w:p>
                  <w:pPr>
                    <w:adjustRightInd w:val="0"/>
                    <w:snapToGrid w:val="0"/>
                    <w:jc w:val="center"/>
                    <w:rPr>
                      <w:rFonts w:hint="eastAsia"/>
                      <w:color w:val="0000FF"/>
                      <w:szCs w:val="21"/>
                    </w:rPr>
                  </w:pPr>
                  <w:r>
                    <w:rPr>
                      <w:rFonts w:hint="eastAsia"/>
                      <w:color w:val="0000FF"/>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45" w:type="dxa"/>
                  <w:vMerge w:val="continue"/>
                  <w:vAlign w:val="center"/>
                </w:tcPr>
                <w:p>
                  <w:pPr>
                    <w:adjustRightInd w:val="0"/>
                    <w:snapToGrid w:val="0"/>
                    <w:jc w:val="center"/>
                    <w:rPr>
                      <w:color w:val="0000FF"/>
                      <w:szCs w:val="21"/>
                    </w:rPr>
                  </w:pPr>
                </w:p>
              </w:tc>
              <w:tc>
                <w:tcPr>
                  <w:tcW w:w="507" w:type="dxa"/>
                  <w:vMerge w:val="continue"/>
                  <w:vAlign w:val="center"/>
                </w:tcPr>
                <w:p>
                  <w:pPr>
                    <w:adjustRightInd w:val="0"/>
                    <w:snapToGrid w:val="0"/>
                    <w:jc w:val="center"/>
                    <w:rPr>
                      <w:color w:val="0000FF"/>
                      <w:szCs w:val="21"/>
                    </w:rPr>
                  </w:pPr>
                </w:p>
              </w:tc>
              <w:tc>
                <w:tcPr>
                  <w:tcW w:w="1654" w:type="dxa"/>
                  <w:vAlign w:val="center"/>
                </w:tcPr>
                <w:p>
                  <w:pPr>
                    <w:adjustRightInd w:val="0"/>
                    <w:snapToGrid w:val="0"/>
                    <w:jc w:val="center"/>
                    <w:rPr>
                      <w:color w:val="0000FF"/>
                      <w:szCs w:val="21"/>
                    </w:rPr>
                  </w:pPr>
                  <w:r>
                    <w:rPr>
                      <w:rFonts w:hint="eastAsia"/>
                      <w:color w:val="0000FF"/>
                      <w:szCs w:val="21"/>
                    </w:rPr>
                    <w:t>布袋收集灰</w:t>
                  </w:r>
                </w:p>
              </w:tc>
              <w:tc>
                <w:tcPr>
                  <w:tcW w:w="3827" w:type="dxa"/>
                  <w:vAlign w:val="center"/>
                </w:tcPr>
                <w:p>
                  <w:pPr>
                    <w:adjustRightInd w:val="0"/>
                    <w:snapToGrid w:val="0"/>
                    <w:jc w:val="center"/>
                    <w:rPr>
                      <w:color w:val="0000FF"/>
                      <w:szCs w:val="21"/>
                    </w:rPr>
                  </w:pPr>
                  <w:r>
                    <w:rPr>
                      <w:rFonts w:hint="eastAsia"/>
                      <w:color w:val="0000FF"/>
                      <w:szCs w:val="21"/>
                    </w:rPr>
                    <w:t>1个收集桶，收集后外售</w:t>
                  </w:r>
                </w:p>
              </w:tc>
              <w:tc>
                <w:tcPr>
                  <w:tcW w:w="1362" w:type="dxa"/>
                  <w:vAlign w:val="center"/>
                </w:tcPr>
                <w:p>
                  <w:pPr>
                    <w:adjustRightInd w:val="0"/>
                    <w:snapToGrid w:val="0"/>
                    <w:jc w:val="center"/>
                    <w:rPr>
                      <w:color w:val="0000FF"/>
                      <w:szCs w:val="21"/>
                    </w:rPr>
                  </w:pPr>
                  <w:r>
                    <w:rPr>
                      <w:rFonts w:hint="eastAsia"/>
                      <w:color w:val="0000FF"/>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6" w:hRule="atLeast"/>
                <w:jc w:val="center"/>
              </w:trPr>
              <w:tc>
                <w:tcPr>
                  <w:tcW w:w="845" w:type="dxa"/>
                  <w:vMerge w:val="continue"/>
                  <w:vAlign w:val="center"/>
                </w:tcPr>
                <w:p>
                  <w:pPr>
                    <w:adjustRightInd w:val="0"/>
                    <w:snapToGrid w:val="0"/>
                    <w:jc w:val="center"/>
                    <w:rPr>
                      <w:szCs w:val="21"/>
                    </w:rPr>
                  </w:pPr>
                </w:p>
              </w:tc>
              <w:tc>
                <w:tcPr>
                  <w:tcW w:w="2161" w:type="dxa"/>
                  <w:gridSpan w:val="2"/>
                  <w:vAlign w:val="center"/>
                </w:tcPr>
                <w:p>
                  <w:pPr>
                    <w:adjustRightInd w:val="0"/>
                    <w:snapToGrid w:val="0"/>
                    <w:jc w:val="center"/>
                    <w:rPr>
                      <w:color w:val="0000FF"/>
                      <w:szCs w:val="21"/>
                    </w:rPr>
                  </w:pPr>
                  <w:r>
                    <w:rPr>
                      <w:color w:val="0000FF"/>
                      <w:szCs w:val="21"/>
                    </w:rPr>
                    <w:t>噪声治理</w:t>
                  </w:r>
                </w:p>
              </w:tc>
              <w:tc>
                <w:tcPr>
                  <w:tcW w:w="3827" w:type="dxa"/>
                  <w:vAlign w:val="center"/>
                </w:tcPr>
                <w:p>
                  <w:pPr>
                    <w:adjustRightInd w:val="0"/>
                    <w:snapToGrid w:val="0"/>
                    <w:jc w:val="center"/>
                    <w:rPr>
                      <w:color w:val="0000FF"/>
                      <w:szCs w:val="21"/>
                    </w:rPr>
                  </w:pPr>
                  <w:r>
                    <w:rPr>
                      <w:color w:val="0000FF"/>
                      <w:szCs w:val="21"/>
                    </w:rPr>
                    <w:t>基础减振、建筑隔声、加强设备维护保养</w:t>
                  </w:r>
                </w:p>
              </w:tc>
              <w:tc>
                <w:tcPr>
                  <w:tcW w:w="1362" w:type="dxa"/>
                  <w:vAlign w:val="center"/>
                </w:tcPr>
                <w:p>
                  <w:pPr>
                    <w:adjustRightInd w:val="0"/>
                    <w:snapToGrid w:val="0"/>
                    <w:jc w:val="center"/>
                    <w:rPr>
                      <w:color w:val="0000FF"/>
                      <w:szCs w:val="21"/>
                    </w:rPr>
                  </w:pPr>
                  <w:r>
                    <w:rPr>
                      <w:color w:val="0000FF"/>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6" w:hRule="atLeast"/>
                <w:jc w:val="center"/>
              </w:trPr>
              <w:tc>
                <w:tcPr>
                  <w:tcW w:w="845" w:type="dxa"/>
                  <w:vMerge w:val="continue"/>
                  <w:vAlign w:val="center"/>
                </w:tcPr>
                <w:p>
                  <w:pPr>
                    <w:adjustRightInd w:val="0"/>
                    <w:snapToGrid w:val="0"/>
                    <w:jc w:val="center"/>
                    <w:rPr>
                      <w:szCs w:val="21"/>
                    </w:rPr>
                  </w:pPr>
                </w:p>
              </w:tc>
              <w:tc>
                <w:tcPr>
                  <w:tcW w:w="2161" w:type="dxa"/>
                  <w:gridSpan w:val="2"/>
                  <w:vAlign w:val="center"/>
                </w:tcPr>
                <w:p>
                  <w:pPr>
                    <w:adjustRightInd w:val="0"/>
                    <w:snapToGrid w:val="0"/>
                    <w:jc w:val="center"/>
                    <w:rPr>
                      <w:color w:val="0000FF"/>
                      <w:szCs w:val="21"/>
                    </w:rPr>
                  </w:pPr>
                  <w:r>
                    <w:rPr>
                      <w:color w:val="0000FF"/>
                      <w:szCs w:val="21"/>
                    </w:rPr>
                    <w:t>防渗措施</w:t>
                  </w:r>
                </w:p>
              </w:tc>
              <w:tc>
                <w:tcPr>
                  <w:tcW w:w="3827" w:type="dxa"/>
                  <w:vAlign w:val="center"/>
                </w:tcPr>
                <w:p>
                  <w:pPr>
                    <w:adjustRightInd w:val="0"/>
                    <w:snapToGrid w:val="0"/>
                    <w:jc w:val="center"/>
                    <w:rPr>
                      <w:color w:val="0000FF"/>
                      <w:szCs w:val="21"/>
                    </w:rPr>
                  </w:pPr>
                  <w:r>
                    <w:rPr>
                      <w:rFonts w:hint="eastAsia"/>
                      <w:color w:val="0000FF"/>
                      <w:szCs w:val="21"/>
                    </w:rPr>
                    <w:t>储煤库重点防渗；沉淀池一般</w:t>
                  </w:r>
                  <w:r>
                    <w:rPr>
                      <w:color w:val="0000FF"/>
                      <w:szCs w:val="21"/>
                    </w:rPr>
                    <w:t>防渗</w:t>
                  </w:r>
                  <w:r>
                    <w:rPr>
                      <w:rFonts w:hint="eastAsia"/>
                      <w:color w:val="0000FF"/>
                      <w:szCs w:val="21"/>
                    </w:rPr>
                    <w:t>；其他区域简单防渗。</w:t>
                  </w:r>
                </w:p>
              </w:tc>
              <w:tc>
                <w:tcPr>
                  <w:tcW w:w="1362" w:type="dxa"/>
                  <w:vAlign w:val="center"/>
                </w:tcPr>
                <w:p>
                  <w:pPr>
                    <w:adjustRightInd w:val="0"/>
                    <w:snapToGrid w:val="0"/>
                    <w:jc w:val="center"/>
                    <w:rPr>
                      <w:color w:val="0000FF"/>
                      <w:szCs w:val="21"/>
                    </w:rPr>
                  </w:pPr>
                  <w:r>
                    <w:rPr>
                      <w:color w:val="0000FF"/>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833" w:type="dxa"/>
                  <w:gridSpan w:val="4"/>
                  <w:vAlign w:val="center"/>
                </w:tcPr>
                <w:p>
                  <w:pPr>
                    <w:adjustRightInd w:val="0"/>
                    <w:snapToGrid w:val="0"/>
                    <w:jc w:val="center"/>
                    <w:rPr>
                      <w:color w:val="0000FF"/>
                      <w:szCs w:val="21"/>
                    </w:rPr>
                  </w:pPr>
                  <w:r>
                    <w:rPr>
                      <w:color w:val="0000FF"/>
                      <w:szCs w:val="21"/>
                    </w:rPr>
                    <w:t>合       计</w:t>
                  </w:r>
                </w:p>
              </w:tc>
              <w:tc>
                <w:tcPr>
                  <w:tcW w:w="1362" w:type="dxa"/>
                  <w:vAlign w:val="center"/>
                </w:tcPr>
                <w:p>
                  <w:pPr>
                    <w:adjustRightInd w:val="0"/>
                    <w:snapToGrid w:val="0"/>
                    <w:jc w:val="center"/>
                    <w:rPr>
                      <w:rFonts w:hint="eastAsia"/>
                      <w:color w:val="0000FF"/>
                      <w:szCs w:val="21"/>
                    </w:rPr>
                  </w:pPr>
                  <w:r>
                    <w:rPr>
                      <w:rFonts w:hint="eastAsia"/>
                      <w:color w:val="0000FF"/>
                      <w:szCs w:val="21"/>
                    </w:rPr>
                    <w:t>44.9</w:t>
                  </w:r>
                </w:p>
              </w:tc>
            </w:tr>
          </w:tbl>
          <w:p>
            <w:pPr>
              <w:spacing w:line="580" w:lineRule="exact"/>
              <w:rPr>
                <w:sz w:val="28"/>
              </w:rPr>
            </w:pPr>
          </w:p>
        </w:tc>
      </w:tr>
    </w:tbl>
    <w:p>
      <w:pPr>
        <w:rPr>
          <w:rFonts w:eastAsia="黑体"/>
        </w:rPr>
        <w:sectPr>
          <w:pgSz w:w="11907" w:h="16840"/>
          <w:pgMar w:top="1440" w:right="1797" w:bottom="1440" w:left="1797" w:header="851" w:footer="992" w:gutter="0"/>
          <w:cols w:space="720" w:num="1"/>
          <w:docGrid w:type="linesAndChars" w:linePitch="312" w:charSpace="0"/>
        </w:sect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清洁生产及循环经济分析</w:t>
      </w:r>
    </w:p>
    <w:tbl>
      <w:tblPr>
        <w:tblStyle w:val="24"/>
        <w:tblW w:w="0" w:type="auto"/>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8465" w:type="dxa"/>
          </w:tcPr>
          <w:p>
            <w:pPr>
              <w:pStyle w:val="94"/>
              <w:spacing w:beforeLines="50" w:line="360" w:lineRule="auto"/>
              <w:ind w:firstLine="0" w:firstLineChars="0"/>
              <w:rPr>
                <w:b/>
                <w:color w:val="0000FF"/>
                <w:spacing w:val="0"/>
                <w:sz w:val="24"/>
                <w:szCs w:val="28"/>
              </w:rPr>
            </w:pPr>
            <w:r>
              <w:rPr>
                <w:b/>
                <w:color w:val="0000FF"/>
                <w:spacing w:val="0"/>
                <w:sz w:val="24"/>
                <w:szCs w:val="28"/>
              </w:rPr>
              <w:t>1、清洁生产</w:t>
            </w:r>
          </w:p>
          <w:p>
            <w:pPr>
              <w:spacing w:line="360" w:lineRule="auto"/>
              <w:ind w:firstLine="460" w:firstLineChars="192"/>
              <w:rPr>
                <w:color w:val="0000FF"/>
                <w:sz w:val="24"/>
              </w:rPr>
            </w:pPr>
            <w:r>
              <w:rPr>
                <w:color w:val="0000FF"/>
                <w:sz w:val="24"/>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其实质是将污染预防战略持续应用于生产全过程，不断地改善管理和技术进步，是一种物料和能源消耗得以减少的人类活动的规划和管理，将污染物消除或削减在生产过程中，使生产过程处于无废排放或少废排放状态的一种全新的生产工艺。这一工艺由于可将生产与污染治理有机地结合起来，取得资源与能源配置利用的最大效益和外部环境成本的最小化，是深化工业污染防治的有效途径。本节除对该项目的清洁生产水平进行评价外，同时也将根据《清洁生产促进法》对工业企业实施清洁生产的相应要求，从环境保护的角度提出相应的建议和要求。</w:t>
            </w:r>
          </w:p>
          <w:p>
            <w:pPr>
              <w:spacing w:line="360" w:lineRule="auto"/>
              <w:ind w:firstLine="480"/>
              <w:rPr>
                <w:color w:val="0000FF"/>
                <w:sz w:val="24"/>
              </w:rPr>
            </w:pPr>
            <w:r>
              <w:rPr>
                <w:color w:val="0000FF"/>
                <w:sz w:val="24"/>
              </w:rPr>
              <w:t>本项目符合国家产业政策的要求，所用设备先进，装配工艺先进，自动控制水平较高，生产设备运行稳定、成熟可靠；采用设计的环保措施后，污染源实现达标排放，工业固体废物得到合理的利用和妥善的处置。为了进一步提高本项目清洁生产水平，针对评价汇总发现的薄弱环节，环评提出以下改进建议。</w:t>
            </w:r>
          </w:p>
          <w:p>
            <w:pPr>
              <w:spacing w:line="360" w:lineRule="auto"/>
              <w:ind w:firstLine="480"/>
              <w:rPr>
                <w:color w:val="0000FF"/>
                <w:sz w:val="24"/>
              </w:rPr>
            </w:pPr>
            <w:r>
              <w:rPr>
                <w:color w:val="0000FF"/>
                <w:sz w:val="24"/>
              </w:rPr>
              <w:t>（1）提高产品质量，特别产品优等品率，进一步提高企业清洁生产水平。</w:t>
            </w:r>
          </w:p>
          <w:p>
            <w:pPr>
              <w:spacing w:line="360" w:lineRule="auto"/>
              <w:ind w:firstLine="480"/>
              <w:rPr>
                <w:color w:val="0000FF"/>
                <w:sz w:val="24"/>
              </w:rPr>
            </w:pPr>
            <w:r>
              <w:rPr>
                <w:rFonts w:hint="eastAsia" w:ascii="宋体" w:hAnsi="宋体" w:cs="宋体"/>
                <w:color w:val="0000FF"/>
                <w:sz w:val="24"/>
              </w:rPr>
              <w:t>①</w:t>
            </w:r>
            <w:r>
              <w:rPr>
                <w:color w:val="0000FF"/>
                <w:sz w:val="24"/>
              </w:rPr>
              <w:t>加强生产中工艺参数的控制，优选原辅材料。</w:t>
            </w:r>
          </w:p>
          <w:p>
            <w:pPr>
              <w:spacing w:line="360" w:lineRule="auto"/>
              <w:ind w:firstLine="480"/>
              <w:rPr>
                <w:color w:val="0000FF"/>
                <w:sz w:val="24"/>
              </w:rPr>
            </w:pPr>
            <w:r>
              <w:rPr>
                <w:rFonts w:hint="eastAsia" w:ascii="宋体" w:hAnsi="宋体" w:cs="宋体"/>
                <w:color w:val="0000FF"/>
                <w:sz w:val="24"/>
              </w:rPr>
              <w:t>②</w:t>
            </w:r>
            <w:r>
              <w:rPr>
                <w:color w:val="0000FF"/>
                <w:sz w:val="24"/>
              </w:rPr>
              <w:t>制定符合企业生产特点的操作技术规程，提高员工操作技能，确保生产连续稳定安全高效生产。</w:t>
            </w:r>
          </w:p>
          <w:p>
            <w:pPr>
              <w:spacing w:line="360" w:lineRule="auto"/>
              <w:ind w:firstLine="480"/>
              <w:rPr>
                <w:color w:val="0000FF"/>
                <w:sz w:val="24"/>
              </w:rPr>
            </w:pPr>
            <w:r>
              <w:rPr>
                <w:color w:val="0000FF"/>
                <w:sz w:val="24"/>
              </w:rPr>
              <w:t>（2）实行污染物源头控制，加强入厂原料质量检验以及环保设施的维护与检查。</w:t>
            </w:r>
          </w:p>
          <w:p>
            <w:pPr>
              <w:spacing w:line="360" w:lineRule="auto"/>
              <w:ind w:firstLine="480"/>
              <w:rPr>
                <w:color w:val="0000FF"/>
                <w:sz w:val="24"/>
              </w:rPr>
            </w:pPr>
            <w:r>
              <w:rPr>
                <w:color w:val="0000FF"/>
                <w:sz w:val="24"/>
              </w:rPr>
              <w:t>（3）建成投产后，适时开展清洁生产审核，促进企业清洁生产水平的提高。</w:t>
            </w:r>
          </w:p>
          <w:p>
            <w:pPr>
              <w:pStyle w:val="94"/>
              <w:spacing w:beforeLines="50" w:line="360" w:lineRule="auto"/>
              <w:ind w:firstLine="0" w:firstLineChars="0"/>
              <w:rPr>
                <w:b/>
                <w:color w:val="0000FF"/>
                <w:spacing w:val="0"/>
                <w:sz w:val="24"/>
                <w:szCs w:val="28"/>
              </w:rPr>
            </w:pPr>
            <w:r>
              <w:rPr>
                <w:b/>
                <w:color w:val="0000FF"/>
                <w:spacing w:val="0"/>
                <w:sz w:val="24"/>
                <w:szCs w:val="28"/>
              </w:rPr>
              <w:t>2、循环经济</w:t>
            </w:r>
          </w:p>
          <w:p>
            <w:pPr>
              <w:spacing w:line="360" w:lineRule="auto"/>
              <w:ind w:firstLine="480"/>
              <w:rPr>
                <w:color w:val="0000FF"/>
                <w:sz w:val="24"/>
              </w:rPr>
            </w:pPr>
            <w:r>
              <w:rPr>
                <w:color w:val="0000FF"/>
                <w:sz w:val="24"/>
              </w:rPr>
              <w:t>本项目使用的</w:t>
            </w:r>
            <w:r>
              <w:rPr>
                <w:rFonts w:hint="eastAsia"/>
                <w:color w:val="0000FF"/>
                <w:sz w:val="24"/>
              </w:rPr>
              <w:t>绿化用水全部由生产、生活用水经处理后回用</w:t>
            </w:r>
            <w:r>
              <w:rPr>
                <w:color w:val="0000FF"/>
                <w:sz w:val="24"/>
              </w:rPr>
              <w:t>，体现了循环经济的再利用和资源化的原则。《中华人民共和国循环经济促进法》第一章第四条规定“在废物再利用和资源化过程中，应当保障生产安全，保证产品质量符合国家规定的标准，并防止产生再次污染”，本项目原材料包装物为一般性固体废物，不会产生再次污染。</w:t>
            </w:r>
          </w:p>
          <w:p>
            <w:pPr>
              <w:spacing w:line="360" w:lineRule="auto"/>
              <w:ind w:firstLine="480"/>
              <w:rPr>
                <w:color w:val="0000FF"/>
                <w:sz w:val="24"/>
              </w:rPr>
            </w:pPr>
            <w:r>
              <w:rPr>
                <w:color w:val="0000FF"/>
                <w:sz w:val="24"/>
              </w:rPr>
              <w:t>综上所诉，本项目的建设符合循环经济的基本原则，满足《中华人民共和国循环经济促进法》的相关要求。</w:t>
            </w: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p>
            <w:pPr>
              <w:jc w:val="left"/>
              <w:rPr>
                <w:b/>
                <w:color w:val="0000FF"/>
                <w:sz w:val="24"/>
              </w:rPr>
            </w:pPr>
          </w:p>
        </w:tc>
      </w:tr>
    </w:tbl>
    <w:p>
      <w:pPr>
        <w:pStyle w:val="15"/>
        <w:adjustRightInd w:val="0"/>
        <w:snapToGrid w:val="0"/>
        <w:spacing w:after="0" w:line="360" w:lineRule="auto"/>
        <w:ind w:left="0" w:leftChars="0"/>
        <w:outlineLvl w:val="0"/>
        <w:rPr>
          <w:rFonts w:eastAsia="黑体"/>
          <w:sz w:val="30"/>
          <w:szCs w:val="30"/>
        </w:rPr>
      </w:pPr>
      <w:r>
        <w:rPr>
          <w:rFonts w:eastAsia="黑体"/>
          <w:sz w:val="30"/>
          <w:szCs w:val="30"/>
        </w:rPr>
        <w:t>产业政策及选址合理性分析</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8" w:hRule="atLeast"/>
        </w:trPr>
        <w:tc>
          <w:tcPr>
            <w:tcW w:w="8789" w:type="dxa"/>
          </w:tcPr>
          <w:p>
            <w:pPr>
              <w:pStyle w:val="94"/>
              <w:spacing w:beforeLines="50" w:line="360" w:lineRule="auto"/>
              <w:ind w:firstLine="0" w:firstLineChars="0"/>
              <w:rPr>
                <w:b/>
                <w:color w:val="0000FF"/>
                <w:spacing w:val="0"/>
                <w:sz w:val="24"/>
                <w:szCs w:val="28"/>
              </w:rPr>
            </w:pPr>
            <w:r>
              <w:rPr>
                <w:b/>
                <w:color w:val="0000FF"/>
                <w:spacing w:val="0"/>
                <w:sz w:val="24"/>
                <w:szCs w:val="28"/>
              </w:rPr>
              <w:t>1、产业政策可行性分析</w:t>
            </w:r>
          </w:p>
          <w:p>
            <w:pPr>
              <w:adjustRightInd w:val="0"/>
              <w:spacing w:line="360" w:lineRule="auto"/>
              <w:ind w:firstLine="480" w:firstLineChars="200"/>
              <w:rPr>
                <w:color w:val="0000FF"/>
                <w:sz w:val="24"/>
              </w:rPr>
            </w:pPr>
            <w:r>
              <w:rPr>
                <w:color w:val="0000FF"/>
                <w:sz w:val="24"/>
              </w:rPr>
              <w:t>根据2013年2月16日国家发展改革委第21号令公布的《国家发展改革委关于修改《产业结构调整指导目录（2011年本）》有关条款</w:t>
            </w:r>
            <w:r>
              <w:rPr>
                <w:rFonts w:hint="eastAsia"/>
                <w:color w:val="0000FF"/>
                <w:sz w:val="24"/>
                <w:lang w:eastAsia="zh-CN"/>
              </w:rPr>
              <w:t>的</w:t>
            </w:r>
            <w:r>
              <w:rPr>
                <w:color w:val="0000FF"/>
                <w:sz w:val="24"/>
              </w:rPr>
              <w:t>决定》，本项目属于鼓励类、</w:t>
            </w:r>
            <w:r>
              <w:rPr>
                <w:rFonts w:hint="eastAsia"/>
                <w:color w:val="0000FF"/>
                <w:sz w:val="24"/>
              </w:rPr>
              <w:t>煤炭</w:t>
            </w:r>
            <w:r>
              <w:rPr>
                <w:color w:val="0000FF"/>
                <w:sz w:val="24"/>
              </w:rPr>
              <w:t>中第</w:t>
            </w:r>
            <w:r>
              <w:rPr>
                <w:rFonts w:hint="eastAsia"/>
                <w:color w:val="0000FF"/>
                <w:sz w:val="24"/>
              </w:rPr>
              <w:t>17</w:t>
            </w:r>
            <w:r>
              <w:rPr>
                <w:color w:val="0000FF"/>
                <w:sz w:val="24"/>
              </w:rPr>
              <w:t>项“</w:t>
            </w:r>
            <w:r>
              <w:rPr>
                <w:rFonts w:hint="eastAsia"/>
                <w:color w:val="0000FF"/>
                <w:sz w:val="24"/>
              </w:rPr>
              <w:t>大型煤炭储运中心、煤炭交易市场建设</w:t>
            </w:r>
            <w:r>
              <w:rPr>
                <w:color w:val="0000FF"/>
                <w:sz w:val="24"/>
              </w:rPr>
              <w:t>”。因此，拟建项目符合国家产业政策的要求。</w:t>
            </w:r>
          </w:p>
          <w:p>
            <w:pPr>
              <w:pStyle w:val="94"/>
              <w:spacing w:beforeLines="50" w:line="360" w:lineRule="auto"/>
              <w:ind w:firstLine="0" w:firstLineChars="0"/>
              <w:rPr>
                <w:b/>
                <w:color w:val="0000FF"/>
                <w:spacing w:val="0"/>
                <w:sz w:val="24"/>
                <w:szCs w:val="28"/>
              </w:rPr>
            </w:pPr>
            <w:r>
              <w:rPr>
                <w:b/>
                <w:color w:val="0000FF"/>
                <w:spacing w:val="0"/>
                <w:sz w:val="24"/>
                <w:szCs w:val="28"/>
              </w:rPr>
              <w:t>2、选址可行性分析</w:t>
            </w:r>
          </w:p>
          <w:p>
            <w:pPr>
              <w:spacing w:line="360" w:lineRule="auto"/>
              <w:ind w:firstLine="480"/>
              <w:jc w:val="left"/>
              <w:rPr>
                <w:color w:val="0000FF"/>
                <w:sz w:val="24"/>
              </w:rPr>
            </w:pPr>
            <w:r>
              <w:rPr>
                <w:color w:val="0000FF"/>
                <w:sz w:val="24"/>
              </w:rPr>
              <w:t>本项目拟建厂址位于</w:t>
            </w:r>
            <w:r>
              <w:rPr>
                <w:rFonts w:hint="eastAsia"/>
                <w:color w:val="0000FF"/>
                <w:sz w:val="24"/>
              </w:rPr>
              <w:t>甘肃省宁县长庆桥镇</w:t>
            </w:r>
            <w:r>
              <w:rPr>
                <w:color w:val="0000FF"/>
                <w:sz w:val="24"/>
              </w:rPr>
              <w:t>。为充分说明项目选址的合理性，主要从以下几个方面进行了分析。</w:t>
            </w:r>
          </w:p>
          <w:p>
            <w:pPr>
              <w:spacing w:line="360" w:lineRule="auto"/>
              <w:ind w:firstLine="480"/>
              <w:jc w:val="left"/>
              <w:rPr>
                <w:color w:val="0000FF"/>
                <w:sz w:val="24"/>
              </w:rPr>
            </w:pPr>
            <w:r>
              <w:rPr>
                <w:color w:val="0000FF"/>
                <w:sz w:val="24"/>
              </w:rPr>
              <w:t>（1）基本条件：厂址可利用面积、道路交通、供水、供电；</w:t>
            </w:r>
          </w:p>
          <w:p>
            <w:pPr>
              <w:spacing w:line="360" w:lineRule="auto"/>
              <w:ind w:firstLine="480"/>
              <w:jc w:val="left"/>
              <w:rPr>
                <w:color w:val="0000FF"/>
                <w:sz w:val="24"/>
              </w:rPr>
            </w:pPr>
            <w:r>
              <w:rPr>
                <w:color w:val="0000FF"/>
                <w:sz w:val="24"/>
              </w:rPr>
              <w:t>（2）环境条件：包括大气污染影响、水污染影响、固废污染影响、噪声污染影响；</w:t>
            </w:r>
          </w:p>
          <w:p>
            <w:pPr>
              <w:spacing w:line="360" w:lineRule="auto"/>
              <w:ind w:firstLine="480"/>
              <w:jc w:val="left"/>
              <w:rPr>
                <w:color w:val="0000FF"/>
                <w:sz w:val="24"/>
              </w:rPr>
            </w:pPr>
            <w:r>
              <w:rPr>
                <w:color w:val="0000FF"/>
                <w:sz w:val="24"/>
              </w:rPr>
              <w:t>（3）环境敏感区及敏感点：包括村庄、企事业单位等其它敏感点保护目标；</w:t>
            </w:r>
          </w:p>
          <w:p>
            <w:pPr>
              <w:spacing w:line="360" w:lineRule="auto"/>
              <w:ind w:firstLine="480"/>
              <w:jc w:val="left"/>
              <w:rPr>
                <w:color w:val="0000FF"/>
                <w:sz w:val="24"/>
              </w:rPr>
            </w:pPr>
            <w:r>
              <w:rPr>
                <w:color w:val="0000FF"/>
                <w:sz w:val="24"/>
              </w:rPr>
              <w:t>（4）平面布局合理性：包括场区内部布局合理性分析及车间布置与外界环境合理性分析。</w:t>
            </w:r>
          </w:p>
          <w:p>
            <w:pPr>
              <w:spacing w:line="360" w:lineRule="auto"/>
              <w:ind w:firstLine="480"/>
              <w:jc w:val="left"/>
              <w:rPr>
                <w:color w:val="0000FF"/>
                <w:sz w:val="24"/>
              </w:rPr>
            </w:pPr>
            <w:r>
              <w:rPr>
                <w:color w:val="0000FF"/>
                <w:sz w:val="24"/>
              </w:rPr>
              <w:t>（5）公用工程依托可行性：包括给水、排水、供热、供电、交通等依托条件。</w:t>
            </w:r>
          </w:p>
          <w:p>
            <w:pPr>
              <w:spacing w:line="360" w:lineRule="auto"/>
              <w:ind w:firstLine="480" w:firstLineChars="200"/>
              <w:rPr>
                <w:b/>
                <w:color w:val="0000FF"/>
                <w:sz w:val="24"/>
                <w:szCs w:val="28"/>
                <w:lang w:val="zh-CN"/>
              </w:rPr>
            </w:pPr>
            <w:r>
              <w:rPr>
                <w:b/>
                <w:color w:val="0000FF"/>
                <w:sz w:val="24"/>
                <w:szCs w:val="28"/>
                <w:lang w:val="zh-CN"/>
              </w:rPr>
              <w:t>基本条件</w:t>
            </w:r>
            <w:r>
              <w:rPr>
                <w:rFonts w:hint="eastAsia"/>
                <w:b/>
                <w:color w:val="0000FF"/>
                <w:sz w:val="24"/>
                <w:szCs w:val="28"/>
                <w:lang w:val="zh-CN"/>
              </w:rPr>
              <w:t>：</w:t>
            </w:r>
          </w:p>
          <w:p>
            <w:pPr>
              <w:spacing w:line="360" w:lineRule="auto"/>
              <w:ind w:firstLine="480" w:firstLineChars="200"/>
              <w:rPr>
                <w:rFonts w:hint="eastAsia"/>
                <w:color w:val="0000FF"/>
                <w:sz w:val="24"/>
              </w:rPr>
            </w:pPr>
            <w:r>
              <w:rPr>
                <w:color w:val="0000FF"/>
                <w:sz w:val="24"/>
              </w:rPr>
              <w:t>本工程建设占地</w:t>
            </w:r>
            <w:r>
              <w:rPr>
                <w:rFonts w:hint="eastAsia"/>
                <w:color w:val="0000FF"/>
                <w:sz w:val="24"/>
              </w:rPr>
              <w:t>7300m</w:t>
            </w:r>
            <w:r>
              <w:rPr>
                <w:color w:val="0000FF"/>
                <w:sz w:val="24"/>
                <w:vertAlign w:val="superscript"/>
              </w:rPr>
              <w:t>2</w:t>
            </w:r>
            <w:r>
              <w:rPr>
                <w:color w:val="0000FF"/>
                <w:sz w:val="24"/>
              </w:rPr>
              <w:t>，位于</w:t>
            </w:r>
            <w:r>
              <w:rPr>
                <w:rFonts w:hint="eastAsia"/>
                <w:color w:val="0000FF"/>
                <w:sz w:val="24"/>
              </w:rPr>
              <w:t>庆阳亿信肥业有限公司用地</w:t>
            </w:r>
            <w:r>
              <w:rPr>
                <w:color w:val="0000FF"/>
                <w:sz w:val="24"/>
              </w:rPr>
              <w:t>，</w:t>
            </w:r>
            <w:r>
              <w:rPr>
                <w:rFonts w:hint="eastAsia"/>
                <w:color w:val="0000FF"/>
                <w:sz w:val="24"/>
              </w:rPr>
              <w:t>为工业用地，</w:t>
            </w:r>
            <w:r>
              <w:rPr>
                <w:color w:val="0000FF"/>
                <w:sz w:val="24"/>
              </w:rPr>
              <w:t>不属于基本农田；从项目所在地至城区有</w:t>
            </w:r>
            <w:r>
              <w:rPr>
                <w:rFonts w:hint="eastAsia"/>
                <w:color w:val="0000FF"/>
                <w:sz w:val="24"/>
              </w:rPr>
              <w:t>道路</w:t>
            </w:r>
            <w:r>
              <w:rPr>
                <w:color w:val="0000FF"/>
                <w:sz w:val="24"/>
              </w:rPr>
              <w:t>通行，交通较为便利；项目用电</w:t>
            </w:r>
            <w:r>
              <w:rPr>
                <w:rFonts w:hint="eastAsia"/>
                <w:color w:val="0000FF"/>
                <w:sz w:val="24"/>
              </w:rPr>
              <w:t>由厂区供电管网引入</w:t>
            </w:r>
            <w:r>
              <w:rPr>
                <w:color w:val="0000FF"/>
                <w:sz w:val="24"/>
              </w:rPr>
              <w:t>，用水</w:t>
            </w:r>
            <w:r>
              <w:rPr>
                <w:rFonts w:hint="eastAsia"/>
                <w:color w:val="0000FF"/>
                <w:sz w:val="24"/>
              </w:rPr>
              <w:t>由厂区供水管网供给</w:t>
            </w:r>
            <w:r>
              <w:rPr>
                <w:color w:val="0000FF"/>
                <w:sz w:val="24"/>
              </w:rPr>
              <w:t>，完全能够满足项目用水、用电要求。</w:t>
            </w:r>
            <w:r>
              <w:rPr>
                <w:rFonts w:hint="eastAsia"/>
                <w:color w:val="0000FF"/>
                <w:sz w:val="24"/>
              </w:rPr>
              <w:t xml:space="preserve"> </w:t>
            </w:r>
          </w:p>
          <w:p>
            <w:pPr>
              <w:spacing w:line="360" w:lineRule="auto"/>
              <w:ind w:firstLine="480" w:firstLineChars="200"/>
              <w:rPr>
                <w:b/>
                <w:color w:val="0000FF"/>
                <w:sz w:val="24"/>
              </w:rPr>
            </w:pPr>
            <w:r>
              <w:rPr>
                <w:b/>
                <w:color w:val="0000FF"/>
                <w:sz w:val="24"/>
              </w:rPr>
              <w:t>环境条件</w:t>
            </w:r>
            <w:r>
              <w:rPr>
                <w:rFonts w:hint="eastAsia"/>
                <w:b/>
                <w:color w:val="0000FF"/>
                <w:sz w:val="24"/>
              </w:rPr>
              <w:t>：</w:t>
            </w:r>
          </w:p>
          <w:p>
            <w:pPr>
              <w:spacing w:line="360" w:lineRule="auto"/>
              <w:ind w:firstLine="480" w:firstLineChars="200"/>
              <w:rPr>
                <w:rFonts w:hint="eastAsia"/>
                <w:color w:val="0000FF"/>
                <w:sz w:val="24"/>
                <w:szCs w:val="22"/>
              </w:rPr>
            </w:pPr>
            <w:r>
              <w:rPr>
                <w:color w:val="0000FF"/>
                <w:sz w:val="24"/>
              </w:rPr>
              <w:t>大气环境：</w:t>
            </w:r>
            <w:r>
              <w:rPr>
                <w:rFonts w:hint="eastAsia"/>
                <w:color w:val="0000FF"/>
                <w:sz w:val="24"/>
              </w:rPr>
              <w:t>根据环境质量现状监测结果，</w:t>
            </w:r>
            <w:r>
              <w:rPr>
                <w:rFonts w:hint="eastAsia"/>
                <w:color w:val="0000FF"/>
                <w:sz w:val="24"/>
                <w:szCs w:val="22"/>
              </w:rPr>
              <w:t>SO</w:t>
            </w:r>
            <w:r>
              <w:rPr>
                <w:rFonts w:hint="eastAsia"/>
                <w:color w:val="0000FF"/>
                <w:sz w:val="24"/>
                <w:szCs w:val="22"/>
                <w:vertAlign w:val="subscript"/>
              </w:rPr>
              <w:t>2</w:t>
            </w:r>
            <w:r>
              <w:rPr>
                <w:rFonts w:hint="eastAsia"/>
                <w:color w:val="0000FF"/>
                <w:sz w:val="24"/>
                <w:szCs w:val="22"/>
              </w:rPr>
              <w:t>、NO</w:t>
            </w:r>
            <w:r>
              <w:rPr>
                <w:rFonts w:hint="eastAsia"/>
                <w:color w:val="0000FF"/>
                <w:sz w:val="24"/>
                <w:szCs w:val="22"/>
                <w:vertAlign w:val="subscript"/>
              </w:rPr>
              <w:t>2</w:t>
            </w:r>
            <w:r>
              <w:rPr>
                <w:rFonts w:hint="eastAsia"/>
                <w:color w:val="0000FF"/>
                <w:sz w:val="24"/>
                <w:szCs w:val="22"/>
              </w:rPr>
              <w:t>、CO、O</w:t>
            </w:r>
            <w:r>
              <w:rPr>
                <w:rFonts w:hint="eastAsia"/>
                <w:color w:val="0000FF"/>
                <w:sz w:val="24"/>
                <w:szCs w:val="22"/>
                <w:vertAlign w:val="subscript"/>
              </w:rPr>
              <w:t>3</w:t>
            </w:r>
            <w:r>
              <w:rPr>
                <w:rFonts w:hint="eastAsia"/>
                <w:color w:val="0000FF"/>
                <w:sz w:val="24"/>
                <w:szCs w:val="22"/>
              </w:rPr>
              <w:t>的月平均浓度值符合《环境空气质量标准》(GB3095-2012)二级标准；PM</w:t>
            </w:r>
            <w:r>
              <w:rPr>
                <w:rFonts w:hint="eastAsia"/>
                <w:color w:val="0000FF"/>
                <w:sz w:val="24"/>
                <w:szCs w:val="22"/>
                <w:vertAlign w:val="subscript"/>
              </w:rPr>
              <w:t>10</w:t>
            </w:r>
            <w:r>
              <w:rPr>
                <w:rFonts w:hint="eastAsia"/>
                <w:color w:val="0000FF"/>
                <w:sz w:val="24"/>
                <w:szCs w:val="22"/>
              </w:rPr>
              <w:t>、PM</w:t>
            </w:r>
            <w:r>
              <w:rPr>
                <w:rFonts w:hint="eastAsia"/>
                <w:color w:val="0000FF"/>
                <w:sz w:val="24"/>
                <w:szCs w:val="22"/>
                <w:vertAlign w:val="subscript"/>
              </w:rPr>
              <w:t>2.5</w:t>
            </w:r>
            <w:r>
              <w:rPr>
                <w:rFonts w:hint="eastAsia"/>
                <w:color w:val="0000FF"/>
                <w:sz w:val="24"/>
                <w:szCs w:val="22"/>
              </w:rPr>
              <w:t>的月平均浓度超标，超标原因是北方天气4月份风沙较大所致。</w:t>
            </w:r>
          </w:p>
          <w:p>
            <w:pPr>
              <w:spacing w:line="360" w:lineRule="auto"/>
              <w:ind w:firstLine="480" w:firstLineChars="200"/>
              <w:jc w:val="left"/>
              <w:rPr>
                <w:rFonts w:hint="eastAsia"/>
                <w:color w:val="0000FF"/>
                <w:sz w:val="24"/>
              </w:rPr>
            </w:pPr>
            <w:r>
              <w:rPr>
                <w:rFonts w:hint="eastAsia"/>
                <w:color w:val="0000FF"/>
                <w:sz w:val="24"/>
              </w:rPr>
              <w:t>地表水环境：由监测结果可知监测点各项监测指标均符合（GB3838-2002）《地表水环境质量标准》（GB3838-2002）III类标准。</w:t>
            </w:r>
          </w:p>
          <w:p>
            <w:pPr>
              <w:autoSpaceDE w:val="0"/>
              <w:autoSpaceDN w:val="0"/>
              <w:adjustRightInd w:val="0"/>
              <w:spacing w:line="360" w:lineRule="auto"/>
              <w:ind w:firstLine="480" w:firstLineChars="200"/>
              <w:textAlignment w:val="bottom"/>
              <w:rPr>
                <w:rFonts w:hint="eastAsia"/>
                <w:color w:val="0000FF"/>
                <w:sz w:val="24"/>
              </w:rPr>
            </w:pPr>
            <w:r>
              <w:rPr>
                <w:rFonts w:hint="eastAsia"/>
                <w:color w:val="0000FF"/>
                <w:sz w:val="24"/>
              </w:rPr>
              <w:t>地下水环境：项目区1#地下水监测井中总硬度因地质原因出现了超标，其他监测因子监测值均能达到《地下水环境质量标准》（GB/T14848-2017）中Ⅲ类标准限值，项目区地下水环境质量总体现状较好。</w:t>
            </w:r>
          </w:p>
          <w:p>
            <w:pPr>
              <w:spacing w:line="360" w:lineRule="auto"/>
              <w:ind w:firstLine="480" w:firstLineChars="200"/>
              <w:rPr>
                <w:b/>
                <w:color w:val="0000FF"/>
                <w:sz w:val="24"/>
              </w:rPr>
            </w:pPr>
            <w:r>
              <w:rPr>
                <w:b/>
                <w:color w:val="0000FF"/>
                <w:sz w:val="24"/>
              </w:rPr>
              <w:t>环境敏感区及敏感点</w:t>
            </w:r>
            <w:r>
              <w:rPr>
                <w:rFonts w:hint="eastAsia"/>
                <w:b/>
                <w:color w:val="0000FF"/>
                <w:sz w:val="24"/>
              </w:rPr>
              <w:t>：</w:t>
            </w:r>
          </w:p>
          <w:p>
            <w:pPr>
              <w:widowControl/>
              <w:spacing w:line="500" w:lineRule="atLeast"/>
              <w:ind w:firstLine="480"/>
              <w:rPr>
                <w:color w:val="0000FF"/>
                <w:kern w:val="0"/>
                <w:sz w:val="24"/>
              </w:rPr>
            </w:pPr>
            <w:r>
              <w:rPr>
                <w:color w:val="0000FF"/>
                <w:kern w:val="0"/>
                <w:sz w:val="24"/>
              </w:rPr>
              <w:t>本项目选址位于</w:t>
            </w:r>
            <w:r>
              <w:rPr>
                <w:rFonts w:hint="eastAsia"/>
                <w:color w:val="0000FF"/>
                <w:kern w:val="0"/>
                <w:sz w:val="24"/>
              </w:rPr>
              <w:t>长庆桥镇</w:t>
            </w:r>
            <w:r>
              <w:rPr>
                <w:color w:val="0000FF"/>
                <w:kern w:val="0"/>
                <w:sz w:val="24"/>
              </w:rPr>
              <w:t>，距离项目最近的敏感点为距离项目</w:t>
            </w:r>
            <w:r>
              <w:rPr>
                <w:rFonts w:hint="eastAsia"/>
                <w:color w:val="0000FF"/>
                <w:kern w:val="0"/>
                <w:sz w:val="24"/>
              </w:rPr>
              <w:t>北侧395</w:t>
            </w:r>
            <w:r>
              <w:rPr>
                <w:color w:val="0000FF"/>
                <w:kern w:val="0"/>
                <w:sz w:val="24"/>
              </w:rPr>
              <w:t>m的</w:t>
            </w:r>
            <w:r>
              <w:rPr>
                <w:rFonts w:hint="eastAsia"/>
                <w:color w:val="0000FF"/>
                <w:kern w:val="0"/>
                <w:sz w:val="24"/>
              </w:rPr>
              <w:t>先锋村</w:t>
            </w:r>
            <w:r>
              <w:rPr>
                <w:color w:val="0000FF"/>
                <w:kern w:val="0"/>
                <w:sz w:val="24"/>
              </w:rPr>
              <w:t>，在采取相应的废气、废水、固废和噪声的环保措施后，对敏感点影响不大。</w:t>
            </w:r>
          </w:p>
          <w:p>
            <w:pPr>
              <w:spacing w:line="360" w:lineRule="auto"/>
              <w:ind w:firstLine="480" w:firstLineChars="200"/>
              <w:rPr>
                <w:b/>
                <w:color w:val="0000FF"/>
                <w:sz w:val="24"/>
              </w:rPr>
            </w:pPr>
            <w:r>
              <w:rPr>
                <w:b/>
                <w:color w:val="0000FF"/>
                <w:sz w:val="24"/>
              </w:rPr>
              <w:t>场区布局合理性</w:t>
            </w:r>
            <w:r>
              <w:rPr>
                <w:rFonts w:hint="eastAsia"/>
                <w:b/>
                <w:color w:val="0000FF"/>
                <w:sz w:val="24"/>
              </w:rPr>
              <w:t>：</w:t>
            </w:r>
          </w:p>
          <w:p>
            <w:pPr>
              <w:spacing w:line="360" w:lineRule="auto"/>
              <w:ind w:firstLine="480" w:firstLineChars="200"/>
              <w:rPr>
                <w:color w:val="0000FF"/>
                <w:sz w:val="24"/>
              </w:rPr>
            </w:pPr>
            <w:r>
              <w:rPr>
                <w:color w:val="0000FF"/>
                <w:sz w:val="24"/>
              </w:rPr>
              <w:t>本项目拟规划场地为</w:t>
            </w:r>
            <w:r>
              <w:rPr>
                <w:rFonts w:hint="eastAsia"/>
                <w:color w:val="0000FF"/>
                <w:sz w:val="24"/>
              </w:rPr>
              <w:t>不规则的“六边形“</w:t>
            </w:r>
            <w:r>
              <w:rPr>
                <w:color w:val="0000FF"/>
                <w:sz w:val="24"/>
              </w:rPr>
              <w:t>场地，</w:t>
            </w:r>
            <w:r>
              <w:rPr>
                <w:rFonts w:hint="eastAsia"/>
                <w:color w:val="0000FF"/>
                <w:sz w:val="24"/>
              </w:rPr>
              <w:t>其位于庆阳亿信肥业有限公司内，</w:t>
            </w:r>
            <w:r>
              <w:rPr>
                <w:color w:val="0000FF"/>
                <w:sz w:val="24"/>
              </w:rPr>
              <w:t>场地</w:t>
            </w:r>
            <w:r>
              <w:rPr>
                <w:rFonts w:hint="eastAsia"/>
                <w:color w:val="0000FF"/>
                <w:sz w:val="24"/>
              </w:rPr>
              <w:t>已</w:t>
            </w:r>
            <w:r>
              <w:rPr>
                <w:color w:val="0000FF"/>
                <w:sz w:val="24"/>
              </w:rPr>
              <w:t>平整，自然地形十分有利于建设生产性企业。</w:t>
            </w:r>
          </w:p>
          <w:p>
            <w:pPr>
              <w:spacing w:line="360" w:lineRule="auto"/>
              <w:ind w:firstLine="480" w:firstLineChars="200"/>
              <w:rPr>
                <w:color w:val="0000FF"/>
                <w:sz w:val="24"/>
              </w:rPr>
            </w:pPr>
            <w:r>
              <w:rPr>
                <w:color w:val="0000FF"/>
                <w:sz w:val="24"/>
              </w:rPr>
              <w:t>根据当地风向、场地现状、周围环境自然条件等因素，合理布局，做到功能分区（生产区、办公生活区）合理、动力负荷集中、工艺流程顺捷、人流物流通畅、生产管理方便。</w:t>
            </w:r>
          </w:p>
          <w:p>
            <w:pPr>
              <w:spacing w:line="360" w:lineRule="auto"/>
              <w:ind w:firstLine="480" w:firstLineChars="200"/>
              <w:rPr>
                <w:color w:val="0000FF"/>
                <w:sz w:val="24"/>
              </w:rPr>
            </w:pPr>
            <w:r>
              <w:rPr>
                <w:color w:val="0000FF"/>
                <w:sz w:val="24"/>
              </w:rPr>
              <w:t>结合实际，力求人流物流各行其道，避免交叉。。综上所述该项目布局基本合理。</w:t>
            </w:r>
          </w:p>
          <w:p>
            <w:pPr>
              <w:spacing w:line="360" w:lineRule="auto"/>
              <w:ind w:firstLine="480" w:firstLineChars="200"/>
              <w:rPr>
                <w:color w:val="0000FF"/>
                <w:sz w:val="24"/>
              </w:rPr>
            </w:pPr>
            <w:r>
              <w:rPr>
                <w:color w:val="0000FF"/>
                <w:sz w:val="24"/>
              </w:rPr>
              <w:t>建设项目选址可行性分析见表</w:t>
            </w:r>
            <w:r>
              <w:rPr>
                <w:rFonts w:hint="eastAsia"/>
                <w:color w:val="0000FF"/>
                <w:sz w:val="24"/>
              </w:rPr>
              <w:t>33</w:t>
            </w:r>
            <w:r>
              <w:rPr>
                <w:color w:val="0000FF"/>
                <w:sz w:val="24"/>
              </w:rPr>
              <w:t>。</w:t>
            </w:r>
          </w:p>
          <w:p>
            <w:pPr>
              <w:pStyle w:val="104"/>
              <w:spacing w:line="360" w:lineRule="auto"/>
              <w:ind w:firstLine="482"/>
              <w:jc w:val="center"/>
              <w:rPr>
                <w:rFonts w:eastAsia="宋体"/>
                <w:b/>
                <w:spacing w:val="0"/>
                <w:sz w:val="24"/>
              </w:rPr>
            </w:pPr>
            <w:r>
              <w:rPr>
                <w:rFonts w:eastAsia="宋体"/>
                <w:b/>
                <w:spacing w:val="0"/>
                <w:sz w:val="24"/>
              </w:rPr>
              <w:t>表</w:t>
            </w:r>
            <w:r>
              <w:rPr>
                <w:rFonts w:hint="eastAsia" w:eastAsia="宋体"/>
                <w:b/>
                <w:spacing w:val="0"/>
                <w:sz w:val="24"/>
              </w:rPr>
              <w:t>33</w:t>
            </w:r>
            <w:r>
              <w:rPr>
                <w:rFonts w:eastAsia="宋体"/>
                <w:b/>
                <w:spacing w:val="0"/>
                <w:sz w:val="24"/>
              </w:rPr>
              <w:t xml:space="preserve">  拟选厂址环境可行性分析</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727"/>
              <w:gridCol w:w="1737"/>
              <w:gridCol w:w="6109"/>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b/>
                      <w:color w:val="0000FF"/>
                      <w:szCs w:val="21"/>
                    </w:rPr>
                  </w:pPr>
                  <w:r>
                    <w:rPr>
                      <w:b/>
                      <w:color w:val="0000FF"/>
                      <w:szCs w:val="21"/>
                    </w:rPr>
                    <w:t>序号</w:t>
                  </w:r>
                </w:p>
              </w:tc>
              <w:tc>
                <w:tcPr>
                  <w:tcW w:w="1737" w:type="dxa"/>
                  <w:vAlign w:val="center"/>
                </w:tcPr>
                <w:p>
                  <w:pPr>
                    <w:spacing w:line="0" w:lineRule="atLeast"/>
                    <w:jc w:val="center"/>
                    <w:rPr>
                      <w:b/>
                      <w:color w:val="0000FF"/>
                      <w:szCs w:val="21"/>
                    </w:rPr>
                  </w:pPr>
                  <w:r>
                    <w:rPr>
                      <w:b/>
                      <w:color w:val="0000FF"/>
                      <w:szCs w:val="21"/>
                    </w:rPr>
                    <w:t>项目</w:t>
                  </w:r>
                </w:p>
              </w:tc>
              <w:tc>
                <w:tcPr>
                  <w:tcW w:w="6109" w:type="dxa"/>
                  <w:vAlign w:val="center"/>
                </w:tcPr>
                <w:p>
                  <w:pPr>
                    <w:spacing w:line="0" w:lineRule="atLeast"/>
                    <w:jc w:val="center"/>
                    <w:rPr>
                      <w:b/>
                      <w:color w:val="0000FF"/>
                      <w:szCs w:val="21"/>
                    </w:rPr>
                  </w:pPr>
                  <w:r>
                    <w:rPr>
                      <w:b/>
                      <w:color w:val="0000FF"/>
                      <w:szCs w:val="21"/>
                    </w:rPr>
                    <w:t>合理性分析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1</w:t>
                  </w:r>
                </w:p>
              </w:tc>
              <w:tc>
                <w:tcPr>
                  <w:tcW w:w="1737" w:type="dxa"/>
                  <w:vAlign w:val="center"/>
                </w:tcPr>
                <w:p>
                  <w:pPr>
                    <w:spacing w:line="0" w:lineRule="atLeast"/>
                    <w:jc w:val="center"/>
                    <w:rPr>
                      <w:color w:val="0000FF"/>
                      <w:szCs w:val="21"/>
                    </w:rPr>
                  </w:pPr>
                  <w:r>
                    <w:rPr>
                      <w:color w:val="0000FF"/>
                      <w:szCs w:val="21"/>
                    </w:rPr>
                    <w:t>交通条件</w:t>
                  </w:r>
                </w:p>
              </w:tc>
              <w:tc>
                <w:tcPr>
                  <w:tcW w:w="6109" w:type="dxa"/>
                  <w:vAlign w:val="center"/>
                </w:tcPr>
                <w:p>
                  <w:pPr>
                    <w:spacing w:line="0" w:lineRule="atLeast"/>
                    <w:jc w:val="left"/>
                    <w:rPr>
                      <w:color w:val="0000FF"/>
                      <w:szCs w:val="21"/>
                    </w:rPr>
                  </w:pPr>
                  <w:r>
                    <w:rPr>
                      <w:color w:val="0000FF"/>
                      <w:szCs w:val="21"/>
                    </w:rPr>
                    <w:t>项目地交通条件便利。</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2</w:t>
                  </w:r>
                </w:p>
              </w:tc>
              <w:tc>
                <w:tcPr>
                  <w:tcW w:w="1737" w:type="dxa"/>
                  <w:vAlign w:val="center"/>
                </w:tcPr>
                <w:p>
                  <w:pPr>
                    <w:spacing w:line="0" w:lineRule="atLeast"/>
                    <w:jc w:val="center"/>
                    <w:rPr>
                      <w:color w:val="0000FF"/>
                      <w:szCs w:val="21"/>
                    </w:rPr>
                  </w:pPr>
                  <w:r>
                    <w:rPr>
                      <w:color w:val="0000FF"/>
                      <w:szCs w:val="21"/>
                    </w:rPr>
                    <w:t>场地现状</w:t>
                  </w:r>
                </w:p>
              </w:tc>
              <w:tc>
                <w:tcPr>
                  <w:tcW w:w="6109" w:type="dxa"/>
                  <w:vAlign w:val="center"/>
                </w:tcPr>
                <w:p>
                  <w:pPr>
                    <w:spacing w:line="0" w:lineRule="atLeast"/>
                    <w:jc w:val="left"/>
                    <w:rPr>
                      <w:color w:val="0000FF"/>
                      <w:szCs w:val="21"/>
                    </w:rPr>
                  </w:pPr>
                  <w:r>
                    <w:rPr>
                      <w:color w:val="0000FF"/>
                      <w:szCs w:val="21"/>
                    </w:rPr>
                    <w:t>厂址区域无风景名胜区、地表文物古迹等保护区。</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3</w:t>
                  </w:r>
                </w:p>
              </w:tc>
              <w:tc>
                <w:tcPr>
                  <w:tcW w:w="1737" w:type="dxa"/>
                  <w:vAlign w:val="center"/>
                </w:tcPr>
                <w:p>
                  <w:pPr>
                    <w:spacing w:line="0" w:lineRule="atLeast"/>
                    <w:jc w:val="center"/>
                    <w:rPr>
                      <w:color w:val="0000FF"/>
                      <w:szCs w:val="21"/>
                    </w:rPr>
                  </w:pPr>
                  <w:r>
                    <w:rPr>
                      <w:color w:val="0000FF"/>
                      <w:szCs w:val="21"/>
                    </w:rPr>
                    <w:t>供水</w:t>
                  </w:r>
                </w:p>
              </w:tc>
              <w:tc>
                <w:tcPr>
                  <w:tcW w:w="6109" w:type="dxa"/>
                  <w:vAlign w:val="center"/>
                </w:tcPr>
                <w:p>
                  <w:pPr>
                    <w:spacing w:line="0" w:lineRule="atLeast"/>
                    <w:jc w:val="left"/>
                    <w:rPr>
                      <w:color w:val="0000FF"/>
                      <w:spacing w:val="-4"/>
                      <w:szCs w:val="21"/>
                    </w:rPr>
                  </w:pPr>
                  <w:r>
                    <w:rPr>
                      <w:snapToGrid w:val="0"/>
                      <w:color w:val="0000FF"/>
                      <w:szCs w:val="21"/>
                    </w:rPr>
                    <w:t>项目用水由</w:t>
                  </w:r>
                  <w:r>
                    <w:rPr>
                      <w:rFonts w:hint="eastAsia"/>
                      <w:snapToGrid w:val="0"/>
                      <w:color w:val="0000FF"/>
                      <w:szCs w:val="21"/>
                    </w:rPr>
                    <w:t>厂区供水管网供给</w:t>
                  </w:r>
                  <w:r>
                    <w:rPr>
                      <w:color w:val="0000FF"/>
                      <w:spacing w:val="-4"/>
                      <w:szCs w:val="21"/>
                    </w:rPr>
                    <w:t>，能满足工程用水的需要。</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4</w:t>
                  </w:r>
                </w:p>
              </w:tc>
              <w:tc>
                <w:tcPr>
                  <w:tcW w:w="1737" w:type="dxa"/>
                  <w:vAlign w:val="center"/>
                </w:tcPr>
                <w:p>
                  <w:pPr>
                    <w:spacing w:line="0" w:lineRule="atLeast"/>
                    <w:jc w:val="center"/>
                    <w:rPr>
                      <w:color w:val="0000FF"/>
                      <w:szCs w:val="21"/>
                    </w:rPr>
                  </w:pPr>
                  <w:r>
                    <w:rPr>
                      <w:color w:val="0000FF"/>
                      <w:szCs w:val="21"/>
                    </w:rPr>
                    <w:t>排水</w:t>
                  </w:r>
                </w:p>
              </w:tc>
              <w:tc>
                <w:tcPr>
                  <w:tcW w:w="6109" w:type="dxa"/>
                  <w:vAlign w:val="center"/>
                </w:tcPr>
                <w:p>
                  <w:pPr>
                    <w:spacing w:line="0" w:lineRule="atLeast"/>
                    <w:jc w:val="left"/>
                    <w:rPr>
                      <w:snapToGrid w:val="0"/>
                      <w:color w:val="0000FF"/>
                      <w:szCs w:val="21"/>
                    </w:rPr>
                  </w:pPr>
                  <w:r>
                    <w:rPr>
                      <w:rFonts w:hint="eastAsia"/>
                      <w:snapToGrid w:val="0"/>
                      <w:color w:val="0000FF"/>
                      <w:szCs w:val="21"/>
                    </w:rPr>
                    <w:t>依托庆阳亿信肥业有限公司化粪池进行处理</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5</w:t>
                  </w:r>
                </w:p>
              </w:tc>
              <w:tc>
                <w:tcPr>
                  <w:tcW w:w="1737" w:type="dxa"/>
                  <w:vAlign w:val="center"/>
                </w:tcPr>
                <w:p>
                  <w:pPr>
                    <w:spacing w:line="0" w:lineRule="atLeast"/>
                    <w:jc w:val="center"/>
                    <w:rPr>
                      <w:color w:val="0000FF"/>
                      <w:szCs w:val="21"/>
                    </w:rPr>
                  </w:pPr>
                  <w:r>
                    <w:rPr>
                      <w:color w:val="0000FF"/>
                      <w:szCs w:val="21"/>
                    </w:rPr>
                    <w:t>供电</w:t>
                  </w:r>
                </w:p>
              </w:tc>
              <w:tc>
                <w:tcPr>
                  <w:tcW w:w="6109" w:type="dxa"/>
                  <w:vAlign w:val="center"/>
                </w:tcPr>
                <w:p>
                  <w:pPr>
                    <w:spacing w:line="0" w:lineRule="atLeast"/>
                    <w:jc w:val="left"/>
                    <w:rPr>
                      <w:color w:val="0000FF"/>
                      <w:szCs w:val="21"/>
                    </w:rPr>
                  </w:pPr>
                  <w:r>
                    <w:rPr>
                      <w:color w:val="0000FF"/>
                      <w:szCs w:val="21"/>
                    </w:rPr>
                    <w:t>用电由</w:t>
                  </w:r>
                  <w:r>
                    <w:rPr>
                      <w:rFonts w:hint="eastAsia"/>
                      <w:snapToGrid w:val="0"/>
                      <w:color w:val="0000FF"/>
                      <w:szCs w:val="21"/>
                    </w:rPr>
                    <w:t>厂区</w:t>
                  </w:r>
                  <w:r>
                    <w:rPr>
                      <w:rFonts w:hint="eastAsia"/>
                      <w:color w:val="0000FF"/>
                      <w:szCs w:val="21"/>
                    </w:rPr>
                    <w:t>供电管网</w:t>
                  </w:r>
                  <w:r>
                    <w:rPr>
                      <w:color w:val="0000FF"/>
                      <w:szCs w:val="21"/>
                    </w:rPr>
                    <w:t>供给。</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6</w:t>
                  </w:r>
                </w:p>
              </w:tc>
              <w:tc>
                <w:tcPr>
                  <w:tcW w:w="1737" w:type="dxa"/>
                  <w:vAlign w:val="center"/>
                </w:tcPr>
                <w:p>
                  <w:pPr>
                    <w:spacing w:line="0" w:lineRule="atLeast"/>
                    <w:jc w:val="center"/>
                    <w:rPr>
                      <w:color w:val="0000FF"/>
                      <w:szCs w:val="21"/>
                    </w:rPr>
                  </w:pPr>
                  <w:r>
                    <w:rPr>
                      <w:color w:val="0000FF"/>
                      <w:szCs w:val="21"/>
                    </w:rPr>
                    <w:t>周围环境敏感点</w:t>
                  </w:r>
                </w:p>
              </w:tc>
              <w:tc>
                <w:tcPr>
                  <w:tcW w:w="6109" w:type="dxa"/>
                  <w:vAlign w:val="center"/>
                </w:tcPr>
                <w:p>
                  <w:pPr>
                    <w:spacing w:line="0" w:lineRule="atLeast"/>
                    <w:jc w:val="left"/>
                    <w:rPr>
                      <w:color w:val="0000FF"/>
                      <w:szCs w:val="21"/>
                    </w:rPr>
                  </w:pPr>
                  <w:r>
                    <w:rPr>
                      <w:color w:val="0000FF"/>
                      <w:szCs w:val="21"/>
                    </w:rPr>
                    <w:t>项目最近敏感点为</w:t>
                  </w:r>
                  <w:r>
                    <w:rPr>
                      <w:rFonts w:hint="eastAsia"/>
                      <w:color w:val="0000FF"/>
                      <w:szCs w:val="21"/>
                    </w:rPr>
                    <w:t>395</w:t>
                  </w:r>
                  <w:r>
                    <w:rPr>
                      <w:color w:val="0000FF"/>
                      <w:szCs w:val="21"/>
                    </w:rPr>
                    <w:t>m处的</w:t>
                  </w:r>
                  <w:r>
                    <w:rPr>
                      <w:rFonts w:hint="eastAsia"/>
                      <w:color w:val="0000FF"/>
                      <w:szCs w:val="21"/>
                    </w:rPr>
                    <w:t>先锋村</w:t>
                  </w:r>
                  <w:r>
                    <w:rPr>
                      <w:color w:val="0000FF"/>
                      <w:szCs w:val="21"/>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727" w:type="dxa"/>
                  <w:vAlign w:val="center"/>
                </w:tcPr>
                <w:p>
                  <w:pPr>
                    <w:spacing w:line="0" w:lineRule="atLeast"/>
                    <w:jc w:val="center"/>
                    <w:rPr>
                      <w:color w:val="0000FF"/>
                      <w:szCs w:val="21"/>
                    </w:rPr>
                  </w:pPr>
                  <w:r>
                    <w:rPr>
                      <w:color w:val="0000FF"/>
                      <w:szCs w:val="21"/>
                    </w:rPr>
                    <w:t>7</w:t>
                  </w:r>
                </w:p>
              </w:tc>
              <w:tc>
                <w:tcPr>
                  <w:tcW w:w="1737" w:type="dxa"/>
                  <w:vAlign w:val="center"/>
                </w:tcPr>
                <w:p>
                  <w:pPr>
                    <w:spacing w:line="0" w:lineRule="atLeast"/>
                    <w:jc w:val="center"/>
                    <w:rPr>
                      <w:color w:val="0000FF"/>
                      <w:szCs w:val="21"/>
                    </w:rPr>
                  </w:pPr>
                  <w:r>
                    <w:rPr>
                      <w:color w:val="0000FF"/>
                      <w:szCs w:val="21"/>
                    </w:rPr>
                    <w:t>场区总平面布置</w:t>
                  </w:r>
                </w:p>
              </w:tc>
              <w:tc>
                <w:tcPr>
                  <w:tcW w:w="6109" w:type="dxa"/>
                  <w:vAlign w:val="center"/>
                </w:tcPr>
                <w:p>
                  <w:pPr>
                    <w:spacing w:line="0" w:lineRule="atLeast"/>
                    <w:jc w:val="left"/>
                    <w:rPr>
                      <w:color w:val="0000FF"/>
                      <w:szCs w:val="21"/>
                    </w:rPr>
                  </w:pPr>
                  <w:r>
                    <w:rPr>
                      <w:color w:val="0000FF"/>
                      <w:szCs w:val="21"/>
                    </w:rPr>
                    <w:t>项目场区总平面布置合理。</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12" w:hRule="atLeast"/>
                <w:jc w:val="center"/>
              </w:trPr>
              <w:tc>
                <w:tcPr>
                  <w:tcW w:w="8573" w:type="dxa"/>
                  <w:gridSpan w:val="3"/>
                  <w:vAlign w:val="center"/>
                </w:tcPr>
                <w:p>
                  <w:pPr>
                    <w:spacing w:line="0" w:lineRule="atLeast"/>
                    <w:rPr>
                      <w:color w:val="0000FF"/>
                      <w:szCs w:val="21"/>
                    </w:rPr>
                  </w:pPr>
                  <w:r>
                    <w:rPr>
                      <w:color w:val="0000FF"/>
                      <w:szCs w:val="21"/>
                    </w:rPr>
                    <w:t>分析结果：从环境保护角度分析，项目选址选择可行</w:t>
                  </w:r>
                </w:p>
              </w:tc>
            </w:tr>
          </w:tbl>
          <w:p>
            <w:pPr>
              <w:pStyle w:val="126"/>
              <w:adjustRightInd w:val="0"/>
              <w:snapToGrid w:val="0"/>
              <w:spacing w:before="0" w:after="0"/>
              <w:ind w:firstLine="480" w:firstLineChars="200"/>
              <w:outlineLvl w:val="9"/>
              <w:rPr>
                <w:rFonts w:eastAsia="宋体"/>
                <w:color w:val="0000FF"/>
                <w:szCs w:val="22"/>
                <w:lang w:val="en-US" w:eastAsia="zh-CN"/>
              </w:rPr>
            </w:pPr>
            <w:r>
              <w:rPr>
                <w:rFonts w:hint="eastAsia" w:eastAsia="宋体"/>
                <w:b/>
                <w:bCs/>
                <w:color w:val="0000FF"/>
                <w:szCs w:val="22"/>
                <w:lang w:val="en-US" w:eastAsia="zh-CN"/>
              </w:rPr>
              <w:t>4</w:t>
            </w:r>
            <w:r>
              <w:rPr>
                <w:rFonts w:eastAsia="宋体"/>
                <w:b/>
                <w:bCs/>
                <w:color w:val="0000FF"/>
                <w:szCs w:val="22"/>
                <w:lang w:val="en-US" w:eastAsia="zh-CN"/>
              </w:rPr>
              <w:t>、厂区总图布置环境合理性分析</w:t>
            </w:r>
          </w:p>
          <w:p>
            <w:pPr>
              <w:pStyle w:val="126"/>
              <w:adjustRightInd w:val="0"/>
              <w:snapToGrid w:val="0"/>
              <w:spacing w:before="0" w:after="0"/>
              <w:ind w:firstLine="480" w:firstLineChars="200"/>
              <w:outlineLvl w:val="9"/>
              <w:rPr>
                <w:rFonts w:eastAsia="宋体"/>
                <w:color w:val="0000FF"/>
                <w:szCs w:val="22"/>
                <w:lang w:val="en-US" w:eastAsia="zh-CN"/>
              </w:rPr>
            </w:pPr>
            <w:r>
              <w:rPr>
                <w:rFonts w:eastAsia="宋体"/>
                <w:color w:val="0000FF"/>
                <w:szCs w:val="22"/>
              </w:rPr>
              <w:t>项目</w:t>
            </w:r>
            <w:r>
              <w:rPr>
                <w:rFonts w:hint="eastAsia" w:eastAsia="宋体"/>
                <w:color w:val="0000FF"/>
                <w:szCs w:val="22"/>
              </w:rPr>
              <w:t>位于庆阳亿信肥业有限公司内，</w:t>
            </w:r>
            <w:r>
              <w:rPr>
                <w:rFonts w:eastAsia="宋体"/>
                <w:color w:val="0000FF"/>
                <w:szCs w:val="22"/>
              </w:rPr>
              <w:t>建设用地呈</w:t>
            </w:r>
            <w:r>
              <w:rPr>
                <w:rFonts w:hint="eastAsia" w:eastAsia="宋体"/>
                <w:color w:val="0000FF"/>
                <w:szCs w:val="22"/>
              </w:rPr>
              <w:t>不规格六边形</w:t>
            </w:r>
            <w:r>
              <w:rPr>
                <w:rFonts w:eastAsia="宋体"/>
                <w:color w:val="0000FF"/>
                <w:szCs w:val="22"/>
              </w:rPr>
              <w:t>，总占地面积</w:t>
            </w:r>
            <w:r>
              <w:rPr>
                <w:rFonts w:hint="eastAsia" w:eastAsia="宋体"/>
                <w:color w:val="0000FF"/>
                <w:szCs w:val="22"/>
              </w:rPr>
              <w:t>7300</w:t>
            </w:r>
            <w:r>
              <w:rPr>
                <w:rFonts w:eastAsia="宋体"/>
                <w:color w:val="0000FF"/>
                <w:szCs w:val="22"/>
              </w:rPr>
              <w:t>m</w:t>
            </w:r>
            <w:r>
              <w:rPr>
                <w:rFonts w:eastAsia="宋体"/>
                <w:color w:val="0000FF"/>
                <w:szCs w:val="22"/>
                <w:vertAlign w:val="superscript"/>
              </w:rPr>
              <w:t>2</w:t>
            </w:r>
            <w:r>
              <w:rPr>
                <w:rFonts w:eastAsia="宋体"/>
                <w:color w:val="0000FF"/>
                <w:szCs w:val="22"/>
              </w:rPr>
              <w:t>，</w:t>
            </w:r>
            <w:r>
              <w:rPr>
                <w:rFonts w:hint="eastAsia" w:eastAsia="宋体"/>
                <w:color w:val="0000FF"/>
                <w:szCs w:val="22"/>
              </w:rPr>
              <w:t>用地性质为工业用地，</w:t>
            </w:r>
            <w:r>
              <w:rPr>
                <w:rFonts w:eastAsia="宋体"/>
                <w:color w:val="0000FF"/>
                <w:szCs w:val="22"/>
                <w:lang w:val="en-US" w:eastAsia="zh-CN"/>
              </w:rPr>
              <w:t>本项目主要建设</w:t>
            </w:r>
            <w:r>
              <w:rPr>
                <w:rFonts w:hint="eastAsia" w:eastAsia="宋体"/>
                <w:color w:val="0000FF"/>
                <w:szCs w:val="22"/>
                <w:lang w:val="en-US" w:eastAsia="zh-CN"/>
              </w:rPr>
              <w:t>储煤库和厂区道路</w:t>
            </w:r>
            <w:r>
              <w:rPr>
                <w:rFonts w:eastAsia="宋体"/>
                <w:color w:val="0000FF"/>
                <w:szCs w:val="22"/>
                <w:lang w:val="en-US" w:eastAsia="zh-CN"/>
              </w:rPr>
              <w:t>等，项目所在地常年主导风向为东南风，</w:t>
            </w:r>
            <w:r>
              <w:rPr>
                <w:rFonts w:hint="eastAsia" w:eastAsia="宋体"/>
                <w:color w:val="0000FF"/>
                <w:szCs w:val="22"/>
                <w:lang w:val="en-US" w:eastAsia="zh-CN"/>
              </w:rPr>
              <w:t>庆阳亿信肥业有限公司办公生活区位于本项目北侧，因而</w:t>
            </w:r>
            <w:r>
              <w:rPr>
                <w:rFonts w:eastAsia="宋体"/>
                <w:color w:val="0000FF"/>
                <w:szCs w:val="22"/>
                <w:lang w:val="en-US" w:eastAsia="zh-CN"/>
              </w:rPr>
              <w:t>，</w:t>
            </w:r>
            <w:r>
              <w:rPr>
                <w:rFonts w:hint="eastAsia" w:eastAsia="宋体"/>
                <w:color w:val="0000FF"/>
                <w:szCs w:val="22"/>
                <w:lang w:val="en-US" w:eastAsia="zh-CN"/>
              </w:rPr>
              <w:t>本项目</w:t>
            </w:r>
            <w:r>
              <w:rPr>
                <w:rFonts w:eastAsia="宋体"/>
                <w:color w:val="0000FF"/>
                <w:szCs w:val="22"/>
                <w:lang w:val="en-US" w:eastAsia="zh-CN"/>
              </w:rPr>
              <w:t>产生的粉尘对办公生活区的影响较小。</w:t>
            </w:r>
          </w:p>
          <w:p>
            <w:pPr>
              <w:pStyle w:val="126"/>
              <w:adjustRightInd w:val="0"/>
              <w:snapToGrid w:val="0"/>
              <w:spacing w:before="0" w:after="0"/>
              <w:ind w:firstLine="480" w:firstLineChars="200"/>
              <w:outlineLvl w:val="9"/>
              <w:rPr>
                <w:rFonts w:eastAsia="宋体"/>
                <w:color w:val="0000FF"/>
                <w:szCs w:val="22"/>
                <w:lang w:val="en-US" w:eastAsia="zh-CN"/>
              </w:rPr>
            </w:pPr>
            <w:r>
              <w:rPr>
                <w:rFonts w:eastAsia="宋体"/>
                <w:color w:val="0000FF"/>
                <w:szCs w:val="22"/>
                <w:lang w:val="en-US" w:eastAsia="zh-CN"/>
              </w:rPr>
              <w:t>厂区共设置一个出入口，位于厂区</w:t>
            </w:r>
            <w:r>
              <w:rPr>
                <w:rFonts w:hint="eastAsia" w:eastAsia="宋体"/>
                <w:color w:val="0000FF"/>
                <w:szCs w:val="22"/>
                <w:lang w:val="en-US" w:eastAsia="zh-CN"/>
              </w:rPr>
              <w:t>北侧</w:t>
            </w:r>
            <w:r>
              <w:rPr>
                <w:rFonts w:eastAsia="宋体"/>
                <w:color w:val="0000FF"/>
                <w:szCs w:val="22"/>
                <w:lang w:val="en-US" w:eastAsia="zh-CN"/>
              </w:rPr>
              <w:t>，方便</w:t>
            </w:r>
            <w:r>
              <w:rPr>
                <w:rFonts w:hint="eastAsia" w:eastAsia="宋体"/>
                <w:color w:val="0000FF"/>
                <w:szCs w:val="22"/>
                <w:lang w:val="en-US" w:eastAsia="zh-CN"/>
              </w:rPr>
              <w:t>原料</w:t>
            </w:r>
            <w:r>
              <w:rPr>
                <w:rFonts w:eastAsia="宋体"/>
                <w:color w:val="0000FF"/>
                <w:szCs w:val="22"/>
                <w:lang w:val="en-US" w:eastAsia="zh-CN"/>
              </w:rPr>
              <w:t>的运输。</w:t>
            </w:r>
          </w:p>
          <w:p>
            <w:pPr>
              <w:pStyle w:val="126"/>
              <w:adjustRightInd w:val="0"/>
              <w:snapToGrid w:val="0"/>
              <w:spacing w:before="0" w:after="0"/>
              <w:ind w:firstLine="480" w:firstLineChars="200"/>
              <w:outlineLvl w:val="9"/>
              <w:rPr>
                <w:rFonts w:eastAsia="宋体"/>
                <w:color w:val="0000FF"/>
                <w:szCs w:val="22"/>
                <w:lang w:val="en-US" w:eastAsia="zh-CN"/>
              </w:rPr>
            </w:pPr>
            <w:r>
              <w:rPr>
                <w:rFonts w:eastAsia="宋体"/>
                <w:color w:val="0000FF"/>
                <w:szCs w:val="22"/>
                <w:lang w:val="en-US" w:eastAsia="zh-CN"/>
              </w:rPr>
              <w:t>综上所述，现有项目总平面布置综合考虑了常年主导风向、物料运输等因素，因此项目布局环境基本合理。</w:t>
            </w:r>
          </w:p>
          <w:p>
            <w:pPr>
              <w:pStyle w:val="126"/>
              <w:adjustRightInd w:val="0"/>
              <w:snapToGrid w:val="0"/>
              <w:spacing w:before="0" w:after="0"/>
              <w:ind w:firstLine="480" w:firstLineChars="200"/>
              <w:outlineLvl w:val="9"/>
              <w:rPr>
                <w:rFonts w:eastAsia="宋体"/>
                <w:b/>
                <w:bCs/>
                <w:color w:val="0000FF"/>
                <w:szCs w:val="22"/>
                <w:lang w:val="en-US" w:eastAsia="zh-CN"/>
              </w:rPr>
            </w:pPr>
            <w:r>
              <w:rPr>
                <w:rFonts w:hint="eastAsia" w:eastAsia="宋体"/>
                <w:b/>
                <w:bCs/>
                <w:color w:val="0000FF"/>
                <w:szCs w:val="22"/>
                <w:lang w:val="en-US" w:eastAsia="zh-CN"/>
              </w:rPr>
              <w:t>5</w:t>
            </w:r>
            <w:r>
              <w:rPr>
                <w:rFonts w:eastAsia="宋体"/>
                <w:b/>
                <w:bCs/>
                <w:color w:val="0000FF"/>
                <w:szCs w:val="22"/>
                <w:lang w:val="en-US" w:eastAsia="zh-CN"/>
              </w:rPr>
              <w:t>、小结</w:t>
            </w:r>
          </w:p>
          <w:p>
            <w:pPr>
              <w:pStyle w:val="94"/>
              <w:spacing w:line="360" w:lineRule="auto"/>
              <w:ind w:firstLine="520"/>
              <w:rPr>
                <w:rFonts w:hint="eastAsia"/>
                <w:b/>
                <w:color w:val="0000FF"/>
                <w:spacing w:val="0"/>
                <w:sz w:val="24"/>
                <w:szCs w:val="24"/>
              </w:rPr>
            </w:pPr>
            <w:r>
              <w:rPr>
                <w:color w:val="0000FF"/>
                <w:sz w:val="24"/>
                <w:szCs w:val="24"/>
                <w:lang w:val="en-US" w:eastAsia="zh-CN"/>
              </w:rPr>
              <w:t>综上所述，项目建设符合国家产业政策，用地性质符合，选址区基础及配套设施条件较好，用地面积可行，建成运营后项目所排污染物对环境保护目标和敏感点影响较小，周围环境对本项目影响也较小。从环境保护角度衡量，项目选址合理可行。</w:t>
            </w:r>
          </w:p>
          <w:p>
            <w:pPr>
              <w:pStyle w:val="94"/>
              <w:spacing w:beforeLines="50" w:line="360" w:lineRule="auto"/>
              <w:ind w:firstLine="0" w:firstLineChars="0"/>
              <w:rPr>
                <w:rFonts w:hint="eastAsia"/>
                <w:b/>
                <w:spacing w:val="0"/>
                <w:sz w:val="24"/>
                <w:szCs w:val="28"/>
              </w:rPr>
            </w:pPr>
          </w:p>
          <w:p>
            <w:pPr>
              <w:pStyle w:val="94"/>
              <w:spacing w:beforeLines="50" w:line="360" w:lineRule="auto"/>
              <w:ind w:firstLine="0" w:firstLineChars="0"/>
              <w:rPr>
                <w:rFonts w:hint="eastAsia"/>
                <w:b/>
                <w:spacing w:val="0"/>
                <w:sz w:val="24"/>
                <w:szCs w:val="28"/>
              </w:rPr>
            </w:pPr>
          </w:p>
          <w:p>
            <w:pPr>
              <w:pStyle w:val="94"/>
              <w:spacing w:beforeLines="50" w:line="360" w:lineRule="auto"/>
              <w:ind w:firstLine="0" w:firstLineChars="0"/>
              <w:rPr>
                <w:rFonts w:hint="eastAsia"/>
                <w:b/>
                <w:spacing w:val="0"/>
                <w:sz w:val="24"/>
                <w:szCs w:val="28"/>
              </w:rPr>
            </w:pPr>
          </w:p>
          <w:p>
            <w:pPr>
              <w:spacing w:line="360" w:lineRule="auto"/>
              <w:ind w:firstLine="480" w:firstLineChars="200"/>
              <w:rPr>
                <w:sz w:val="24"/>
              </w:rPr>
            </w:pPr>
          </w:p>
          <w:p>
            <w:pPr>
              <w:spacing w:line="360" w:lineRule="auto"/>
              <w:jc w:val="center"/>
              <w:rPr>
                <w:sz w:val="24"/>
              </w:rPr>
            </w:pPr>
          </w:p>
          <w:p>
            <w:pPr>
              <w:spacing w:line="360" w:lineRule="auto"/>
              <w:jc w:val="center"/>
              <w:rPr>
                <w:rFonts w:eastAsia="黑体"/>
                <w:sz w:val="30"/>
                <w:szCs w:val="30"/>
              </w:rPr>
            </w:pPr>
          </w:p>
        </w:tc>
      </w:tr>
    </w:tbl>
    <w:p>
      <w:pPr>
        <w:spacing w:line="360" w:lineRule="auto"/>
        <w:ind w:firstLine="573"/>
        <w:rPr>
          <w:rFonts w:hint="eastAsia"/>
          <w:kern w:val="0"/>
          <w:sz w:val="24"/>
          <w:szCs w:val="28"/>
        </w:rPr>
      </w:pPr>
    </w:p>
    <w:p>
      <w:pPr>
        <w:spacing w:line="360" w:lineRule="auto"/>
        <w:ind w:firstLine="573"/>
        <w:rPr>
          <w:rFonts w:hint="eastAsia"/>
          <w:kern w:val="0"/>
          <w:sz w:val="24"/>
          <w:szCs w:val="28"/>
        </w:r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环境风险分析</w:t>
      </w:r>
    </w:p>
    <w:tbl>
      <w:tblPr>
        <w:tblStyle w:val="24"/>
        <w:tblW w:w="0" w:type="auto"/>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466" w:type="dxa"/>
          </w:tcPr>
          <w:p>
            <w:pPr>
              <w:adjustRightInd w:val="0"/>
              <w:snapToGrid w:val="0"/>
              <w:spacing w:beforeLines="50" w:line="360" w:lineRule="auto"/>
              <w:ind w:firstLine="480" w:firstLineChars="200"/>
              <w:rPr>
                <w:rFonts w:hint="eastAsia"/>
                <w:color w:val="0000FF"/>
                <w:sz w:val="24"/>
              </w:rPr>
            </w:pPr>
            <w:r>
              <w:rPr>
                <w:rFonts w:hint="eastAsia"/>
                <w:color w:val="0000FF"/>
                <w:sz w:val="24"/>
              </w:rPr>
              <w:t>环境风险评价的目的是分析和预测建设项目存在的潜在危险、有害因素，项目建设和运行期间可能发生的突发性事件和事故，引起有毒有害和易燃易爆等物质泄漏，所造成的人身安全与环境影响及损害程度，提出合理可行的防范、应急与减缓措施，以使建设项目事故率、损失和环境影响达到可接受的水平。</w:t>
            </w:r>
          </w:p>
          <w:p>
            <w:pPr>
              <w:adjustRightInd w:val="0"/>
              <w:snapToGrid w:val="0"/>
              <w:spacing w:beforeLines="50" w:line="360" w:lineRule="auto"/>
              <w:ind w:firstLine="480" w:firstLineChars="200"/>
              <w:rPr>
                <w:color w:val="0000FF"/>
                <w:sz w:val="24"/>
              </w:rPr>
            </w:pPr>
            <w:r>
              <w:rPr>
                <w:rFonts w:hint="eastAsia"/>
                <w:color w:val="0000FF"/>
                <w:sz w:val="24"/>
              </w:rPr>
              <w:t>本项目生产过程中不涉及风险物质，对周围环境与人员的危险性较小，本章将根据《建设项目环境风险评价技术导则》(HJ169-2018)中的相关要求，是相对于详细评价工作内容而言，在描述危险物质、环境影响途径、环境危害后果、风险防范措施等方面给出定性的说明，以便于为企业的风险管理提供科学依据</w:t>
            </w:r>
            <w:r>
              <w:rPr>
                <w:color w:val="0000FF"/>
                <w:sz w:val="24"/>
              </w:rPr>
              <w:t>。</w:t>
            </w:r>
          </w:p>
          <w:p>
            <w:pPr>
              <w:spacing w:line="360" w:lineRule="auto"/>
              <w:ind w:firstLine="480" w:firstLineChars="200"/>
              <w:rPr>
                <w:rFonts w:hint="eastAsia"/>
                <w:color w:val="0000FF"/>
                <w:sz w:val="24"/>
              </w:rPr>
            </w:pPr>
            <w:r>
              <w:rPr>
                <w:rFonts w:hint="eastAsia"/>
                <w:color w:val="0000FF"/>
                <w:sz w:val="24"/>
              </w:rPr>
              <w:t>1、风险潜势判别</w:t>
            </w:r>
          </w:p>
          <w:p>
            <w:pPr>
              <w:spacing w:line="360" w:lineRule="auto"/>
              <w:ind w:firstLine="480" w:firstLineChars="200"/>
              <w:rPr>
                <w:rFonts w:hint="eastAsia"/>
                <w:color w:val="0000FF"/>
                <w:sz w:val="24"/>
              </w:rPr>
            </w:pPr>
            <w:r>
              <w:rPr>
                <w:rFonts w:hint="eastAsia"/>
                <w:color w:val="0000FF"/>
                <w:sz w:val="24"/>
              </w:rPr>
              <w:t>本评价从主要物料风险识别和生产过程（单元）风险识别两个方面确定建设项目的主要风险物料和重点危险源。</w:t>
            </w:r>
          </w:p>
          <w:p>
            <w:pPr>
              <w:spacing w:line="360" w:lineRule="auto"/>
              <w:ind w:firstLine="480" w:firstLineChars="200"/>
              <w:rPr>
                <w:rFonts w:hint="eastAsia"/>
                <w:color w:val="0000FF"/>
                <w:sz w:val="24"/>
              </w:rPr>
            </w:pPr>
            <w:r>
              <w:rPr>
                <w:rFonts w:hint="eastAsia"/>
                <w:color w:val="0000FF"/>
                <w:sz w:val="24"/>
              </w:rPr>
              <w:t>根据建设项目涉及的物质和工艺系统的危险性及其所在地的环境敏感程度，结合事故情形下环境影响途径，对建设项目潜在环境危害程度进行概化分析。</w:t>
            </w:r>
          </w:p>
          <w:p>
            <w:pPr>
              <w:spacing w:line="360" w:lineRule="auto"/>
              <w:ind w:firstLine="480" w:firstLineChars="200"/>
              <w:rPr>
                <w:rFonts w:hint="eastAsia"/>
                <w:color w:val="0000FF"/>
                <w:sz w:val="24"/>
              </w:rPr>
            </w:pPr>
            <w:r>
              <w:rPr>
                <w:rFonts w:hint="eastAsia"/>
                <w:color w:val="0000FF"/>
                <w:sz w:val="24"/>
              </w:rPr>
              <w:t>1.1项目危险物质及工艺系统危险性判定</w:t>
            </w:r>
          </w:p>
          <w:p>
            <w:pPr>
              <w:spacing w:line="360" w:lineRule="auto"/>
              <w:ind w:firstLine="480"/>
              <w:rPr>
                <w:color w:val="0000FF"/>
                <w:sz w:val="24"/>
              </w:rPr>
            </w:pPr>
            <w:r>
              <w:rPr>
                <w:rFonts w:hint="eastAsia"/>
                <w:color w:val="0000FF"/>
                <w:sz w:val="24"/>
              </w:rPr>
              <w:t>（1）</w:t>
            </w:r>
            <w:r>
              <w:rPr>
                <w:color w:val="0000FF"/>
                <w:sz w:val="24"/>
              </w:rPr>
              <w:t>危险物质数量与临界量比值(Q)</w:t>
            </w:r>
          </w:p>
          <w:p>
            <w:pPr>
              <w:spacing w:line="360" w:lineRule="auto"/>
              <w:ind w:firstLine="480"/>
              <w:rPr>
                <w:color w:val="0000FF"/>
                <w:sz w:val="24"/>
              </w:rPr>
            </w:pPr>
            <w:r>
              <w:rPr>
                <w:color w:val="0000FF"/>
                <w:sz w:val="24"/>
              </w:rPr>
              <w:t>将本项目生产过程涉及物料的使用量与《建设项目环境风险评价技术导则》(HJ169-2018)附录B及《危险化学品重大危险源辨识》(GB18218-2009)规定的临界量对比，按下式判定：</w:t>
            </w:r>
          </w:p>
          <w:p>
            <w:pPr>
              <w:spacing w:line="360" w:lineRule="auto"/>
              <w:ind w:firstLine="480"/>
              <w:jc w:val="center"/>
              <w:rPr>
                <w:color w:val="0000FF"/>
                <w:sz w:val="24"/>
              </w:rPr>
            </w:pPr>
            <w:r>
              <w:rPr>
                <w:color w:val="0000FF"/>
                <w:sz w:val="24"/>
              </w:rPr>
              <w:t>Q=q</w:t>
            </w:r>
            <w:r>
              <w:rPr>
                <w:color w:val="0000FF"/>
                <w:sz w:val="24"/>
                <w:vertAlign w:val="subscript"/>
              </w:rPr>
              <w:t>1</w:t>
            </w:r>
            <w:r>
              <w:rPr>
                <w:color w:val="0000FF"/>
                <w:sz w:val="24"/>
              </w:rPr>
              <w:t>/Q</w:t>
            </w:r>
            <w:r>
              <w:rPr>
                <w:color w:val="0000FF"/>
                <w:sz w:val="24"/>
                <w:vertAlign w:val="subscript"/>
              </w:rPr>
              <w:t>1</w:t>
            </w:r>
            <w:r>
              <w:rPr>
                <w:color w:val="0000FF"/>
                <w:sz w:val="24"/>
              </w:rPr>
              <w:t xml:space="preserve"> + q</w:t>
            </w:r>
            <w:r>
              <w:rPr>
                <w:color w:val="0000FF"/>
                <w:sz w:val="24"/>
                <w:vertAlign w:val="subscript"/>
              </w:rPr>
              <w:t>2</w:t>
            </w:r>
            <w:r>
              <w:rPr>
                <w:color w:val="0000FF"/>
                <w:sz w:val="24"/>
              </w:rPr>
              <w:t>/Q</w:t>
            </w:r>
            <w:r>
              <w:rPr>
                <w:color w:val="0000FF"/>
                <w:sz w:val="24"/>
                <w:vertAlign w:val="subscript"/>
              </w:rPr>
              <w:t>2</w:t>
            </w:r>
            <w:r>
              <w:rPr>
                <w:color w:val="0000FF"/>
                <w:sz w:val="24"/>
              </w:rPr>
              <w:t xml:space="preserve"> + … + q</w:t>
            </w:r>
            <w:r>
              <w:rPr>
                <w:color w:val="0000FF"/>
                <w:sz w:val="24"/>
                <w:vertAlign w:val="subscript"/>
              </w:rPr>
              <w:t>n</w:t>
            </w:r>
            <w:r>
              <w:rPr>
                <w:color w:val="0000FF"/>
                <w:sz w:val="24"/>
              </w:rPr>
              <w:t>/Q</w:t>
            </w:r>
            <w:r>
              <w:rPr>
                <w:color w:val="0000FF"/>
                <w:sz w:val="24"/>
                <w:vertAlign w:val="subscript"/>
              </w:rPr>
              <w:t>n</w:t>
            </w:r>
          </w:p>
          <w:p>
            <w:pPr>
              <w:spacing w:line="360" w:lineRule="auto"/>
              <w:ind w:firstLine="480"/>
              <w:rPr>
                <w:color w:val="0000FF"/>
                <w:sz w:val="24"/>
              </w:rPr>
            </w:pPr>
            <w:r>
              <w:rPr>
                <w:color w:val="0000FF"/>
                <w:sz w:val="24"/>
              </w:rPr>
              <w:t>式中：q</w:t>
            </w:r>
            <w:r>
              <w:rPr>
                <w:color w:val="0000FF"/>
                <w:sz w:val="24"/>
                <w:vertAlign w:val="subscript"/>
              </w:rPr>
              <w:t>1</w:t>
            </w:r>
            <w:r>
              <w:rPr>
                <w:color w:val="0000FF"/>
                <w:sz w:val="24"/>
              </w:rPr>
              <w:t>,q</w:t>
            </w:r>
            <w:r>
              <w:rPr>
                <w:color w:val="0000FF"/>
                <w:sz w:val="24"/>
                <w:vertAlign w:val="subscript"/>
              </w:rPr>
              <w:t>2</w:t>
            </w:r>
            <w:r>
              <w:rPr>
                <w:color w:val="0000FF"/>
                <w:sz w:val="24"/>
              </w:rPr>
              <w:t>,…,q</w:t>
            </w:r>
            <w:r>
              <w:rPr>
                <w:color w:val="0000FF"/>
                <w:sz w:val="24"/>
                <w:vertAlign w:val="subscript"/>
              </w:rPr>
              <w:t>n</w:t>
            </w:r>
            <w:r>
              <w:rPr>
                <w:color w:val="0000FF"/>
                <w:sz w:val="24"/>
              </w:rPr>
              <w:t xml:space="preserve"> —每种危险物质的最大存在总量，单位为吨(t)；</w:t>
            </w:r>
          </w:p>
          <w:p>
            <w:pPr>
              <w:spacing w:line="360" w:lineRule="auto"/>
              <w:ind w:firstLine="1200" w:firstLineChars="500"/>
              <w:rPr>
                <w:color w:val="0000FF"/>
                <w:sz w:val="24"/>
              </w:rPr>
            </w:pPr>
            <w:r>
              <w:rPr>
                <w:color w:val="0000FF"/>
                <w:sz w:val="24"/>
              </w:rPr>
              <w:t>Q</w:t>
            </w:r>
            <w:r>
              <w:rPr>
                <w:color w:val="0000FF"/>
                <w:sz w:val="24"/>
                <w:vertAlign w:val="subscript"/>
              </w:rPr>
              <w:t>1</w:t>
            </w:r>
            <w:r>
              <w:rPr>
                <w:color w:val="0000FF"/>
                <w:sz w:val="24"/>
              </w:rPr>
              <w:t>,Q</w:t>
            </w:r>
            <w:r>
              <w:rPr>
                <w:color w:val="0000FF"/>
                <w:sz w:val="24"/>
                <w:vertAlign w:val="subscript"/>
              </w:rPr>
              <w:t>2</w:t>
            </w:r>
            <w:r>
              <w:rPr>
                <w:color w:val="0000FF"/>
                <w:sz w:val="24"/>
              </w:rPr>
              <w:t>,…,Q</w:t>
            </w:r>
            <w:r>
              <w:rPr>
                <w:color w:val="0000FF"/>
                <w:sz w:val="24"/>
                <w:vertAlign w:val="subscript"/>
              </w:rPr>
              <w:t>n</w:t>
            </w:r>
            <w:r>
              <w:rPr>
                <w:color w:val="0000FF"/>
                <w:sz w:val="24"/>
              </w:rPr>
              <w:t xml:space="preserve"> —每种危险物质的临界量，单位为吨(t)。</w:t>
            </w:r>
          </w:p>
          <w:p>
            <w:pPr>
              <w:spacing w:line="360" w:lineRule="auto"/>
              <w:ind w:firstLine="1200" w:firstLineChars="500"/>
              <w:rPr>
                <w:color w:val="0000FF"/>
                <w:sz w:val="24"/>
              </w:rPr>
            </w:pPr>
            <w:r>
              <w:rPr>
                <w:color w:val="0000FF"/>
                <w:sz w:val="24"/>
              </w:rPr>
              <w:t>当Q＜1时，该项目环境风险潜势为Ⅰ。</w:t>
            </w:r>
          </w:p>
          <w:p>
            <w:pPr>
              <w:spacing w:line="360" w:lineRule="auto"/>
              <w:ind w:firstLine="1200" w:firstLineChars="500"/>
              <w:rPr>
                <w:color w:val="0000FF"/>
                <w:sz w:val="24"/>
              </w:rPr>
            </w:pPr>
            <w:r>
              <w:rPr>
                <w:color w:val="0000FF"/>
                <w:sz w:val="24"/>
              </w:rPr>
              <w:t>当Q≥1时，将Q值划分为(1)1≤Q＜10；(2) 10≤Q＜100；(3)Q≥100。</w:t>
            </w:r>
          </w:p>
          <w:p>
            <w:pPr>
              <w:spacing w:line="360" w:lineRule="auto"/>
              <w:ind w:firstLine="480" w:firstLineChars="200"/>
              <w:rPr>
                <w:color w:val="0000FF"/>
                <w:sz w:val="24"/>
              </w:rPr>
            </w:pPr>
            <w:r>
              <w:rPr>
                <w:color w:val="0000FF"/>
                <w:sz w:val="24"/>
              </w:rPr>
              <w:t>本项目生产过程中使用的原料和产生的产品的危害风险见表</w:t>
            </w:r>
            <w:r>
              <w:rPr>
                <w:rFonts w:hint="eastAsia"/>
                <w:color w:val="0000FF"/>
                <w:sz w:val="24"/>
              </w:rPr>
              <w:t>34</w:t>
            </w:r>
            <w:r>
              <w:rPr>
                <w:color w:val="0000FF"/>
                <w:sz w:val="24"/>
              </w:rPr>
              <w:t>、</w:t>
            </w:r>
            <w:r>
              <w:rPr>
                <w:rFonts w:hint="eastAsia"/>
                <w:color w:val="0000FF"/>
                <w:sz w:val="24"/>
              </w:rPr>
              <w:t>35</w:t>
            </w:r>
            <w:r>
              <w:rPr>
                <w:color w:val="0000FF"/>
                <w:sz w:val="24"/>
              </w:rPr>
              <w:t>。</w:t>
            </w:r>
          </w:p>
          <w:p>
            <w:pPr>
              <w:spacing w:line="360" w:lineRule="auto"/>
              <w:ind w:firstLine="480"/>
              <w:jc w:val="center"/>
              <w:rPr>
                <w:b/>
                <w:bCs/>
                <w:color w:val="0000FF"/>
                <w:sz w:val="24"/>
              </w:rPr>
            </w:pPr>
            <w:r>
              <w:rPr>
                <w:b/>
                <w:bCs/>
                <w:color w:val="0000FF"/>
                <w:sz w:val="24"/>
              </w:rPr>
              <w:t>表</w:t>
            </w:r>
            <w:r>
              <w:rPr>
                <w:rFonts w:hint="eastAsia"/>
                <w:b/>
                <w:bCs/>
                <w:color w:val="0000FF"/>
                <w:sz w:val="24"/>
              </w:rPr>
              <w:t>34</w:t>
            </w:r>
            <w:r>
              <w:rPr>
                <w:b/>
                <w:bCs/>
                <w:color w:val="0000FF"/>
                <w:sz w:val="24"/>
              </w:rPr>
              <w:t xml:space="preserve">    项目危险物质数量与临界量比值</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847"/>
              <w:gridCol w:w="1085"/>
              <w:gridCol w:w="972"/>
              <w:gridCol w:w="1518"/>
              <w:gridCol w:w="1086"/>
              <w:gridCol w:w="775"/>
              <w:gridCol w:w="1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20" w:type="dxa"/>
                  <w:vAlign w:val="center"/>
                </w:tcPr>
                <w:p>
                  <w:pPr>
                    <w:jc w:val="center"/>
                    <w:rPr>
                      <w:color w:val="0000FF"/>
                      <w:szCs w:val="21"/>
                    </w:rPr>
                  </w:pPr>
                  <w:r>
                    <w:rPr>
                      <w:color w:val="0000FF"/>
                      <w:szCs w:val="21"/>
                    </w:rPr>
                    <w:t>序号</w:t>
                  </w:r>
                </w:p>
              </w:tc>
              <w:tc>
                <w:tcPr>
                  <w:tcW w:w="847" w:type="dxa"/>
                  <w:vAlign w:val="center"/>
                </w:tcPr>
                <w:p>
                  <w:pPr>
                    <w:jc w:val="center"/>
                    <w:rPr>
                      <w:color w:val="0000FF"/>
                      <w:szCs w:val="21"/>
                    </w:rPr>
                  </w:pPr>
                  <w:r>
                    <w:rPr>
                      <w:color w:val="0000FF"/>
                      <w:szCs w:val="21"/>
                    </w:rPr>
                    <w:t>名称</w:t>
                  </w:r>
                </w:p>
              </w:tc>
              <w:tc>
                <w:tcPr>
                  <w:tcW w:w="1085" w:type="dxa"/>
                  <w:vAlign w:val="center"/>
                </w:tcPr>
                <w:p>
                  <w:pPr>
                    <w:jc w:val="center"/>
                    <w:rPr>
                      <w:color w:val="0000FF"/>
                      <w:szCs w:val="21"/>
                    </w:rPr>
                  </w:pPr>
                  <w:r>
                    <w:rPr>
                      <w:color w:val="0000FF"/>
                      <w:szCs w:val="21"/>
                    </w:rPr>
                    <w:t>形态</w:t>
                  </w:r>
                </w:p>
              </w:tc>
              <w:tc>
                <w:tcPr>
                  <w:tcW w:w="972" w:type="dxa"/>
                  <w:vAlign w:val="center"/>
                </w:tcPr>
                <w:p>
                  <w:pPr>
                    <w:jc w:val="center"/>
                    <w:rPr>
                      <w:color w:val="0000FF"/>
                      <w:szCs w:val="21"/>
                    </w:rPr>
                  </w:pPr>
                  <w:r>
                    <w:rPr>
                      <w:color w:val="0000FF"/>
                      <w:szCs w:val="21"/>
                    </w:rPr>
                    <w:t>危险因素</w:t>
                  </w:r>
                </w:p>
              </w:tc>
              <w:tc>
                <w:tcPr>
                  <w:tcW w:w="1518" w:type="dxa"/>
                  <w:vAlign w:val="center"/>
                </w:tcPr>
                <w:p>
                  <w:pPr>
                    <w:tabs>
                      <w:tab w:val="left" w:pos="-2848"/>
                    </w:tabs>
                    <w:jc w:val="center"/>
                    <w:rPr>
                      <w:color w:val="0000FF"/>
                      <w:szCs w:val="21"/>
                    </w:rPr>
                  </w:pPr>
                  <w:r>
                    <w:rPr>
                      <w:color w:val="0000FF"/>
                      <w:szCs w:val="21"/>
                    </w:rPr>
                    <w:t>最大存贮量（t）</w:t>
                  </w:r>
                </w:p>
              </w:tc>
              <w:tc>
                <w:tcPr>
                  <w:tcW w:w="1086" w:type="dxa"/>
                  <w:vAlign w:val="center"/>
                </w:tcPr>
                <w:p>
                  <w:pPr>
                    <w:tabs>
                      <w:tab w:val="left" w:pos="-2848"/>
                    </w:tabs>
                    <w:jc w:val="center"/>
                    <w:rPr>
                      <w:color w:val="0000FF"/>
                      <w:szCs w:val="21"/>
                    </w:rPr>
                  </w:pPr>
                  <w:r>
                    <w:rPr>
                      <w:color w:val="0000FF"/>
                      <w:szCs w:val="21"/>
                    </w:rPr>
                    <w:t>临界量（t）</w:t>
                  </w:r>
                </w:p>
              </w:tc>
              <w:tc>
                <w:tcPr>
                  <w:tcW w:w="775" w:type="dxa"/>
                  <w:vAlign w:val="center"/>
                </w:tcPr>
                <w:p>
                  <w:pPr>
                    <w:jc w:val="center"/>
                    <w:rPr>
                      <w:color w:val="0000FF"/>
                      <w:szCs w:val="21"/>
                    </w:rPr>
                  </w:pPr>
                  <w:r>
                    <w:rPr>
                      <w:color w:val="0000FF"/>
                      <w:szCs w:val="21"/>
                    </w:rPr>
                    <w:t>Q</w:t>
                  </w:r>
                </w:p>
              </w:tc>
              <w:tc>
                <w:tcPr>
                  <w:tcW w:w="1347" w:type="dxa"/>
                  <w:vAlign w:val="center"/>
                </w:tcPr>
                <w:p>
                  <w:pPr>
                    <w:jc w:val="center"/>
                    <w:rPr>
                      <w:color w:val="0000FF"/>
                      <w:szCs w:val="21"/>
                    </w:rPr>
                  </w:pPr>
                  <w:r>
                    <w:rPr>
                      <w:color w:val="0000FF"/>
                      <w:szCs w:val="21"/>
                    </w:rPr>
                    <w:t>环境风险潜势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20" w:type="dxa"/>
                  <w:vAlign w:val="center"/>
                </w:tcPr>
                <w:p>
                  <w:pPr>
                    <w:jc w:val="center"/>
                    <w:rPr>
                      <w:color w:val="0000FF"/>
                      <w:szCs w:val="21"/>
                    </w:rPr>
                  </w:pPr>
                  <w:r>
                    <w:rPr>
                      <w:color w:val="0000FF"/>
                      <w:szCs w:val="21"/>
                    </w:rPr>
                    <w:t>1</w:t>
                  </w:r>
                </w:p>
              </w:tc>
              <w:tc>
                <w:tcPr>
                  <w:tcW w:w="847" w:type="dxa"/>
                  <w:vAlign w:val="center"/>
                </w:tcPr>
                <w:p>
                  <w:pPr>
                    <w:widowControl/>
                    <w:jc w:val="center"/>
                    <w:rPr>
                      <w:color w:val="0000FF"/>
                      <w:szCs w:val="21"/>
                    </w:rPr>
                  </w:pPr>
                  <w:r>
                    <w:rPr>
                      <w:rFonts w:hint="eastAsia"/>
                      <w:color w:val="0000FF"/>
                      <w:szCs w:val="21"/>
                    </w:rPr>
                    <w:t>煤炭</w:t>
                  </w:r>
                </w:p>
              </w:tc>
              <w:tc>
                <w:tcPr>
                  <w:tcW w:w="1085" w:type="dxa"/>
                  <w:vAlign w:val="center"/>
                </w:tcPr>
                <w:p>
                  <w:pPr>
                    <w:jc w:val="center"/>
                    <w:rPr>
                      <w:color w:val="0000FF"/>
                      <w:szCs w:val="21"/>
                    </w:rPr>
                  </w:pPr>
                  <w:r>
                    <w:rPr>
                      <w:color w:val="0000FF"/>
                      <w:szCs w:val="21"/>
                    </w:rPr>
                    <w:t>固态</w:t>
                  </w:r>
                </w:p>
              </w:tc>
              <w:tc>
                <w:tcPr>
                  <w:tcW w:w="972" w:type="dxa"/>
                  <w:vAlign w:val="center"/>
                </w:tcPr>
                <w:p>
                  <w:pPr>
                    <w:jc w:val="center"/>
                    <w:rPr>
                      <w:color w:val="0000FF"/>
                      <w:szCs w:val="21"/>
                    </w:rPr>
                  </w:pPr>
                  <w:r>
                    <w:rPr>
                      <w:color w:val="0000FF"/>
                      <w:szCs w:val="21"/>
                    </w:rPr>
                    <w:t>/</w:t>
                  </w:r>
                </w:p>
              </w:tc>
              <w:tc>
                <w:tcPr>
                  <w:tcW w:w="1518" w:type="dxa"/>
                  <w:vAlign w:val="center"/>
                </w:tcPr>
                <w:p>
                  <w:pPr>
                    <w:jc w:val="center"/>
                    <w:rPr>
                      <w:color w:val="0000FF"/>
                      <w:szCs w:val="21"/>
                    </w:rPr>
                  </w:pPr>
                  <w:r>
                    <w:rPr>
                      <w:color w:val="0000FF"/>
                      <w:szCs w:val="21"/>
                    </w:rPr>
                    <w:t>/</w:t>
                  </w:r>
                </w:p>
              </w:tc>
              <w:tc>
                <w:tcPr>
                  <w:tcW w:w="1086" w:type="dxa"/>
                  <w:vAlign w:val="center"/>
                </w:tcPr>
                <w:p>
                  <w:pPr>
                    <w:jc w:val="center"/>
                    <w:rPr>
                      <w:color w:val="0000FF"/>
                      <w:szCs w:val="21"/>
                    </w:rPr>
                  </w:pPr>
                  <w:r>
                    <w:rPr>
                      <w:color w:val="0000FF"/>
                      <w:szCs w:val="21"/>
                    </w:rPr>
                    <w:t>/</w:t>
                  </w:r>
                </w:p>
              </w:tc>
              <w:tc>
                <w:tcPr>
                  <w:tcW w:w="775" w:type="dxa"/>
                  <w:vAlign w:val="center"/>
                </w:tcPr>
                <w:p>
                  <w:pPr>
                    <w:jc w:val="center"/>
                    <w:rPr>
                      <w:color w:val="0000FF"/>
                      <w:szCs w:val="21"/>
                    </w:rPr>
                  </w:pPr>
                  <w:r>
                    <w:rPr>
                      <w:color w:val="0000FF"/>
                      <w:szCs w:val="21"/>
                    </w:rPr>
                    <w:t>/</w:t>
                  </w:r>
                </w:p>
              </w:tc>
              <w:tc>
                <w:tcPr>
                  <w:tcW w:w="1347" w:type="dxa"/>
                  <w:vAlign w:val="center"/>
                </w:tcPr>
                <w:p>
                  <w:pPr>
                    <w:jc w:val="center"/>
                    <w:rPr>
                      <w:color w:val="0000FF"/>
                      <w:szCs w:val="21"/>
                    </w:rPr>
                  </w:pPr>
                  <w:r>
                    <w:rPr>
                      <w:color w:val="0000FF"/>
                      <w:szCs w:val="21"/>
                    </w:rPr>
                    <w:t>Ⅰ</w:t>
                  </w:r>
                </w:p>
              </w:tc>
            </w:tr>
          </w:tbl>
          <w:p>
            <w:pPr>
              <w:spacing w:line="360" w:lineRule="auto"/>
              <w:ind w:firstLine="480"/>
              <w:jc w:val="center"/>
              <w:rPr>
                <w:b/>
                <w:bCs/>
                <w:color w:val="0000FF"/>
                <w:sz w:val="24"/>
              </w:rPr>
            </w:pPr>
            <w:r>
              <w:rPr>
                <w:b/>
                <w:bCs/>
                <w:color w:val="0000FF"/>
                <w:sz w:val="24"/>
              </w:rPr>
              <w:t>表</w:t>
            </w:r>
            <w:r>
              <w:rPr>
                <w:rFonts w:hint="eastAsia"/>
                <w:b/>
                <w:bCs/>
                <w:color w:val="0000FF"/>
                <w:sz w:val="24"/>
              </w:rPr>
              <w:t>35</w:t>
            </w:r>
            <w:r>
              <w:rPr>
                <w:b/>
                <w:bCs/>
                <w:color w:val="0000FF"/>
                <w:sz w:val="24"/>
              </w:rPr>
              <w:t xml:space="preserve">     生产设备风险识别一览表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7"/>
              <w:gridCol w:w="1954"/>
              <w:gridCol w:w="1209"/>
              <w:gridCol w:w="2792"/>
              <w:gridCol w:w="15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7" w:type="dxa"/>
                  <w:vAlign w:val="center"/>
                </w:tcPr>
                <w:p>
                  <w:pPr>
                    <w:jc w:val="center"/>
                    <w:rPr>
                      <w:color w:val="0000FF"/>
                      <w:szCs w:val="21"/>
                    </w:rPr>
                  </w:pPr>
                  <w:r>
                    <w:rPr>
                      <w:color w:val="0000FF"/>
                      <w:szCs w:val="21"/>
                    </w:rPr>
                    <w:t>序号</w:t>
                  </w:r>
                </w:p>
              </w:tc>
              <w:tc>
                <w:tcPr>
                  <w:tcW w:w="1954" w:type="dxa"/>
                  <w:vAlign w:val="center"/>
                </w:tcPr>
                <w:p>
                  <w:pPr>
                    <w:jc w:val="center"/>
                    <w:rPr>
                      <w:color w:val="0000FF"/>
                      <w:szCs w:val="21"/>
                    </w:rPr>
                  </w:pPr>
                  <w:r>
                    <w:rPr>
                      <w:color w:val="0000FF"/>
                      <w:szCs w:val="21"/>
                    </w:rPr>
                    <w:t>名称</w:t>
                  </w:r>
                </w:p>
              </w:tc>
              <w:tc>
                <w:tcPr>
                  <w:tcW w:w="1209" w:type="dxa"/>
                  <w:vAlign w:val="center"/>
                </w:tcPr>
                <w:p>
                  <w:pPr>
                    <w:jc w:val="center"/>
                    <w:rPr>
                      <w:color w:val="0000FF"/>
                      <w:szCs w:val="21"/>
                    </w:rPr>
                  </w:pPr>
                  <w:r>
                    <w:rPr>
                      <w:color w:val="0000FF"/>
                      <w:szCs w:val="21"/>
                    </w:rPr>
                    <w:t>设备种类</w:t>
                  </w:r>
                </w:p>
              </w:tc>
              <w:tc>
                <w:tcPr>
                  <w:tcW w:w="2792" w:type="dxa"/>
                  <w:vAlign w:val="center"/>
                </w:tcPr>
                <w:p>
                  <w:pPr>
                    <w:jc w:val="center"/>
                    <w:rPr>
                      <w:color w:val="0000FF"/>
                      <w:szCs w:val="21"/>
                    </w:rPr>
                  </w:pPr>
                  <w:r>
                    <w:rPr>
                      <w:color w:val="0000FF"/>
                      <w:szCs w:val="21"/>
                    </w:rPr>
                    <w:t>危险因素</w:t>
                  </w:r>
                </w:p>
              </w:tc>
              <w:tc>
                <w:tcPr>
                  <w:tcW w:w="1568" w:type="dxa"/>
                  <w:vAlign w:val="center"/>
                </w:tcPr>
                <w:p>
                  <w:pPr>
                    <w:jc w:val="center"/>
                    <w:rPr>
                      <w:color w:val="0000FF"/>
                      <w:szCs w:val="21"/>
                    </w:rPr>
                  </w:pPr>
                  <w:r>
                    <w:rPr>
                      <w:color w:val="0000FF"/>
                    </w:rPr>
                    <w:t>环境风险潜势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7" w:type="dxa"/>
                  <w:vAlign w:val="center"/>
                </w:tcPr>
                <w:p>
                  <w:pPr>
                    <w:jc w:val="center"/>
                    <w:rPr>
                      <w:color w:val="0000FF"/>
                      <w:szCs w:val="21"/>
                    </w:rPr>
                  </w:pPr>
                  <w:r>
                    <w:rPr>
                      <w:color w:val="0000FF"/>
                      <w:szCs w:val="21"/>
                    </w:rPr>
                    <w:t>1</w:t>
                  </w:r>
                </w:p>
              </w:tc>
              <w:tc>
                <w:tcPr>
                  <w:tcW w:w="1954" w:type="dxa"/>
                  <w:vAlign w:val="center"/>
                </w:tcPr>
                <w:p>
                  <w:pPr>
                    <w:jc w:val="center"/>
                    <w:rPr>
                      <w:color w:val="0000FF"/>
                      <w:szCs w:val="21"/>
                    </w:rPr>
                  </w:pPr>
                  <w:r>
                    <w:rPr>
                      <w:rFonts w:hint="eastAsia"/>
                      <w:color w:val="0000FF"/>
                      <w:szCs w:val="21"/>
                    </w:rPr>
                    <w:t>分拣机</w:t>
                  </w:r>
                </w:p>
              </w:tc>
              <w:tc>
                <w:tcPr>
                  <w:tcW w:w="1209" w:type="dxa"/>
                  <w:vAlign w:val="center"/>
                </w:tcPr>
                <w:p>
                  <w:pPr>
                    <w:jc w:val="center"/>
                    <w:rPr>
                      <w:color w:val="0000FF"/>
                      <w:szCs w:val="21"/>
                    </w:rPr>
                  </w:pPr>
                  <w:r>
                    <w:rPr>
                      <w:color w:val="0000FF"/>
                      <w:szCs w:val="21"/>
                    </w:rPr>
                    <w:t>固定设备</w:t>
                  </w:r>
                </w:p>
              </w:tc>
              <w:tc>
                <w:tcPr>
                  <w:tcW w:w="2792" w:type="dxa"/>
                  <w:vAlign w:val="center"/>
                </w:tcPr>
                <w:p>
                  <w:pPr>
                    <w:jc w:val="center"/>
                    <w:rPr>
                      <w:color w:val="0000FF"/>
                      <w:szCs w:val="21"/>
                    </w:rPr>
                  </w:pPr>
                  <w:r>
                    <w:rPr>
                      <w:rFonts w:hint="eastAsia"/>
                      <w:color w:val="0000FF"/>
                      <w:szCs w:val="21"/>
                    </w:rPr>
                    <w:t>粉尘</w:t>
                  </w:r>
                </w:p>
              </w:tc>
              <w:tc>
                <w:tcPr>
                  <w:tcW w:w="1568" w:type="dxa"/>
                  <w:vMerge w:val="restart"/>
                  <w:vAlign w:val="center"/>
                </w:tcPr>
                <w:p>
                  <w:pPr>
                    <w:jc w:val="center"/>
                    <w:rPr>
                      <w:color w:val="0000FF"/>
                      <w:szCs w:val="21"/>
                    </w:rPr>
                  </w:pPr>
                  <w:r>
                    <w:rPr>
                      <w:color w:val="0000FF"/>
                      <w:szCs w:val="21"/>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27" w:type="dxa"/>
                  <w:vAlign w:val="center"/>
                </w:tcPr>
                <w:p>
                  <w:pPr>
                    <w:jc w:val="center"/>
                    <w:rPr>
                      <w:color w:val="0000FF"/>
                      <w:szCs w:val="21"/>
                    </w:rPr>
                  </w:pPr>
                  <w:r>
                    <w:rPr>
                      <w:rFonts w:hint="eastAsia"/>
                      <w:color w:val="0000FF"/>
                      <w:szCs w:val="21"/>
                    </w:rPr>
                    <w:t>2</w:t>
                  </w:r>
                </w:p>
              </w:tc>
              <w:tc>
                <w:tcPr>
                  <w:tcW w:w="1954" w:type="dxa"/>
                  <w:vAlign w:val="center"/>
                </w:tcPr>
                <w:p>
                  <w:pPr>
                    <w:jc w:val="center"/>
                    <w:rPr>
                      <w:color w:val="0000FF"/>
                      <w:szCs w:val="21"/>
                    </w:rPr>
                  </w:pPr>
                  <w:r>
                    <w:rPr>
                      <w:color w:val="0000FF"/>
                      <w:szCs w:val="21"/>
                    </w:rPr>
                    <w:t>供电系统</w:t>
                  </w:r>
                </w:p>
              </w:tc>
              <w:tc>
                <w:tcPr>
                  <w:tcW w:w="1209" w:type="dxa"/>
                  <w:vAlign w:val="center"/>
                </w:tcPr>
                <w:p>
                  <w:pPr>
                    <w:jc w:val="center"/>
                    <w:rPr>
                      <w:color w:val="0000FF"/>
                      <w:szCs w:val="21"/>
                    </w:rPr>
                  </w:pPr>
                  <w:r>
                    <w:rPr>
                      <w:color w:val="0000FF"/>
                      <w:szCs w:val="21"/>
                    </w:rPr>
                    <w:t>固定设备</w:t>
                  </w:r>
                </w:p>
              </w:tc>
              <w:tc>
                <w:tcPr>
                  <w:tcW w:w="2792" w:type="dxa"/>
                  <w:vAlign w:val="center"/>
                </w:tcPr>
                <w:p>
                  <w:pPr>
                    <w:jc w:val="center"/>
                    <w:rPr>
                      <w:color w:val="0000FF"/>
                      <w:szCs w:val="21"/>
                    </w:rPr>
                  </w:pPr>
                  <w:r>
                    <w:rPr>
                      <w:color w:val="0000FF"/>
                      <w:szCs w:val="21"/>
                    </w:rPr>
                    <w:t>停电、燃烧</w:t>
                  </w:r>
                </w:p>
              </w:tc>
              <w:tc>
                <w:tcPr>
                  <w:tcW w:w="1568" w:type="dxa"/>
                  <w:vMerge w:val="continue"/>
                  <w:vAlign w:val="center"/>
                </w:tcPr>
                <w:p>
                  <w:pPr>
                    <w:jc w:val="center"/>
                    <w:rPr>
                      <w:color w:val="0000FF"/>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7" w:type="dxa"/>
                  <w:vAlign w:val="center"/>
                </w:tcPr>
                <w:p>
                  <w:pPr>
                    <w:jc w:val="center"/>
                    <w:rPr>
                      <w:color w:val="0000FF"/>
                      <w:szCs w:val="21"/>
                    </w:rPr>
                  </w:pPr>
                  <w:r>
                    <w:rPr>
                      <w:rFonts w:hint="eastAsia"/>
                      <w:color w:val="0000FF"/>
                      <w:szCs w:val="21"/>
                    </w:rPr>
                    <w:t>3</w:t>
                  </w:r>
                </w:p>
              </w:tc>
              <w:tc>
                <w:tcPr>
                  <w:tcW w:w="1954" w:type="dxa"/>
                  <w:vAlign w:val="center"/>
                </w:tcPr>
                <w:p>
                  <w:pPr>
                    <w:jc w:val="center"/>
                    <w:rPr>
                      <w:color w:val="0000FF"/>
                      <w:szCs w:val="21"/>
                    </w:rPr>
                  </w:pPr>
                  <w:r>
                    <w:rPr>
                      <w:color w:val="0000FF"/>
                      <w:szCs w:val="21"/>
                    </w:rPr>
                    <w:t>物料运输系统</w:t>
                  </w:r>
                </w:p>
              </w:tc>
              <w:tc>
                <w:tcPr>
                  <w:tcW w:w="1209" w:type="dxa"/>
                  <w:vAlign w:val="center"/>
                </w:tcPr>
                <w:p>
                  <w:pPr>
                    <w:jc w:val="center"/>
                    <w:rPr>
                      <w:color w:val="0000FF"/>
                      <w:szCs w:val="21"/>
                    </w:rPr>
                  </w:pPr>
                  <w:r>
                    <w:rPr>
                      <w:color w:val="0000FF"/>
                      <w:szCs w:val="21"/>
                    </w:rPr>
                    <w:t>汽车</w:t>
                  </w:r>
                </w:p>
              </w:tc>
              <w:tc>
                <w:tcPr>
                  <w:tcW w:w="2792" w:type="dxa"/>
                  <w:vAlign w:val="center"/>
                </w:tcPr>
                <w:p>
                  <w:pPr>
                    <w:jc w:val="center"/>
                    <w:rPr>
                      <w:color w:val="0000FF"/>
                      <w:szCs w:val="21"/>
                    </w:rPr>
                  </w:pPr>
                  <w:r>
                    <w:rPr>
                      <w:color w:val="0000FF"/>
                      <w:szCs w:val="21"/>
                    </w:rPr>
                    <w:t>扬尘</w:t>
                  </w:r>
                </w:p>
              </w:tc>
              <w:tc>
                <w:tcPr>
                  <w:tcW w:w="1568" w:type="dxa"/>
                  <w:vMerge w:val="continue"/>
                  <w:vAlign w:val="center"/>
                </w:tcPr>
                <w:p>
                  <w:pPr>
                    <w:jc w:val="center"/>
                    <w:rPr>
                      <w:color w:val="0000FF"/>
                      <w:szCs w:val="21"/>
                    </w:rPr>
                  </w:pPr>
                </w:p>
              </w:tc>
            </w:tr>
          </w:tbl>
          <w:p>
            <w:pPr>
              <w:spacing w:line="360" w:lineRule="auto"/>
              <w:ind w:firstLine="480" w:firstLineChars="200"/>
              <w:rPr>
                <w:rFonts w:hint="eastAsia"/>
                <w:color w:val="0000FF"/>
                <w:sz w:val="24"/>
              </w:rPr>
            </w:pPr>
            <w:r>
              <w:rPr>
                <w:rFonts w:hint="eastAsia"/>
                <w:color w:val="0000FF"/>
                <w:sz w:val="24"/>
              </w:rPr>
              <w:t>2、环境风险评价等级及范围</w:t>
            </w:r>
          </w:p>
          <w:p>
            <w:pPr>
              <w:spacing w:line="360" w:lineRule="auto"/>
              <w:ind w:firstLine="480" w:firstLineChars="200"/>
              <w:rPr>
                <w:rFonts w:hint="eastAsia"/>
                <w:color w:val="0000FF"/>
                <w:sz w:val="24"/>
              </w:rPr>
            </w:pPr>
            <w:r>
              <w:rPr>
                <w:rFonts w:hint="eastAsia"/>
                <w:color w:val="0000FF"/>
                <w:sz w:val="24"/>
              </w:rPr>
              <w:t>2.1评价工作等级</w:t>
            </w:r>
          </w:p>
          <w:p>
            <w:pPr>
              <w:spacing w:line="360" w:lineRule="auto"/>
              <w:ind w:firstLine="480" w:firstLineChars="200"/>
              <w:rPr>
                <w:rFonts w:hint="eastAsia"/>
                <w:color w:val="0000FF"/>
                <w:sz w:val="24"/>
              </w:rPr>
            </w:pPr>
            <w:r>
              <w:rPr>
                <w:rFonts w:hint="eastAsia"/>
                <w:color w:val="0000FF"/>
                <w:sz w:val="24"/>
              </w:rPr>
              <w:t>根据《建设项目环境风险评价技术导则》(HJ169-2018)中评价工作等级划分依据，将环境风险评价工作等级划分为一、二、三级，划分依据见表36。</w:t>
            </w:r>
          </w:p>
          <w:p>
            <w:pPr>
              <w:spacing w:line="360" w:lineRule="auto"/>
              <w:ind w:firstLine="482"/>
              <w:jc w:val="center"/>
              <w:rPr>
                <w:b/>
                <w:bCs/>
                <w:color w:val="000000"/>
                <w:sz w:val="24"/>
              </w:rPr>
            </w:pPr>
            <w:r>
              <w:rPr>
                <w:b/>
                <w:bCs/>
                <w:color w:val="000000"/>
                <w:sz w:val="24"/>
              </w:rPr>
              <w:t>表</w:t>
            </w:r>
            <w:r>
              <w:rPr>
                <w:rFonts w:hint="eastAsia"/>
                <w:b/>
                <w:bCs/>
                <w:color w:val="000000"/>
                <w:sz w:val="24"/>
              </w:rPr>
              <w:t>36</w:t>
            </w:r>
            <w:r>
              <w:rPr>
                <w:b/>
                <w:bCs/>
                <w:color w:val="000000"/>
                <w:sz w:val="24"/>
              </w:rPr>
              <w:t xml:space="preserve">   环境风险评价工作级别划分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439"/>
              <w:gridCol w:w="1590"/>
              <w:gridCol w:w="1857"/>
              <w:gridCol w:w="15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1768" w:type="dxa"/>
                  <w:vAlign w:val="center"/>
                </w:tcPr>
                <w:p>
                  <w:pPr>
                    <w:snapToGrid w:val="0"/>
                    <w:jc w:val="center"/>
                    <w:rPr>
                      <w:color w:val="0000FF"/>
                      <w:szCs w:val="21"/>
                    </w:rPr>
                  </w:pPr>
                  <w:r>
                    <w:rPr>
                      <w:color w:val="0000FF"/>
                      <w:szCs w:val="21"/>
                    </w:rPr>
                    <w:t>环境风险潜势</w:t>
                  </w:r>
                </w:p>
              </w:tc>
              <w:tc>
                <w:tcPr>
                  <w:tcW w:w="1439" w:type="dxa"/>
                  <w:vAlign w:val="center"/>
                </w:tcPr>
                <w:p>
                  <w:pPr>
                    <w:snapToGrid w:val="0"/>
                    <w:jc w:val="center"/>
                    <w:rPr>
                      <w:color w:val="0000FF"/>
                      <w:szCs w:val="21"/>
                    </w:rPr>
                  </w:pPr>
                  <w:r>
                    <w:rPr>
                      <w:color w:val="0000FF"/>
                      <w:szCs w:val="21"/>
                    </w:rPr>
                    <w:t>Ⅳ、Ⅳ</w:t>
                  </w:r>
                  <w:r>
                    <w:rPr>
                      <w:color w:val="0000FF"/>
                      <w:szCs w:val="21"/>
                      <w:vertAlign w:val="superscript"/>
                    </w:rPr>
                    <w:t>+</w:t>
                  </w:r>
                </w:p>
              </w:tc>
              <w:tc>
                <w:tcPr>
                  <w:tcW w:w="1590" w:type="dxa"/>
                  <w:vAlign w:val="center"/>
                </w:tcPr>
                <w:p>
                  <w:pPr>
                    <w:snapToGrid w:val="0"/>
                    <w:jc w:val="center"/>
                    <w:rPr>
                      <w:b/>
                      <w:color w:val="0000FF"/>
                      <w:szCs w:val="21"/>
                    </w:rPr>
                  </w:pPr>
                  <w:r>
                    <w:rPr>
                      <w:color w:val="0000FF"/>
                      <w:szCs w:val="21"/>
                    </w:rPr>
                    <w:t>Ⅲ</w:t>
                  </w:r>
                </w:p>
              </w:tc>
              <w:tc>
                <w:tcPr>
                  <w:tcW w:w="1857" w:type="dxa"/>
                  <w:vAlign w:val="center"/>
                </w:tcPr>
                <w:p>
                  <w:pPr>
                    <w:snapToGrid w:val="0"/>
                    <w:jc w:val="center"/>
                    <w:rPr>
                      <w:b/>
                      <w:color w:val="0000FF"/>
                      <w:szCs w:val="21"/>
                    </w:rPr>
                  </w:pPr>
                  <w:r>
                    <w:rPr>
                      <w:color w:val="0000FF"/>
                      <w:szCs w:val="21"/>
                    </w:rPr>
                    <w:t>Ⅱ</w:t>
                  </w:r>
                </w:p>
              </w:tc>
              <w:tc>
                <w:tcPr>
                  <w:tcW w:w="1596" w:type="dxa"/>
                  <w:vAlign w:val="center"/>
                </w:tcPr>
                <w:p>
                  <w:pPr>
                    <w:snapToGrid w:val="0"/>
                    <w:jc w:val="center"/>
                    <w:rPr>
                      <w:b/>
                      <w:color w:val="0000FF"/>
                      <w:szCs w:val="21"/>
                    </w:rPr>
                  </w:pPr>
                  <w:r>
                    <w:rPr>
                      <w:color w:val="0000FF"/>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4" w:hRule="atLeast"/>
                <w:jc w:val="center"/>
              </w:trPr>
              <w:tc>
                <w:tcPr>
                  <w:tcW w:w="1768" w:type="dxa"/>
                  <w:vAlign w:val="center"/>
                </w:tcPr>
                <w:p>
                  <w:pPr>
                    <w:snapToGrid w:val="0"/>
                    <w:jc w:val="center"/>
                    <w:rPr>
                      <w:color w:val="0000FF"/>
                      <w:szCs w:val="21"/>
                    </w:rPr>
                  </w:pPr>
                  <w:r>
                    <w:rPr>
                      <w:color w:val="0000FF"/>
                      <w:szCs w:val="21"/>
                    </w:rPr>
                    <w:t>评价工作等级</w:t>
                  </w:r>
                </w:p>
              </w:tc>
              <w:tc>
                <w:tcPr>
                  <w:tcW w:w="1439" w:type="dxa"/>
                  <w:vAlign w:val="center"/>
                </w:tcPr>
                <w:p>
                  <w:pPr>
                    <w:snapToGrid w:val="0"/>
                    <w:jc w:val="center"/>
                    <w:rPr>
                      <w:color w:val="0000FF"/>
                      <w:szCs w:val="21"/>
                    </w:rPr>
                  </w:pPr>
                  <w:r>
                    <w:rPr>
                      <w:color w:val="0000FF"/>
                      <w:szCs w:val="21"/>
                    </w:rPr>
                    <w:t>一</w:t>
                  </w:r>
                </w:p>
              </w:tc>
              <w:tc>
                <w:tcPr>
                  <w:tcW w:w="1590" w:type="dxa"/>
                  <w:vAlign w:val="center"/>
                </w:tcPr>
                <w:p>
                  <w:pPr>
                    <w:snapToGrid w:val="0"/>
                    <w:jc w:val="center"/>
                    <w:rPr>
                      <w:color w:val="0000FF"/>
                      <w:szCs w:val="21"/>
                    </w:rPr>
                  </w:pPr>
                  <w:r>
                    <w:rPr>
                      <w:color w:val="0000FF"/>
                      <w:szCs w:val="21"/>
                    </w:rPr>
                    <w:t>二</w:t>
                  </w:r>
                </w:p>
              </w:tc>
              <w:tc>
                <w:tcPr>
                  <w:tcW w:w="1857" w:type="dxa"/>
                  <w:vAlign w:val="center"/>
                </w:tcPr>
                <w:p>
                  <w:pPr>
                    <w:snapToGrid w:val="0"/>
                    <w:jc w:val="center"/>
                    <w:rPr>
                      <w:color w:val="0000FF"/>
                      <w:szCs w:val="21"/>
                    </w:rPr>
                  </w:pPr>
                  <w:r>
                    <w:rPr>
                      <w:color w:val="0000FF"/>
                      <w:szCs w:val="21"/>
                    </w:rPr>
                    <w:t>三</w:t>
                  </w:r>
                </w:p>
              </w:tc>
              <w:tc>
                <w:tcPr>
                  <w:tcW w:w="1596" w:type="dxa"/>
                  <w:vAlign w:val="center"/>
                </w:tcPr>
                <w:p>
                  <w:pPr>
                    <w:snapToGrid w:val="0"/>
                    <w:jc w:val="center"/>
                    <w:rPr>
                      <w:color w:val="0000FF"/>
                      <w:szCs w:val="21"/>
                    </w:rPr>
                  </w:pPr>
                  <w:r>
                    <w:rPr>
                      <w:color w:val="0000FF"/>
                      <w:szCs w:val="21"/>
                    </w:rPr>
                    <w:t>简单分析</w:t>
                  </w:r>
                  <w:r>
                    <w:rPr>
                      <w:color w:val="0000FF"/>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250" w:type="dxa"/>
                  <w:gridSpan w:val="5"/>
                  <w:vAlign w:val="center"/>
                </w:tcPr>
                <w:p>
                  <w:pPr>
                    <w:snapToGrid w:val="0"/>
                    <w:rPr>
                      <w:color w:val="0000FF"/>
                      <w:szCs w:val="21"/>
                    </w:rPr>
                  </w:pPr>
                  <w:r>
                    <w:rPr>
                      <w:color w:val="0000FF"/>
                      <w:szCs w:val="21"/>
                      <w:vertAlign w:val="superscript"/>
                    </w:rPr>
                    <w:t>a</w:t>
                  </w:r>
                  <w:r>
                    <w:rPr>
                      <w:color w:val="0000FF"/>
                      <w:szCs w:val="21"/>
                    </w:rPr>
                    <w:t>是相对于详细评价工作内容而言，在描述危险物质、环境影响途径、环境危害后果、风险防范措施等方面给出定性的说明。见附录 A。</w:t>
                  </w:r>
                </w:p>
              </w:tc>
            </w:tr>
          </w:tbl>
          <w:p>
            <w:pPr>
              <w:spacing w:line="360" w:lineRule="auto"/>
              <w:ind w:firstLine="480" w:firstLineChars="200"/>
              <w:rPr>
                <w:color w:val="0000FF"/>
                <w:sz w:val="24"/>
              </w:rPr>
            </w:pPr>
            <w:r>
              <w:rPr>
                <w:color w:val="0000FF"/>
                <w:sz w:val="24"/>
              </w:rPr>
              <w:t>本项目环境风险潜势为Ⅰ级，确定本次环境风险评价等级为简单分析</w:t>
            </w:r>
            <w:r>
              <w:rPr>
                <w:color w:val="0000FF"/>
                <w:sz w:val="24"/>
                <w:vertAlign w:val="superscript"/>
              </w:rPr>
              <w:t>a</w:t>
            </w:r>
            <w:r>
              <w:rPr>
                <w:color w:val="0000FF"/>
                <w:sz w:val="24"/>
              </w:rPr>
              <w:t>。</w:t>
            </w:r>
          </w:p>
          <w:p>
            <w:pPr>
              <w:spacing w:line="360" w:lineRule="auto"/>
              <w:ind w:firstLine="480" w:firstLineChars="200"/>
              <w:rPr>
                <w:rFonts w:hint="eastAsia"/>
                <w:color w:val="0000FF"/>
                <w:sz w:val="24"/>
              </w:rPr>
            </w:pPr>
            <w:r>
              <w:rPr>
                <w:rFonts w:hint="eastAsia"/>
                <w:color w:val="0000FF"/>
                <w:sz w:val="24"/>
              </w:rPr>
              <w:t>3风险识别</w:t>
            </w:r>
          </w:p>
          <w:p>
            <w:pPr>
              <w:spacing w:line="360" w:lineRule="auto"/>
              <w:ind w:firstLine="480" w:firstLineChars="200"/>
              <w:rPr>
                <w:rFonts w:hint="eastAsia"/>
                <w:color w:val="0000FF"/>
                <w:sz w:val="24"/>
              </w:rPr>
            </w:pPr>
            <w:r>
              <w:rPr>
                <w:rFonts w:hint="eastAsia"/>
                <w:color w:val="0000FF"/>
                <w:sz w:val="24"/>
              </w:rPr>
              <w:t>3.1物质风险识别</w:t>
            </w:r>
          </w:p>
          <w:p>
            <w:pPr>
              <w:snapToGrid w:val="0"/>
              <w:spacing w:line="360" w:lineRule="auto"/>
              <w:ind w:firstLine="480" w:firstLineChars="200"/>
              <w:rPr>
                <w:color w:val="0000FF"/>
                <w:sz w:val="24"/>
              </w:rPr>
            </w:pPr>
            <w:r>
              <w:rPr>
                <w:color w:val="0000FF"/>
                <w:sz w:val="24"/>
              </w:rPr>
              <w:t>物质风险识别范围包括主要原材料及辅助材料、燃料、中间产品、最终产品以及生产过程排放的“三废”污染物等。</w:t>
            </w:r>
          </w:p>
          <w:p>
            <w:pPr>
              <w:snapToGrid w:val="0"/>
              <w:spacing w:line="360" w:lineRule="auto"/>
              <w:ind w:firstLine="480" w:firstLineChars="200"/>
              <w:rPr>
                <w:color w:val="0000FF"/>
                <w:sz w:val="24"/>
              </w:rPr>
            </w:pPr>
            <w:r>
              <w:rPr>
                <w:color w:val="0000FF"/>
                <w:sz w:val="24"/>
              </w:rPr>
              <w:t>毒物危害程度分级如表</w:t>
            </w:r>
            <w:r>
              <w:rPr>
                <w:rFonts w:hint="eastAsia"/>
                <w:color w:val="0000FF"/>
                <w:sz w:val="24"/>
              </w:rPr>
              <w:t>37</w:t>
            </w:r>
            <w:r>
              <w:rPr>
                <w:color w:val="0000FF"/>
                <w:sz w:val="24"/>
              </w:rPr>
              <w:t>所示，按导则进行危险性判别的标准见表</w:t>
            </w:r>
            <w:r>
              <w:rPr>
                <w:rFonts w:hint="eastAsia"/>
                <w:color w:val="0000FF"/>
                <w:sz w:val="24"/>
              </w:rPr>
              <w:t>38</w:t>
            </w:r>
            <w:r>
              <w:rPr>
                <w:color w:val="0000FF"/>
                <w:sz w:val="24"/>
              </w:rPr>
              <w:t>。</w:t>
            </w:r>
          </w:p>
          <w:p>
            <w:pPr>
              <w:pStyle w:val="84"/>
              <w:snapToGrid w:val="0"/>
              <w:spacing w:line="240" w:lineRule="atLeast"/>
              <w:ind w:firstLine="0"/>
              <w:jc w:val="center"/>
              <w:rPr>
                <w:b/>
                <w:color w:val="0000FF"/>
                <w:szCs w:val="24"/>
              </w:rPr>
            </w:pPr>
            <w:r>
              <w:rPr>
                <w:b/>
                <w:color w:val="0000FF"/>
                <w:szCs w:val="24"/>
              </w:rPr>
              <w:t>表</w:t>
            </w:r>
            <w:r>
              <w:rPr>
                <w:rFonts w:hint="eastAsia"/>
                <w:b/>
                <w:color w:val="0000FF"/>
                <w:szCs w:val="24"/>
              </w:rPr>
              <w:t>37</w:t>
            </w:r>
            <w:r>
              <w:rPr>
                <w:b/>
                <w:color w:val="0000FF"/>
                <w:szCs w:val="24"/>
              </w:rPr>
              <w:t xml:space="preserve">  毒物危害程度分级(参见“方法”)</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4"/>
              <w:gridCol w:w="2159"/>
              <w:gridCol w:w="1381"/>
              <w:gridCol w:w="1393"/>
              <w:gridCol w:w="1407"/>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2663" w:type="dxa"/>
                  <w:gridSpan w:val="2"/>
                  <w:vMerge w:val="restart"/>
                  <w:vAlign w:val="center"/>
                </w:tcPr>
                <w:p>
                  <w:pPr>
                    <w:pStyle w:val="127"/>
                    <w:spacing w:line="276" w:lineRule="auto"/>
                    <w:rPr>
                      <w:rFonts w:ascii="Times New Roman"/>
                      <w:b/>
                      <w:color w:val="0000FF"/>
                      <w:szCs w:val="21"/>
                    </w:rPr>
                  </w:pPr>
                  <w:r>
                    <w:rPr>
                      <w:rFonts w:ascii="Times New Roman"/>
                      <w:b/>
                      <w:color w:val="0000FF"/>
                      <w:szCs w:val="21"/>
                    </w:rPr>
                    <w:t>指标</w:t>
                  </w:r>
                </w:p>
              </w:tc>
              <w:tc>
                <w:tcPr>
                  <w:tcW w:w="5587" w:type="dxa"/>
                  <w:gridSpan w:val="4"/>
                  <w:tcMar>
                    <w:left w:w="57" w:type="dxa"/>
                    <w:right w:w="57" w:type="dxa"/>
                  </w:tcMar>
                  <w:vAlign w:val="center"/>
                </w:tcPr>
                <w:p>
                  <w:pPr>
                    <w:pStyle w:val="127"/>
                    <w:spacing w:line="276" w:lineRule="auto"/>
                    <w:rPr>
                      <w:rFonts w:ascii="Times New Roman"/>
                      <w:b/>
                      <w:color w:val="0000FF"/>
                      <w:szCs w:val="21"/>
                    </w:rPr>
                  </w:pPr>
                  <w:r>
                    <w:rPr>
                      <w:rFonts w:ascii="Times New Roman"/>
                      <w:b/>
                      <w:color w:val="0000FF"/>
                      <w:szCs w:val="21"/>
                    </w:rPr>
                    <w:t>分级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2663" w:type="dxa"/>
                  <w:gridSpan w:val="2"/>
                  <w:vMerge w:val="continue"/>
                  <w:vAlign w:val="center"/>
                </w:tcPr>
                <w:p>
                  <w:pPr>
                    <w:pStyle w:val="127"/>
                    <w:spacing w:line="276" w:lineRule="auto"/>
                    <w:rPr>
                      <w:rFonts w:ascii="Times New Roman"/>
                      <w:b/>
                      <w:color w:val="0000FF"/>
                      <w:szCs w:val="21"/>
                    </w:rPr>
                  </w:pPr>
                </w:p>
              </w:tc>
              <w:tc>
                <w:tcPr>
                  <w:tcW w:w="1381" w:type="dxa"/>
                  <w:tcMar>
                    <w:left w:w="57" w:type="dxa"/>
                    <w:right w:w="57" w:type="dxa"/>
                  </w:tcMar>
                  <w:vAlign w:val="center"/>
                </w:tcPr>
                <w:p>
                  <w:pPr>
                    <w:pStyle w:val="127"/>
                    <w:spacing w:line="276" w:lineRule="auto"/>
                    <w:rPr>
                      <w:rFonts w:ascii="Times New Roman"/>
                      <w:b/>
                      <w:color w:val="0000FF"/>
                      <w:szCs w:val="21"/>
                    </w:rPr>
                  </w:pPr>
                  <w:r>
                    <w:rPr>
                      <w:rFonts w:ascii="Times New Roman"/>
                      <w:b/>
                      <w:color w:val="0000FF"/>
                      <w:szCs w:val="21"/>
                    </w:rPr>
                    <w:t>I (极度危害)</w:t>
                  </w:r>
                </w:p>
              </w:tc>
              <w:tc>
                <w:tcPr>
                  <w:tcW w:w="1393" w:type="dxa"/>
                  <w:tcMar>
                    <w:left w:w="57" w:type="dxa"/>
                    <w:right w:w="57" w:type="dxa"/>
                  </w:tcMar>
                  <w:vAlign w:val="center"/>
                </w:tcPr>
                <w:p>
                  <w:pPr>
                    <w:pStyle w:val="127"/>
                    <w:spacing w:line="276" w:lineRule="auto"/>
                    <w:rPr>
                      <w:rFonts w:ascii="Times New Roman"/>
                      <w:b/>
                      <w:color w:val="0000FF"/>
                      <w:szCs w:val="21"/>
                    </w:rPr>
                  </w:pPr>
                  <w:r>
                    <w:rPr>
                      <w:rFonts w:ascii="Times New Roman"/>
                      <w:b/>
                      <w:color w:val="0000FF"/>
                      <w:szCs w:val="21"/>
                    </w:rPr>
                    <w:t>II (高度危害)</w:t>
                  </w:r>
                </w:p>
              </w:tc>
              <w:tc>
                <w:tcPr>
                  <w:tcW w:w="1407" w:type="dxa"/>
                  <w:tcMar>
                    <w:left w:w="57" w:type="dxa"/>
                    <w:right w:w="57" w:type="dxa"/>
                  </w:tcMar>
                  <w:vAlign w:val="center"/>
                </w:tcPr>
                <w:p>
                  <w:pPr>
                    <w:pStyle w:val="127"/>
                    <w:spacing w:line="276" w:lineRule="auto"/>
                    <w:rPr>
                      <w:rFonts w:ascii="Times New Roman"/>
                      <w:b/>
                      <w:color w:val="0000FF"/>
                      <w:szCs w:val="21"/>
                    </w:rPr>
                  </w:pPr>
                  <w:r>
                    <w:rPr>
                      <w:rFonts w:ascii="Times New Roman"/>
                      <w:b/>
                      <w:color w:val="0000FF"/>
                      <w:szCs w:val="21"/>
                    </w:rPr>
                    <w:t>Ⅲ (中度危害)</w:t>
                  </w:r>
                </w:p>
              </w:tc>
              <w:tc>
                <w:tcPr>
                  <w:tcW w:w="1406" w:type="dxa"/>
                  <w:tcMar>
                    <w:left w:w="57" w:type="dxa"/>
                    <w:right w:w="57" w:type="dxa"/>
                  </w:tcMar>
                  <w:vAlign w:val="center"/>
                </w:tcPr>
                <w:p>
                  <w:pPr>
                    <w:pStyle w:val="127"/>
                    <w:spacing w:line="276" w:lineRule="auto"/>
                    <w:rPr>
                      <w:rFonts w:ascii="Times New Roman"/>
                      <w:b/>
                      <w:color w:val="0000FF"/>
                      <w:szCs w:val="21"/>
                    </w:rPr>
                  </w:pPr>
                  <w:r>
                    <w:rPr>
                      <w:rFonts w:ascii="Times New Roman"/>
                      <w:b/>
                      <w:color w:val="0000FF"/>
                      <w:szCs w:val="21"/>
                    </w:rPr>
                    <w:t>Ⅳ (轻度危害)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504" w:type="dxa"/>
                  <w:vMerge w:val="restart"/>
                  <w:vAlign w:val="center"/>
                </w:tcPr>
                <w:p>
                  <w:pPr>
                    <w:pStyle w:val="112"/>
                    <w:spacing w:before="0" w:after="0" w:line="276" w:lineRule="auto"/>
                    <w:rPr>
                      <w:rFonts w:ascii="Times New Roman" w:hAnsi="Times New Roman"/>
                      <w:color w:val="0000FF"/>
                      <w:szCs w:val="21"/>
                    </w:rPr>
                  </w:pPr>
                  <w:r>
                    <w:rPr>
                      <w:rFonts w:ascii="Times New Roman" w:hAnsi="Times New Roman"/>
                      <w:color w:val="0000FF"/>
                      <w:szCs w:val="21"/>
                    </w:rPr>
                    <w:t>危害</w:t>
                  </w:r>
                </w:p>
                <w:p>
                  <w:pPr>
                    <w:pStyle w:val="112"/>
                    <w:spacing w:before="0" w:after="0" w:line="276" w:lineRule="auto"/>
                    <w:rPr>
                      <w:rFonts w:ascii="Times New Roman" w:hAnsi="Times New Roman"/>
                      <w:color w:val="0000FF"/>
                      <w:szCs w:val="21"/>
                    </w:rPr>
                  </w:pPr>
                  <w:r>
                    <w:rPr>
                      <w:rFonts w:ascii="Times New Roman" w:hAnsi="Times New Roman"/>
                      <w:color w:val="0000FF"/>
                      <w:szCs w:val="21"/>
                    </w:rPr>
                    <w:t>中毒</w:t>
                  </w:r>
                </w:p>
              </w:tc>
              <w:tc>
                <w:tcPr>
                  <w:tcW w:w="2159" w:type="dxa"/>
                  <w:vAlign w:val="center"/>
                </w:tcPr>
                <w:p>
                  <w:pPr>
                    <w:pStyle w:val="127"/>
                    <w:spacing w:line="276" w:lineRule="auto"/>
                    <w:rPr>
                      <w:rFonts w:ascii="Times New Roman"/>
                      <w:color w:val="0000FF"/>
                      <w:szCs w:val="21"/>
                    </w:rPr>
                  </w:pPr>
                  <w:r>
                    <w:rPr>
                      <w:rFonts w:ascii="Times New Roman"/>
                      <w:color w:val="0000FF"/>
                      <w:szCs w:val="21"/>
                    </w:rPr>
                    <w:t>吸入LC50  (mg/m</w:t>
                  </w:r>
                  <w:r>
                    <w:rPr>
                      <w:rFonts w:ascii="Times New Roman"/>
                      <w:color w:val="0000FF"/>
                      <w:szCs w:val="21"/>
                      <w:vertAlign w:val="superscript"/>
                    </w:rPr>
                    <w:t>3</w:t>
                  </w:r>
                  <w:r>
                    <w:rPr>
                      <w:rFonts w:ascii="Times New Roman"/>
                      <w:color w:val="0000FF"/>
                      <w:szCs w:val="21"/>
                    </w:rPr>
                    <w:t>)</w:t>
                  </w:r>
                </w:p>
              </w:tc>
              <w:tc>
                <w:tcPr>
                  <w:tcW w:w="1381"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&lt;200</w:t>
                  </w:r>
                </w:p>
              </w:tc>
              <w:tc>
                <w:tcPr>
                  <w:tcW w:w="1393"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200—</w:t>
                  </w:r>
                </w:p>
              </w:tc>
              <w:tc>
                <w:tcPr>
                  <w:tcW w:w="1407"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2000—</w:t>
                  </w:r>
                </w:p>
              </w:tc>
              <w:tc>
                <w:tcPr>
                  <w:tcW w:w="1406"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&gt;20000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504" w:type="dxa"/>
                  <w:vMerge w:val="continue"/>
                  <w:vAlign w:val="center"/>
                </w:tcPr>
                <w:p>
                  <w:pPr>
                    <w:pStyle w:val="112"/>
                    <w:spacing w:before="0" w:after="0" w:line="276" w:lineRule="auto"/>
                    <w:rPr>
                      <w:rFonts w:ascii="Times New Roman" w:hAnsi="Times New Roman"/>
                      <w:color w:val="0000FF"/>
                      <w:szCs w:val="21"/>
                    </w:rPr>
                  </w:pPr>
                </w:p>
              </w:tc>
              <w:tc>
                <w:tcPr>
                  <w:tcW w:w="2159" w:type="dxa"/>
                  <w:vAlign w:val="center"/>
                </w:tcPr>
                <w:p>
                  <w:pPr>
                    <w:pStyle w:val="127"/>
                    <w:spacing w:line="276" w:lineRule="auto"/>
                    <w:rPr>
                      <w:rFonts w:ascii="Times New Roman"/>
                      <w:color w:val="0000FF"/>
                      <w:szCs w:val="21"/>
                    </w:rPr>
                  </w:pPr>
                  <w:r>
                    <w:rPr>
                      <w:rFonts w:ascii="Times New Roman"/>
                      <w:color w:val="0000FF"/>
                      <w:szCs w:val="21"/>
                    </w:rPr>
                    <w:t>经皮LD50  (mg/kg)</w:t>
                  </w:r>
                </w:p>
              </w:tc>
              <w:tc>
                <w:tcPr>
                  <w:tcW w:w="1381"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&lt;100</w:t>
                  </w:r>
                </w:p>
              </w:tc>
              <w:tc>
                <w:tcPr>
                  <w:tcW w:w="1393"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100—</w:t>
                  </w:r>
                </w:p>
              </w:tc>
              <w:tc>
                <w:tcPr>
                  <w:tcW w:w="1407"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500—</w:t>
                  </w:r>
                </w:p>
              </w:tc>
              <w:tc>
                <w:tcPr>
                  <w:tcW w:w="1406"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&gt;2500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504" w:type="dxa"/>
                  <w:vMerge w:val="continue"/>
                  <w:vAlign w:val="center"/>
                </w:tcPr>
                <w:p>
                  <w:pPr>
                    <w:pStyle w:val="112"/>
                    <w:spacing w:before="0" w:after="0" w:line="276" w:lineRule="auto"/>
                    <w:rPr>
                      <w:rFonts w:ascii="Times New Roman" w:hAnsi="Times New Roman"/>
                      <w:color w:val="0000FF"/>
                      <w:szCs w:val="21"/>
                    </w:rPr>
                  </w:pPr>
                </w:p>
              </w:tc>
              <w:tc>
                <w:tcPr>
                  <w:tcW w:w="2159" w:type="dxa"/>
                  <w:vAlign w:val="center"/>
                </w:tcPr>
                <w:p>
                  <w:pPr>
                    <w:pStyle w:val="127"/>
                    <w:spacing w:line="276" w:lineRule="auto"/>
                    <w:rPr>
                      <w:rFonts w:ascii="Times New Roman"/>
                      <w:color w:val="0000FF"/>
                      <w:szCs w:val="21"/>
                    </w:rPr>
                  </w:pPr>
                  <w:r>
                    <w:rPr>
                      <w:rFonts w:ascii="Times New Roman"/>
                      <w:color w:val="0000FF"/>
                      <w:szCs w:val="21"/>
                    </w:rPr>
                    <w:t>经口LD50  (mg/kg)</w:t>
                  </w:r>
                </w:p>
              </w:tc>
              <w:tc>
                <w:tcPr>
                  <w:tcW w:w="1381"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&lt;25</w:t>
                  </w:r>
                </w:p>
              </w:tc>
              <w:tc>
                <w:tcPr>
                  <w:tcW w:w="1393"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25—</w:t>
                  </w:r>
                </w:p>
              </w:tc>
              <w:tc>
                <w:tcPr>
                  <w:tcW w:w="1407"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500—</w:t>
                  </w:r>
                </w:p>
              </w:tc>
              <w:tc>
                <w:tcPr>
                  <w:tcW w:w="1406"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&gt;5000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2663" w:type="dxa"/>
                  <w:gridSpan w:val="2"/>
                  <w:vAlign w:val="center"/>
                </w:tcPr>
                <w:p>
                  <w:pPr>
                    <w:pStyle w:val="127"/>
                    <w:spacing w:line="276" w:lineRule="auto"/>
                    <w:rPr>
                      <w:rFonts w:ascii="Times New Roman"/>
                      <w:color w:val="0000FF"/>
                      <w:szCs w:val="21"/>
                    </w:rPr>
                  </w:pPr>
                  <w:r>
                    <w:rPr>
                      <w:rFonts w:ascii="Times New Roman"/>
                      <w:color w:val="0000FF"/>
                      <w:szCs w:val="21"/>
                    </w:rPr>
                    <w:t>致癌性</w:t>
                  </w:r>
                </w:p>
              </w:tc>
              <w:tc>
                <w:tcPr>
                  <w:tcW w:w="1381"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人体致癌物</w:t>
                  </w:r>
                </w:p>
              </w:tc>
              <w:tc>
                <w:tcPr>
                  <w:tcW w:w="1393"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可疑人体致癌</w:t>
                  </w:r>
                </w:p>
              </w:tc>
              <w:tc>
                <w:tcPr>
                  <w:tcW w:w="1407"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实验动物致癌</w:t>
                  </w:r>
                </w:p>
              </w:tc>
              <w:tc>
                <w:tcPr>
                  <w:tcW w:w="1406" w:type="dxa"/>
                  <w:tcMar>
                    <w:left w:w="57" w:type="dxa"/>
                    <w:right w:w="57" w:type="dxa"/>
                  </w:tcMar>
                  <w:vAlign w:val="center"/>
                </w:tcPr>
                <w:p>
                  <w:pPr>
                    <w:pStyle w:val="127"/>
                    <w:spacing w:line="276" w:lineRule="auto"/>
                    <w:rPr>
                      <w:rFonts w:ascii="Times New Roman"/>
                      <w:color w:val="0000FF"/>
                      <w:szCs w:val="21"/>
                    </w:rPr>
                  </w:pPr>
                  <w:r>
                    <w:rPr>
                      <w:rFonts w:ascii="Times New Roman"/>
                      <w:color w:val="0000FF"/>
                      <w:szCs w:val="21"/>
                    </w:rPr>
                    <w:t>无致癌性</w:t>
                  </w:r>
                </w:p>
              </w:tc>
            </w:tr>
          </w:tbl>
          <w:p>
            <w:pPr>
              <w:pStyle w:val="84"/>
              <w:snapToGrid w:val="0"/>
              <w:spacing w:line="240" w:lineRule="atLeast"/>
              <w:ind w:firstLine="0"/>
              <w:jc w:val="center"/>
              <w:rPr>
                <w:b/>
                <w:color w:val="0000FF"/>
                <w:szCs w:val="24"/>
              </w:rPr>
            </w:pPr>
            <w:r>
              <w:rPr>
                <w:b/>
                <w:color w:val="0000FF"/>
                <w:szCs w:val="24"/>
              </w:rPr>
              <w:t>表</w:t>
            </w:r>
            <w:r>
              <w:rPr>
                <w:rFonts w:hint="eastAsia"/>
                <w:b/>
                <w:color w:val="0000FF"/>
                <w:szCs w:val="24"/>
              </w:rPr>
              <w:t>38</w:t>
            </w:r>
            <w:r>
              <w:rPr>
                <w:b/>
                <w:color w:val="0000FF"/>
                <w:szCs w:val="24"/>
              </w:rPr>
              <w:t xml:space="preserve">      物质危险性标准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45"/>
              <w:gridCol w:w="2133"/>
              <w:gridCol w:w="2124"/>
              <w:gridCol w:w="2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68" w:type="dxa"/>
                  <w:vMerge w:val="restart"/>
                  <w:vAlign w:val="center"/>
                </w:tcPr>
                <w:p>
                  <w:pPr>
                    <w:snapToGrid w:val="0"/>
                    <w:jc w:val="center"/>
                    <w:rPr>
                      <w:color w:val="0000FF"/>
                      <w:szCs w:val="21"/>
                    </w:rPr>
                  </w:pPr>
                  <w:r>
                    <w:rPr>
                      <w:color w:val="0000FF"/>
                      <w:szCs w:val="21"/>
                    </w:rPr>
                    <w:t>有</w:t>
                  </w:r>
                </w:p>
                <w:p>
                  <w:pPr>
                    <w:snapToGrid w:val="0"/>
                    <w:jc w:val="center"/>
                    <w:rPr>
                      <w:color w:val="0000FF"/>
                      <w:szCs w:val="21"/>
                    </w:rPr>
                  </w:pPr>
                  <w:r>
                    <w:rPr>
                      <w:color w:val="0000FF"/>
                      <w:szCs w:val="21"/>
                    </w:rPr>
                    <w:t>毒</w:t>
                  </w:r>
                </w:p>
                <w:p>
                  <w:pPr>
                    <w:snapToGrid w:val="0"/>
                    <w:jc w:val="center"/>
                    <w:rPr>
                      <w:color w:val="0000FF"/>
                      <w:szCs w:val="21"/>
                    </w:rPr>
                  </w:pPr>
                  <w:r>
                    <w:rPr>
                      <w:color w:val="0000FF"/>
                      <w:szCs w:val="21"/>
                    </w:rPr>
                    <w:t>物</w:t>
                  </w:r>
                </w:p>
                <w:p>
                  <w:pPr>
                    <w:snapToGrid w:val="0"/>
                    <w:jc w:val="center"/>
                    <w:rPr>
                      <w:color w:val="0000FF"/>
                      <w:szCs w:val="21"/>
                    </w:rPr>
                  </w:pPr>
                  <w:r>
                    <w:rPr>
                      <w:color w:val="0000FF"/>
                      <w:szCs w:val="21"/>
                    </w:rPr>
                    <w:t>质</w:t>
                  </w:r>
                </w:p>
              </w:tc>
              <w:tc>
                <w:tcPr>
                  <w:tcW w:w="745" w:type="dxa"/>
                  <w:vAlign w:val="center"/>
                </w:tcPr>
                <w:p>
                  <w:pPr>
                    <w:snapToGrid w:val="0"/>
                    <w:jc w:val="center"/>
                    <w:rPr>
                      <w:color w:val="0000FF"/>
                      <w:szCs w:val="21"/>
                    </w:rPr>
                  </w:pPr>
                  <w:r>
                    <w:rPr>
                      <w:color w:val="0000FF"/>
                      <w:szCs w:val="21"/>
                    </w:rPr>
                    <w:t>分类</w:t>
                  </w:r>
                </w:p>
              </w:tc>
              <w:tc>
                <w:tcPr>
                  <w:tcW w:w="2133" w:type="dxa"/>
                  <w:vAlign w:val="center"/>
                </w:tcPr>
                <w:p>
                  <w:pPr>
                    <w:snapToGrid w:val="0"/>
                    <w:jc w:val="center"/>
                    <w:rPr>
                      <w:color w:val="0000FF"/>
                      <w:szCs w:val="21"/>
                    </w:rPr>
                  </w:pPr>
                  <w:r>
                    <w:rPr>
                      <w:color w:val="0000FF"/>
                      <w:szCs w:val="21"/>
                    </w:rPr>
                    <w:t>LD</w:t>
                  </w:r>
                  <w:r>
                    <w:rPr>
                      <w:color w:val="0000FF"/>
                      <w:szCs w:val="21"/>
                      <w:vertAlign w:val="subscript"/>
                    </w:rPr>
                    <w:t>50</w:t>
                  </w:r>
                  <w:r>
                    <w:rPr>
                      <w:color w:val="0000FF"/>
                      <w:szCs w:val="21"/>
                    </w:rPr>
                    <w:t>(大鼠经口)mg/kg</w:t>
                  </w:r>
                </w:p>
              </w:tc>
              <w:tc>
                <w:tcPr>
                  <w:tcW w:w="2124" w:type="dxa"/>
                  <w:vAlign w:val="center"/>
                </w:tcPr>
                <w:p>
                  <w:pPr>
                    <w:snapToGrid w:val="0"/>
                    <w:jc w:val="center"/>
                    <w:rPr>
                      <w:color w:val="0000FF"/>
                      <w:szCs w:val="21"/>
                    </w:rPr>
                  </w:pPr>
                  <w:r>
                    <w:rPr>
                      <w:color w:val="0000FF"/>
                      <w:szCs w:val="21"/>
                    </w:rPr>
                    <w:t>LD</w:t>
                  </w:r>
                  <w:r>
                    <w:rPr>
                      <w:color w:val="0000FF"/>
                      <w:szCs w:val="21"/>
                      <w:vertAlign w:val="subscript"/>
                    </w:rPr>
                    <w:t>50</w:t>
                  </w:r>
                  <w:r>
                    <w:rPr>
                      <w:color w:val="0000FF"/>
                      <w:szCs w:val="21"/>
                    </w:rPr>
                    <w:t>(大鼠经皮)mg/kg</w:t>
                  </w:r>
                </w:p>
              </w:tc>
              <w:tc>
                <w:tcPr>
                  <w:tcW w:w="2680" w:type="dxa"/>
                  <w:vAlign w:val="center"/>
                </w:tcPr>
                <w:p>
                  <w:pPr>
                    <w:snapToGrid w:val="0"/>
                    <w:jc w:val="center"/>
                    <w:rPr>
                      <w:color w:val="0000FF"/>
                      <w:szCs w:val="21"/>
                    </w:rPr>
                  </w:pPr>
                  <w:r>
                    <w:rPr>
                      <w:color w:val="0000FF"/>
                      <w:szCs w:val="21"/>
                    </w:rPr>
                    <w:t>LC</w:t>
                  </w:r>
                  <w:r>
                    <w:rPr>
                      <w:color w:val="0000FF"/>
                      <w:szCs w:val="21"/>
                      <w:vertAlign w:val="subscript"/>
                    </w:rPr>
                    <w:t>50</w:t>
                  </w:r>
                  <w:r>
                    <w:rPr>
                      <w:color w:val="0000FF"/>
                      <w:szCs w:val="21"/>
                    </w:rPr>
                    <w:t>（小鼠吸入，4小时）mg/L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68" w:type="dxa"/>
                  <w:vMerge w:val="continue"/>
                  <w:vAlign w:val="center"/>
                </w:tcPr>
                <w:p>
                  <w:pPr>
                    <w:snapToGrid w:val="0"/>
                    <w:jc w:val="center"/>
                    <w:rPr>
                      <w:color w:val="0000FF"/>
                      <w:szCs w:val="21"/>
                    </w:rPr>
                  </w:pPr>
                </w:p>
              </w:tc>
              <w:tc>
                <w:tcPr>
                  <w:tcW w:w="745" w:type="dxa"/>
                  <w:vAlign w:val="center"/>
                </w:tcPr>
                <w:p>
                  <w:pPr>
                    <w:snapToGrid w:val="0"/>
                    <w:jc w:val="center"/>
                    <w:rPr>
                      <w:color w:val="0000FF"/>
                      <w:szCs w:val="21"/>
                    </w:rPr>
                  </w:pPr>
                  <w:r>
                    <w:rPr>
                      <w:color w:val="0000FF"/>
                      <w:szCs w:val="21"/>
                    </w:rPr>
                    <w:t>1</w:t>
                  </w:r>
                </w:p>
              </w:tc>
              <w:tc>
                <w:tcPr>
                  <w:tcW w:w="2133" w:type="dxa"/>
                  <w:vAlign w:val="center"/>
                </w:tcPr>
                <w:p>
                  <w:pPr>
                    <w:snapToGrid w:val="0"/>
                    <w:jc w:val="center"/>
                    <w:rPr>
                      <w:color w:val="0000FF"/>
                      <w:szCs w:val="21"/>
                    </w:rPr>
                  </w:pPr>
                  <w:r>
                    <w:rPr>
                      <w:color w:val="0000FF"/>
                      <w:szCs w:val="21"/>
                    </w:rPr>
                    <w:t>&lt;5</w:t>
                  </w:r>
                </w:p>
              </w:tc>
              <w:tc>
                <w:tcPr>
                  <w:tcW w:w="2124" w:type="dxa"/>
                  <w:vAlign w:val="center"/>
                </w:tcPr>
                <w:p>
                  <w:pPr>
                    <w:snapToGrid w:val="0"/>
                    <w:jc w:val="center"/>
                    <w:rPr>
                      <w:color w:val="0000FF"/>
                      <w:szCs w:val="21"/>
                    </w:rPr>
                  </w:pPr>
                  <w:r>
                    <w:rPr>
                      <w:color w:val="0000FF"/>
                      <w:szCs w:val="21"/>
                    </w:rPr>
                    <w:t>&lt;1</w:t>
                  </w:r>
                </w:p>
              </w:tc>
              <w:tc>
                <w:tcPr>
                  <w:tcW w:w="2680" w:type="dxa"/>
                  <w:vAlign w:val="center"/>
                </w:tcPr>
                <w:p>
                  <w:pPr>
                    <w:snapToGrid w:val="0"/>
                    <w:jc w:val="center"/>
                    <w:rPr>
                      <w:color w:val="0000FF"/>
                      <w:szCs w:val="21"/>
                    </w:rPr>
                  </w:pPr>
                  <w:r>
                    <w:rPr>
                      <w:color w:val="0000FF"/>
                      <w:szCs w:val="21"/>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68" w:type="dxa"/>
                  <w:vMerge w:val="continue"/>
                  <w:vAlign w:val="center"/>
                </w:tcPr>
                <w:p>
                  <w:pPr>
                    <w:snapToGrid w:val="0"/>
                    <w:jc w:val="center"/>
                    <w:rPr>
                      <w:color w:val="0000FF"/>
                      <w:szCs w:val="21"/>
                    </w:rPr>
                  </w:pPr>
                </w:p>
              </w:tc>
              <w:tc>
                <w:tcPr>
                  <w:tcW w:w="745" w:type="dxa"/>
                  <w:vAlign w:val="center"/>
                </w:tcPr>
                <w:p>
                  <w:pPr>
                    <w:snapToGrid w:val="0"/>
                    <w:jc w:val="center"/>
                    <w:rPr>
                      <w:color w:val="0000FF"/>
                      <w:szCs w:val="21"/>
                    </w:rPr>
                  </w:pPr>
                  <w:r>
                    <w:rPr>
                      <w:color w:val="0000FF"/>
                      <w:szCs w:val="21"/>
                    </w:rPr>
                    <w:t>2</w:t>
                  </w:r>
                </w:p>
              </w:tc>
              <w:tc>
                <w:tcPr>
                  <w:tcW w:w="2133" w:type="dxa"/>
                  <w:vAlign w:val="center"/>
                </w:tcPr>
                <w:p>
                  <w:pPr>
                    <w:snapToGrid w:val="0"/>
                    <w:jc w:val="center"/>
                    <w:rPr>
                      <w:color w:val="0000FF"/>
                      <w:szCs w:val="21"/>
                    </w:rPr>
                  </w:pPr>
                  <w:r>
                    <w:rPr>
                      <w:color w:val="0000FF"/>
                      <w:szCs w:val="21"/>
                    </w:rPr>
                    <w:t>5&lt;LD</w:t>
                  </w:r>
                  <w:r>
                    <w:rPr>
                      <w:color w:val="0000FF"/>
                      <w:szCs w:val="21"/>
                      <w:vertAlign w:val="subscript"/>
                    </w:rPr>
                    <w:t>50</w:t>
                  </w:r>
                  <w:r>
                    <w:rPr>
                      <w:color w:val="0000FF"/>
                      <w:szCs w:val="21"/>
                    </w:rPr>
                    <w:t>&lt;25</w:t>
                  </w:r>
                </w:p>
              </w:tc>
              <w:tc>
                <w:tcPr>
                  <w:tcW w:w="2124" w:type="dxa"/>
                  <w:vAlign w:val="center"/>
                </w:tcPr>
                <w:p>
                  <w:pPr>
                    <w:snapToGrid w:val="0"/>
                    <w:jc w:val="center"/>
                    <w:rPr>
                      <w:color w:val="0000FF"/>
                      <w:szCs w:val="21"/>
                    </w:rPr>
                  </w:pPr>
                  <w:r>
                    <w:rPr>
                      <w:color w:val="0000FF"/>
                      <w:szCs w:val="21"/>
                    </w:rPr>
                    <w:t>10&lt;LD</w:t>
                  </w:r>
                  <w:r>
                    <w:rPr>
                      <w:color w:val="0000FF"/>
                      <w:szCs w:val="21"/>
                      <w:vertAlign w:val="subscript"/>
                    </w:rPr>
                    <w:t>50</w:t>
                  </w:r>
                  <w:r>
                    <w:rPr>
                      <w:color w:val="0000FF"/>
                      <w:szCs w:val="21"/>
                    </w:rPr>
                    <w:t>&lt;50</w:t>
                  </w:r>
                </w:p>
              </w:tc>
              <w:tc>
                <w:tcPr>
                  <w:tcW w:w="2680" w:type="dxa"/>
                  <w:vAlign w:val="center"/>
                </w:tcPr>
                <w:p>
                  <w:pPr>
                    <w:snapToGrid w:val="0"/>
                    <w:jc w:val="center"/>
                    <w:rPr>
                      <w:color w:val="0000FF"/>
                      <w:szCs w:val="21"/>
                    </w:rPr>
                  </w:pPr>
                  <w:r>
                    <w:rPr>
                      <w:color w:val="0000FF"/>
                      <w:szCs w:val="21"/>
                    </w:rPr>
                    <w:t>0.1&lt;LC</w:t>
                  </w:r>
                  <w:r>
                    <w:rPr>
                      <w:color w:val="0000FF"/>
                      <w:szCs w:val="21"/>
                      <w:vertAlign w:val="subscript"/>
                    </w:rPr>
                    <w:t>50</w:t>
                  </w:r>
                  <w:r>
                    <w:rPr>
                      <w:color w:val="0000FF"/>
                      <w:szCs w:val="21"/>
                    </w:rPr>
                    <w:t>&lt;0.5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68" w:type="dxa"/>
                  <w:vMerge w:val="continue"/>
                  <w:vAlign w:val="center"/>
                </w:tcPr>
                <w:p>
                  <w:pPr>
                    <w:snapToGrid w:val="0"/>
                    <w:jc w:val="center"/>
                    <w:rPr>
                      <w:color w:val="0000FF"/>
                      <w:szCs w:val="21"/>
                    </w:rPr>
                  </w:pPr>
                </w:p>
              </w:tc>
              <w:tc>
                <w:tcPr>
                  <w:tcW w:w="745" w:type="dxa"/>
                  <w:vAlign w:val="center"/>
                </w:tcPr>
                <w:p>
                  <w:pPr>
                    <w:snapToGrid w:val="0"/>
                    <w:jc w:val="center"/>
                    <w:rPr>
                      <w:color w:val="0000FF"/>
                      <w:szCs w:val="21"/>
                    </w:rPr>
                  </w:pPr>
                  <w:r>
                    <w:rPr>
                      <w:color w:val="0000FF"/>
                      <w:szCs w:val="21"/>
                    </w:rPr>
                    <w:t>3</w:t>
                  </w:r>
                </w:p>
              </w:tc>
              <w:tc>
                <w:tcPr>
                  <w:tcW w:w="2133" w:type="dxa"/>
                  <w:vAlign w:val="center"/>
                </w:tcPr>
                <w:p>
                  <w:pPr>
                    <w:snapToGrid w:val="0"/>
                    <w:jc w:val="center"/>
                    <w:rPr>
                      <w:color w:val="0000FF"/>
                      <w:szCs w:val="21"/>
                    </w:rPr>
                  </w:pPr>
                  <w:r>
                    <w:rPr>
                      <w:color w:val="0000FF"/>
                      <w:szCs w:val="21"/>
                    </w:rPr>
                    <w:t>25&lt;LD</w:t>
                  </w:r>
                  <w:r>
                    <w:rPr>
                      <w:color w:val="0000FF"/>
                      <w:szCs w:val="21"/>
                      <w:vertAlign w:val="subscript"/>
                    </w:rPr>
                    <w:t>50</w:t>
                  </w:r>
                  <w:r>
                    <w:rPr>
                      <w:color w:val="0000FF"/>
                      <w:szCs w:val="21"/>
                    </w:rPr>
                    <w:t>&lt;200</w:t>
                  </w:r>
                </w:p>
              </w:tc>
              <w:tc>
                <w:tcPr>
                  <w:tcW w:w="2124" w:type="dxa"/>
                  <w:vAlign w:val="center"/>
                </w:tcPr>
                <w:p>
                  <w:pPr>
                    <w:snapToGrid w:val="0"/>
                    <w:jc w:val="center"/>
                    <w:rPr>
                      <w:color w:val="0000FF"/>
                      <w:szCs w:val="21"/>
                    </w:rPr>
                  </w:pPr>
                  <w:r>
                    <w:rPr>
                      <w:color w:val="0000FF"/>
                      <w:szCs w:val="21"/>
                    </w:rPr>
                    <w:t>50&lt;LD</w:t>
                  </w:r>
                  <w:r>
                    <w:rPr>
                      <w:color w:val="0000FF"/>
                      <w:szCs w:val="21"/>
                      <w:vertAlign w:val="subscript"/>
                    </w:rPr>
                    <w:t>50</w:t>
                  </w:r>
                  <w:r>
                    <w:rPr>
                      <w:color w:val="0000FF"/>
                      <w:szCs w:val="21"/>
                    </w:rPr>
                    <w:t>&lt;400</w:t>
                  </w:r>
                </w:p>
              </w:tc>
              <w:tc>
                <w:tcPr>
                  <w:tcW w:w="2680" w:type="dxa"/>
                  <w:vAlign w:val="center"/>
                </w:tcPr>
                <w:p>
                  <w:pPr>
                    <w:snapToGrid w:val="0"/>
                    <w:jc w:val="center"/>
                    <w:rPr>
                      <w:color w:val="0000FF"/>
                      <w:szCs w:val="21"/>
                    </w:rPr>
                  </w:pPr>
                  <w:r>
                    <w:rPr>
                      <w:color w:val="0000FF"/>
                      <w:szCs w:val="21"/>
                    </w:rPr>
                    <w:t>0.5&lt;LC</w:t>
                  </w:r>
                  <w:r>
                    <w:rPr>
                      <w:color w:val="0000FF"/>
                      <w:szCs w:val="21"/>
                      <w:vertAlign w:val="subscript"/>
                    </w:rPr>
                    <w:t>50</w:t>
                  </w:r>
                  <w:r>
                    <w:rPr>
                      <w:color w:val="0000FF"/>
                      <w:szCs w:val="21"/>
                    </w:rPr>
                    <w:t>&lt;2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8" w:type="dxa"/>
                  <w:vMerge w:val="restart"/>
                  <w:vAlign w:val="center"/>
                </w:tcPr>
                <w:p>
                  <w:pPr>
                    <w:snapToGrid w:val="0"/>
                    <w:jc w:val="center"/>
                    <w:rPr>
                      <w:color w:val="0000FF"/>
                      <w:szCs w:val="21"/>
                    </w:rPr>
                  </w:pPr>
                  <w:r>
                    <w:rPr>
                      <w:color w:val="0000FF"/>
                      <w:szCs w:val="21"/>
                    </w:rPr>
                    <w:t>易</w:t>
                  </w:r>
                </w:p>
                <w:p>
                  <w:pPr>
                    <w:snapToGrid w:val="0"/>
                    <w:jc w:val="center"/>
                    <w:rPr>
                      <w:color w:val="0000FF"/>
                      <w:szCs w:val="21"/>
                    </w:rPr>
                  </w:pPr>
                  <w:r>
                    <w:rPr>
                      <w:color w:val="0000FF"/>
                      <w:szCs w:val="21"/>
                    </w:rPr>
                    <w:t>燃</w:t>
                  </w:r>
                </w:p>
                <w:p>
                  <w:pPr>
                    <w:snapToGrid w:val="0"/>
                    <w:jc w:val="center"/>
                    <w:rPr>
                      <w:color w:val="0000FF"/>
                      <w:szCs w:val="21"/>
                    </w:rPr>
                  </w:pPr>
                  <w:r>
                    <w:rPr>
                      <w:color w:val="0000FF"/>
                      <w:szCs w:val="21"/>
                    </w:rPr>
                    <w:t>物</w:t>
                  </w:r>
                </w:p>
                <w:p>
                  <w:pPr>
                    <w:snapToGrid w:val="0"/>
                    <w:jc w:val="center"/>
                    <w:rPr>
                      <w:color w:val="0000FF"/>
                      <w:szCs w:val="21"/>
                    </w:rPr>
                  </w:pPr>
                  <w:r>
                    <w:rPr>
                      <w:color w:val="0000FF"/>
                      <w:szCs w:val="21"/>
                    </w:rPr>
                    <w:t>质</w:t>
                  </w:r>
                </w:p>
              </w:tc>
              <w:tc>
                <w:tcPr>
                  <w:tcW w:w="745" w:type="dxa"/>
                  <w:vAlign w:val="center"/>
                </w:tcPr>
                <w:p>
                  <w:pPr>
                    <w:snapToGrid w:val="0"/>
                    <w:jc w:val="center"/>
                    <w:rPr>
                      <w:color w:val="0000FF"/>
                      <w:szCs w:val="21"/>
                    </w:rPr>
                  </w:pPr>
                  <w:r>
                    <w:rPr>
                      <w:color w:val="0000FF"/>
                      <w:szCs w:val="21"/>
                    </w:rPr>
                    <w:t>1</w:t>
                  </w:r>
                </w:p>
              </w:tc>
              <w:tc>
                <w:tcPr>
                  <w:tcW w:w="6937" w:type="dxa"/>
                  <w:gridSpan w:val="3"/>
                  <w:vAlign w:val="center"/>
                </w:tcPr>
                <w:p>
                  <w:pPr>
                    <w:snapToGrid w:val="0"/>
                    <w:rPr>
                      <w:color w:val="0000FF"/>
                      <w:szCs w:val="21"/>
                    </w:rPr>
                  </w:pPr>
                  <w:r>
                    <w:rPr>
                      <w:color w:val="0000FF"/>
                      <w:szCs w:val="21"/>
                    </w:rPr>
                    <w:t>可燃气体—在常压下以气态存在并与空气混合形成可燃混合物；其沸点（常压下）是20</w:t>
                  </w:r>
                  <w:r>
                    <w:rPr>
                      <w:color w:val="0000FF"/>
                      <w:szCs w:val="21"/>
                      <w:vertAlign w:val="superscript"/>
                    </w:rPr>
                    <w:t>0</w:t>
                  </w:r>
                  <w:r>
                    <w:rPr>
                      <w:color w:val="0000FF"/>
                      <w:szCs w:val="21"/>
                    </w:rPr>
                    <w:t>C或20</w:t>
                  </w:r>
                  <w:r>
                    <w:rPr>
                      <w:color w:val="0000FF"/>
                      <w:szCs w:val="21"/>
                      <w:vertAlign w:val="superscript"/>
                    </w:rPr>
                    <w:t>0</w:t>
                  </w:r>
                  <w:r>
                    <w:rPr>
                      <w:color w:val="0000FF"/>
                      <w:szCs w:val="21"/>
                    </w:rPr>
                    <w:t>C以下的物质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68" w:type="dxa"/>
                  <w:vMerge w:val="continue"/>
                  <w:vAlign w:val="center"/>
                </w:tcPr>
                <w:p>
                  <w:pPr>
                    <w:snapToGrid w:val="0"/>
                    <w:jc w:val="center"/>
                    <w:rPr>
                      <w:color w:val="0000FF"/>
                      <w:szCs w:val="21"/>
                    </w:rPr>
                  </w:pPr>
                </w:p>
              </w:tc>
              <w:tc>
                <w:tcPr>
                  <w:tcW w:w="745" w:type="dxa"/>
                  <w:vAlign w:val="center"/>
                </w:tcPr>
                <w:p>
                  <w:pPr>
                    <w:snapToGrid w:val="0"/>
                    <w:jc w:val="center"/>
                    <w:rPr>
                      <w:color w:val="0000FF"/>
                      <w:szCs w:val="21"/>
                    </w:rPr>
                  </w:pPr>
                  <w:r>
                    <w:rPr>
                      <w:color w:val="0000FF"/>
                      <w:szCs w:val="21"/>
                    </w:rPr>
                    <w:t>2</w:t>
                  </w:r>
                </w:p>
              </w:tc>
              <w:tc>
                <w:tcPr>
                  <w:tcW w:w="6937" w:type="dxa"/>
                  <w:gridSpan w:val="3"/>
                  <w:vAlign w:val="center"/>
                </w:tcPr>
                <w:p>
                  <w:pPr>
                    <w:snapToGrid w:val="0"/>
                    <w:rPr>
                      <w:color w:val="0000FF"/>
                      <w:szCs w:val="21"/>
                    </w:rPr>
                  </w:pPr>
                  <w:r>
                    <w:rPr>
                      <w:color w:val="0000FF"/>
                      <w:szCs w:val="21"/>
                    </w:rPr>
                    <w:t>易燃液体—闪点低于21</w:t>
                  </w:r>
                  <w:r>
                    <w:rPr>
                      <w:color w:val="0000FF"/>
                      <w:szCs w:val="21"/>
                      <w:vertAlign w:val="superscript"/>
                    </w:rPr>
                    <w:t>0</w:t>
                  </w:r>
                  <w:r>
                    <w:rPr>
                      <w:color w:val="0000FF"/>
                      <w:szCs w:val="21"/>
                    </w:rPr>
                    <w:t>C，沸点高于20</w:t>
                  </w:r>
                  <w:r>
                    <w:rPr>
                      <w:color w:val="0000FF"/>
                      <w:szCs w:val="21"/>
                      <w:vertAlign w:val="superscript"/>
                    </w:rPr>
                    <w:t>0</w:t>
                  </w:r>
                  <w:r>
                    <w:rPr>
                      <w:color w:val="0000FF"/>
                      <w:szCs w:val="21"/>
                    </w:rPr>
                    <w:t>C的物质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8" w:type="dxa"/>
                  <w:vMerge w:val="continue"/>
                  <w:vAlign w:val="center"/>
                </w:tcPr>
                <w:p>
                  <w:pPr>
                    <w:snapToGrid w:val="0"/>
                    <w:jc w:val="center"/>
                    <w:rPr>
                      <w:color w:val="0000FF"/>
                      <w:szCs w:val="21"/>
                    </w:rPr>
                  </w:pPr>
                </w:p>
              </w:tc>
              <w:tc>
                <w:tcPr>
                  <w:tcW w:w="745" w:type="dxa"/>
                  <w:vAlign w:val="center"/>
                </w:tcPr>
                <w:p>
                  <w:pPr>
                    <w:snapToGrid w:val="0"/>
                    <w:jc w:val="center"/>
                    <w:rPr>
                      <w:color w:val="0000FF"/>
                      <w:szCs w:val="21"/>
                    </w:rPr>
                  </w:pPr>
                  <w:r>
                    <w:rPr>
                      <w:color w:val="0000FF"/>
                      <w:szCs w:val="21"/>
                    </w:rPr>
                    <w:t>3</w:t>
                  </w:r>
                </w:p>
              </w:tc>
              <w:tc>
                <w:tcPr>
                  <w:tcW w:w="6937" w:type="dxa"/>
                  <w:gridSpan w:val="3"/>
                  <w:vAlign w:val="center"/>
                </w:tcPr>
                <w:p>
                  <w:pPr>
                    <w:snapToGrid w:val="0"/>
                    <w:rPr>
                      <w:color w:val="0000FF"/>
                      <w:szCs w:val="21"/>
                    </w:rPr>
                  </w:pPr>
                  <w:r>
                    <w:rPr>
                      <w:color w:val="0000FF"/>
                      <w:szCs w:val="21"/>
                    </w:rPr>
                    <w:t>可燃液体—闪点低于55</w:t>
                  </w:r>
                  <w:r>
                    <w:rPr>
                      <w:color w:val="0000FF"/>
                      <w:szCs w:val="21"/>
                      <w:vertAlign w:val="superscript"/>
                    </w:rPr>
                    <w:t>0</w:t>
                  </w:r>
                  <w:r>
                    <w:rPr>
                      <w:color w:val="0000FF"/>
                      <w:szCs w:val="21"/>
                    </w:rPr>
                    <w:t>C，压力下保持液态，在实际操作条件下（如高温高压）可以引起重大事故的物质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313" w:type="dxa"/>
                  <w:gridSpan w:val="2"/>
                  <w:vAlign w:val="center"/>
                </w:tcPr>
                <w:p>
                  <w:pPr>
                    <w:snapToGrid w:val="0"/>
                    <w:jc w:val="center"/>
                    <w:rPr>
                      <w:color w:val="0000FF"/>
                      <w:szCs w:val="21"/>
                    </w:rPr>
                  </w:pPr>
                  <w:r>
                    <w:rPr>
                      <w:color w:val="0000FF"/>
                      <w:szCs w:val="21"/>
                    </w:rPr>
                    <w:t>爆炸性物质</w:t>
                  </w:r>
                </w:p>
              </w:tc>
              <w:tc>
                <w:tcPr>
                  <w:tcW w:w="6937" w:type="dxa"/>
                  <w:gridSpan w:val="3"/>
                  <w:vAlign w:val="center"/>
                </w:tcPr>
                <w:p>
                  <w:pPr>
                    <w:snapToGrid w:val="0"/>
                    <w:rPr>
                      <w:color w:val="0000FF"/>
                      <w:szCs w:val="21"/>
                    </w:rPr>
                  </w:pPr>
                  <w:r>
                    <w:rPr>
                      <w:color w:val="0000FF"/>
                      <w:szCs w:val="21"/>
                    </w:rPr>
                    <w:t>在火焰影响下可以爆炸，或者对冲击、摩擦比硝基苯更为敏感的物质</w:t>
                  </w:r>
                </w:p>
              </w:tc>
            </w:tr>
          </w:tbl>
          <w:p>
            <w:pPr>
              <w:adjustRightInd w:val="0"/>
              <w:snapToGrid w:val="0"/>
              <w:spacing w:beforeLines="50" w:line="360" w:lineRule="auto"/>
              <w:ind w:firstLine="480" w:firstLineChars="200"/>
              <w:rPr>
                <w:color w:val="0000FF"/>
                <w:sz w:val="24"/>
                <w:shd w:val="clear" w:color="auto" w:fill="FFFFFF"/>
              </w:rPr>
            </w:pPr>
            <w:r>
              <w:rPr>
                <w:color w:val="0000FF"/>
                <w:sz w:val="24"/>
                <w:shd w:val="clear" w:color="auto" w:fill="FFFFFF"/>
              </w:rPr>
              <w:t>项目主要原料为</w:t>
            </w:r>
            <w:r>
              <w:rPr>
                <w:rFonts w:hint="eastAsia"/>
                <w:color w:val="0000FF"/>
                <w:sz w:val="24"/>
                <w:shd w:val="clear" w:color="auto" w:fill="FFFFFF"/>
              </w:rPr>
              <w:t>煤炭</w:t>
            </w:r>
            <w:r>
              <w:rPr>
                <w:color w:val="0000FF"/>
                <w:sz w:val="24"/>
                <w:shd w:val="clear" w:color="auto" w:fill="FFFFFF"/>
              </w:rPr>
              <w:t>，</w:t>
            </w:r>
            <w:r>
              <w:rPr>
                <w:rFonts w:hint="eastAsia"/>
                <w:color w:val="0000FF"/>
                <w:sz w:val="24"/>
                <w:shd w:val="clear" w:color="auto" w:fill="FFFFFF"/>
              </w:rPr>
              <w:t>煤炭</w:t>
            </w:r>
            <w:r>
              <w:rPr>
                <w:color w:val="0000FF"/>
                <w:sz w:val="24"/>
                <w:shd w:val="clear" w:color="auto" w:fill="FFFFFF"/>
              </w:rPr>
              <w:t>为可燃物质，对照</w:t>
            </w:r>
            <w:r>
              <w:fldChar w:fldCharType="begin" w:fldLock="1"/>
            </w:r>
            <w:r>
              <w:instrText xml:space="preserve"> REF _Ref479581426 \r \h  \* MERGEFORMAT </w:instrText>
            </w:r>
            <w:r>
              <w:fldChar w:fldCharType="separate"/>
            </w:r>
            <w:r>
              <w:rPr>
                <w:color w:val="0000FF"/>
                <w:sz w:val="24"/>
                <w:shd w:val="clear" w:color="auto" w:fill="FFFFFF"/>
              </w:rPr>
              <w:t>表</w:t>
            </w:r>
            <w:r>
              <w:rPr>
                <w:rFonts w:hint="eastAsia"/>
                <w:color w:val="0000FF"/>
                <w:sz w:val="24"/>
                <w:shd w:val="clear" w:color="auto" w:fill="FFFFFF"/>
              </w:rPr>
              <w:t>2</w:t>
            </w:r>
            <w:r>
              <w:rPr>
                <w:color w:val="0000FF"/>
                <w:sz w:val="24"/>
                <w:shd w:val="clear" w:color="auto" w:fill="FFFFFF"/>
              </w:rPr>
              <w:t>6</w:t>
            </w:r>
            <w:r>
              <w:rPr>
                <w:color w:val="0000FF"/>
                <w:sz w:val="24"/>
                <w:shd w:val="clear" w:color="auto" w:fill="FFFFFF"/>
              </w:rPr>
              <w:fldChar w:fldCharType="end"/>
            </w:r>
            <w:r>
              <w:rPr>
                <w:color w:val="0000FF"/>
                <w:sz w:val="24"/>
                <w:shd w:val="clear" w:color="auto" w:fill="FFFFFF"/>
              </w:rPr>
              <w:t>，本项目生产中使用的原料不属于环境风险物质，但</w:t>
            </w:r>
            <w:r>
              <w:rPr>
                <w:rFonts w:hint="eastAsia"/>
                <w:color w:val="0000FF"/>
                <w:sz w:val="24"/>
                <w:shd w:val="clear" w:color="auto" w:fill="FFFFFF"/>
              </w:rPr>
              <w:t>煤炭</w:t>
            </w:r>
            <w:r>
              <w:rPr>
                <w:color w:val="0000FF"/>
                <w:sz w:val="24"/>
                <w:shd w:val="clear" w:color="auto" w:fill="FFFFFF"/>
              </w:rPr>
              <w:t>为可燃性固体物质，存在火灾风险。</w:t>
            </w:r>
          </w:p>
          <w:p>
            <w:pPr>
              <w:spacing w:line="360" w:lineRule="auto"/>
              <w:ind w:firstLine="480" w:firstLineChars="200"/>
              <w:rPr>
                <w:rFonts w:hint="eastAsia"/>
                <w:color w:val="0000FF"/>
                <w:sz w:val="24"/>
              </w:rPr>
            </w:pPr>
            <w:r>
              <w:rPr>
                <w:rFonts w:hint="eastAsia"/>
                <w:color w:val="0000FF"/>
                <w:sz w:val="24"/>
              </w:rPr>
              <w:t>3.2生产设施风险识别</w:t>
            </w:r>
          </w:p>
          <w:p>
            <w:pPr>
              <w:spacing w:line="360" w:lineRule="auto"/>
              <w:ind w:firstLine="480" w:firstLineChars="200"/>
              <w:rPr>
                <w:rFonts w:hint="eastAsia"/>
                <w:color w:val="0000FF"/>
                <w:sz w:val="24"/>
              </w:rPr>
            </w:pPr>
            <w:r>
              <w:rPr>
                <w:rFonts w:hint="eastAsia"/>
                <w:color w:val="0000FF"/>
                <w:sz w:val="24"/>
              </w:rPr>
              <w:t>生产设施风险识别范围：主要生产装置、贮运系统、公用工程系统、工程环保设放及辅助生产设施等。</w:t>
            </w:r>
          </w:p>
          <w:p>
            <w:pPr>
              <w:spacing w:line="360" w:lineRule="auto"/>
              <w:ind w:firstLine="480" w:firstLineChars="200"/>
              <w:rPr>
                <w:rFonts w:hint="eastAsia"/>
                <w:color w:val="0000FF"/>
                <w:sz w:val="24"/>
              </w:rPr>
            </w:pPr>
            <w:r>
              <w:rPr>
                <w:rFonts w:hint="eastAsia"/>
                <w:color w:val="0000FF"/>
                <w:sz w:val="24"/>
              </w:rPr>
              <w:t>生产过程中使用设备的危害风险见表39。</w:t>
            </w:r>
          </w:p>
          <w:p>
            <w:pPr>
              <w:spacing w:line="360" w:lineRule="auto"/>
              <w:ind w:firstLine="480" w:firstLineChars="200"/>
              <w:jc w:val="center"/>
              <w:rPr>
                <w:b/>
                <w:color w:val="0000FF"/>
                <w:sz w:val="24"/>
              </w:rPr>
            </w:pPr>
            <w:r>
              <w:rPr>
                <w:rFonts w:hint="eastAsia"/>
                <w:b/>
                <w:color w:val="0000FF"/>
                <w:sz w:val="24"/>
              </w:rPr>
              <w:t>表39   生产设备风险识别一览表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953"/>
              <w:gridCol w:w="1210"/>
              <w:gridCol w:w="2790"/>
              <w:gridCol w:w="15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29" w:type="dxa"/>
                  <w:vAlign w:val="center"/>
                </w:tcPr>
                <w:p>
                  <w:pPr>
                    <w:jc w:val="center"/>
                    <w:rPr>
                      <w:color w:val="0000FF"/>
                      <w:szCs w:val="21"/>
                    </w:rPr>
                  </w:pPr>
                  <w:r>
                    <w:rPr>
                      <w:color w:val="0000FF"/>
                      <w:szCs w:val="21"/>
                    </w:rPr>
                    <w:t>序号</w:t>
                  </w:r>
                </w:p>
              </w:tc>
              <w:tc>
                <w:tcPr>
                  <w:tcW w:w="1953" w:type="dxa"/>
                  <w:vAlign w:val="center"/>
                </w:tcPr>
                <w:p>
                  <w:pPr>
                    <w:jc w:val="center"/>
                    <w:rPr>
                      <w:color w:val="0000FF"/>
                      <w:szCs w:val="21"/>
                    </w:rPr>
                  </w:pPr>
                  <w:r>
                    <w:rPr>
                      <w:color w:val="0000FF"/>
                      <w:szCs w:val="21"/>
                    </w:rPr>
                    <w:t>名称</w:t>
                  </w:r>
                </w:p>
              </w:tc>
              <w:tc>
                <w:tcPr>
                  <w:tcW w:w="1210" w:type="dxa"/>
                  <w:vAlign w:val="center"/>
                </w:tcPr>
                <w:p>
                  <w:pPr>
                    <w:jc w:val="center"/>
                    <w:rPr>
                      <w:color w:val="0000FF"/>
                      <w:szCs w:val="21"/>
                    </w:rPr>
                  </w:pPr>
                  <w:r>
                    <w:rPr>
                      <w:color w:val="0000FF"/>
                      <w:szCs w:val="21"/>
                    </w:rPr>
                    <w:t>设备种类</w:t>
                  </w:r>
                </w:p>
              </w:tc>
              <w:tc>
                <w:tcPr>
                  <w:tcW w:w="2790" w:type="dxa"/>
                  <w:vAlign w:val="center"/>
                </w:tcPr>
                <w:p>
                  <w:pPr>
                    <w:jc w:val="center"/>
                    <w:rPr>
                      <w:color w:val="0000FF"/>
                      <w:szCs w:val="21"/>
                    </w:rPr>
                  </w:pPr>
                  <w:r>
                    <w:rPr>
                      <w:color w:val="0000FF"/>
                      <w:szCs w:val="21"/>
                    </w:rPr>
                    <w:t>危险因素</w:t>
                  </w:r>
                </w:p>
              </w:tc>
              <w:tc>
                <w:tcPr>
                  <w:tcW w:w="1568" w:type="dxa"/>
                  <w:vAlign w:val="center"/>
                </w:tcPr>
                <w:p>
                  <w:pPr>
                    <w:jc w:val="center"/>
                    <w:rPr>
                      <w:color w:val="0000FF"/>
                      <w:szCs w:val="21"/>
                    </w:rPr>
                  </w:pPr>
                  <w:r>
                    <w:rPr>
                      <w:color w:val="0000FF"/>
                      <w:szCs w:val="21"/>
                    </w:rPr>
                    <w:t>危险源级别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29" w:type="dxa"/>
                  <w:vAlign w:val="center"/>
                </w:tcPr>
                <w:p>
                  <w:pPr>
                    <w:jc w:val="center"/>
                    <w:rPr>
                      <w:color w:val="0000FF"/>
                      <w:szCs w:val="21"/>
                    </w:rPr>
                  </w:pPr>
                  <w:r>
                    <w:rPr>
                      <w:color w:val="0000FF"/>
                      <w:szCs w:val="21"/>
                    </w:rPr>
                    <w:t>1</w:t>
                  </w:r>
                </w:p>
              </w:tc>
              <w:tc>
                <w:tcPr>
                  <w:tcW w:w="1953" w:type="dxa"/>
                  <w:vAlign w:val="center"/>
                </w:tcPr>
                <w:p>
                  <w:pPr>
                    <w:jc w:val="center"/>
                    <w:rPr>
                      <w:color w:val="0000FF"/>
                      <w:szCs w:val="21"/>
                    </w:rPr>
                  </w:pPr>
                  <w:r>
                    <w:rPr>
                      <w:rFonts w:hint="eastAsia"/>
                      <w:color w:val="0000FF"/>
                      <w:szCs w:val="21"/>
                    </w:rPr>
                    <w:t>分拣机</w:t>
                  </w:r>
                </w:p>
              </w:tc>
              <w:tc>
                <w:tcPr>
                  <w:tcW w:w="1210" w:type="dxa"/>
                  <w:vAlign w:val="center"/>
                </w:tcPr>
                <w:p>
                  <w:pPr>
                    <w:jc w:val="center"/>
                    <w:rPr>
                      <w:color w:val="0000FF"/>
                      <w:szCs w:val="21"/>
                    </w:rPr>
                  </w:pPr>
                  <w:r>
                    <w:rPr>
                      <w:color w:val="0000FF"/>
                      <w:szCs w:val="21"/>
                    </w:rPr>
                    <w:t>固定设备</w:t>
                  </w:r>
                </w:p>
              </w:tc>
              <w:tc>
                <w:tcPr>
                  <w:tcW w:w="2790" w:type="dxa"/>
                  <w:vAlign w:val="center"/>
                </w:tcPr>
                <w:p>
                  <w:pPr>
                    <w:jc w:val="center"/>
                    <w:rPr>
                      <w:color w:val="0000FF"/>
                      <w:szCs w:val="21"/>
                    </w:rPr>
                  </w:pPr>
                  <w:r>
                    <w:rPr>
                      <w:rFonts w:hint="eastAsia"/>
                      <w:color w:val="0000FF"/>
                      <w:szCs w:val="21"/>
                    </w:rPr>
                    <w:t>粉尘</w:t>
                  </w:r>
                </w:p>
              </w:tc>
              <w:tc>
                <w:tcPr>
                  <w:tcW w:w="1568" w:type="dxa"/>
                  <w:vAlign w:val="center"/>
                </w:tcPr>
                <w:p>
                  <w:pPr>
                    <w:jc w:val="center"/>
                    <w:rPr>
                      <w:color w:val="0000FF"/>
                      <w:szCs w:val="21"/>
                    </w:rPr>
                  </w:pPr>
                  <w:r>
                    <w:rPr>
                      <w:color w:val="0000FF"/>
                      <w:szCs w:val="21"/>
                    </w:rPr>
                    <w:t>非重大危险源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729" w:type="dxa"/>
                  <w:vAlign w:val="center"/>
                </w:tcPr>
                <w:p>
                  <w:pPr>
                    <w:jc w:val="center"/>
                    <w:rPr>
                      <w:color w:val="0000FF"/>
                      <w:szCs w:val="21"/>
                    </w:rPr>
                  </w:pPr>
                  <w:r>
                    <w:rPr>
                      <w:color w:val="0000FF"/>
                      <w:szCs w:val="21"/>
                    </w:rPr>
                    <w:t>2</w:t>
                  </w:r>
                </w:p>
              </w:tc>
              <w:tc>
                <w:tcPr>
                  <w:tcW w:w="1953" w:type="dxa"/>
                  <w:vAlign w:val="center"/>
                </w:tcPr>
                <w:p>
                  <w:pPr>
                    <w:jc w:val="center"/>
                    <w:rPr>
                      <w:color w:val="0000FF"/>
                      <w:szCs w:val="21"/>
                    </w:rPr>
                  </w:pPr>
                  <w:r>
                    <w:rPr>
                      <w:color w:val="0000FF"/>
                      <w:szCs w:val="21"/>
                    </w:rPr>
                    <w:t>废气处理设施</w:t>
                  </w:r>
                </w:p>
              </w:tc>
              <w:tc>
                <w:tcPr>
                  <w:tcW w:w="1210" w:type="dxa"/>
                  <w:vAlign w:val="center"/>
                </w:tcPr>
                <w:p>
                  <w:pPr>
                    <w:jc w:val="center"/>
                    <w:rPr>
                      <w:color w:val="0000FF"/>
                      <w:szCs w:val="21"/>
                    </w:rPr>
                  </w:pPr>
                  <w:r>
                    <w:rPr>
                      <w:color w:val="0000FF"/>
                      <w:szCs w:val="21"/>
                    </w:rPr>
                    <w:t>固定设备</w:t>
                  </w:r>
                </w:p>
              </w:tc>
              <w:tc>
                <w:tcPr>
                  <w:tcW w:w="2790" w:type="dxa"/>
                  <w:vAlign w:val="center"/>
                </w:tcPr>
                <w:p>
                  <w:pPr>
                    <w:jc w:val="center"/>
                    <w:rPr>
                      <w:color w:val="0000FF"/>
                      <w:szCs w:val="21"/>
                    </w:rPr>
                  </w:pPr>
                  <w:r>
                    <w:rPr>
                      <w:color w:val="0000FF"/>
                      <w:szCs w:val="21"/>
                    </w:rPr>
                    <w:t>废气超标排放</w:t>
                  </w:r>
                </w:p>
              </w:tc>
              <w:tc>
                <w:tcPr>
                  <w:tcW w:w="1568" w:type="dxa"/>
                  <w:vAlign w:val="center"/>
                </w:tcPr>
                <w:p>
                  <w:pPr>
                    <w:jc w:val="center"/>
                    <w:rPr>
                      <w:color w:val="0000FF"/>
                      <w:szCs w:val="21"/>
                    </w:rPr>
                  </w:pPr>
                  <w:r>
                    <w:rPr>
                      <w:color w:val="0000FF"/>
                      <w:szCs w:val="21"/>
                    </w:rPr>
                    <w:t>非重大危险源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729" w:type="dxa"/>
                  <w:vAlign w:val="center"/>
                </w:tcPr>
                <w:p>
                  <w:pPr>
                    <w:jc w:val="center"/>
                    <w:rPr>
                      <w:color w:val="0000FF"/>
                      <w:szCs w:val="21"/>
                    </w:rPr>
                  </w:pPr>
                  <w:r>
                    <w:rPr>
                      <w:color w:val="0000FF"/>
                      <w:szCs w:val="21"/>
                    </w:rPr>
                    <w:t>3</w:t>
                  </w:r>
                </w:p>
              </w:tc>
              <w:tc>
                <w:tcPr>
                  <w:tcW w:w="1953" w:type="dxa"/>
                  <w:vAlign w:val="center"/>
                </w:tcPr>
                <w:p>
                  <w:pPr>
                    <w:jc w:val="center"/>
                    <w:rPr>
                      <w:color w:val="0000FF"/>
                      <w:szCs w:val="21"/>
                    </w:rPr>
                  </w:pPr>
                  <w:r>
                    <w:rPr>
                      <w:color w:val="0000FF"/>
                      <w:szCs w:val="21"/>
                    </w:rPr>
                    <w:t>供电系统</w:t>
                  </w:r>
                </w:p>
              </w:tc>
              <w:tc>
                <w:tcPr>
                  <w:tcW w:w="1210" w:type="dxa"/>
                  <w:vAlign w:val="center"/>
                </w:tcPr>
                <w:p>
                  <w:pPr>
                    <w:jc w:val="center"/>
                    <w:rPr>
                      <w:color w:val="0000FF"/>
                      <w:szCs w:val="21"/>
                    </w:rPr>
                  </w:pPr>
                  <w:r>
                    <w:rPr>
                      <w:color w:val="0000FF"/>
                      <w:szCs w:val="21"/>
                    </w:rPr>
                    <w:t>固定设备</w:t>
                  </w:r>
                </w:p>
              </w:tc>
              <w:tc>
                <w:tcPr>
                  <w:tcW w:w="2790" w:type="dxa"/>
                  <w:vAlign w:val="center"/>
                </w:tcPr>
                <w:p>
                  <w:pPr>
                    <w:jc w:val="center"/>
                    <w:rPr>
                      <w:color w:val="0000FF"/>
                      <w:szCs w:val="21"/>
                    </w:rPr>
                  </w:pPr>
                  <w:r>
                    <w:rPr>
                      <w:color w:val="0000FF"/>
                      <w:szCs w:val="21"/>
                    </w:rPr>
                    <w:t>停电、燃烧</w:t>
                  </w:r>
                </w:p>
              </w:tc>
              <w:tc>
                <w:tcPr>
                  <w:tcW w:w="1568" w:type="dxa"/>
                  <w:vAlign w:val="center"/>
                </w:tcPr>
                <w:p>
                  <w:pPr>
                    <w:jc w:val="center"/>
                    <w:rPr>
                      <w:color w:val="0000FF"/>
                      <w:szCs w:val="21"/>
                    </w:rPr>
                  </w:pPr>
                  <w:r>
                    <w:rPr>
                      <w:color w:val="0000FF"/>
                      <w:szCs w:val="21"/>
                    </w:rPr>
                    <w:t>非重大危险源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29" w:type="dxa"/>
                  <w:vAlign w:val="center"/>
                </w:tcPr>
                <w:p>
                  <w:pPr>
                    <w:jc w:val="center"/>
                    <w:rPr>
                      <w:color w:val="0000FF"/>
                      <w:szCs w:val="21"/>
                    </w:rPr>
                  </w:pPr>
                  <w:r>
                    <w:rPr>
                      <w:color w:val="0000FF"/>
                      <w:szCs w:val="21"/>
                    </w:rPr>
                    <w:t>4</w:t>
                  </w:r>
                </w:p>
              </w:tc>
              <w:tc>
                <w:tcPr>
                  <w:tcW w:w="1953" w:type="dxa"/>
                  <w:vAlign w:val="center"/>
                </w:tcPr>
                <w:p>
                  <w:pPr>
                    <w:jc w:val="center"/>
                    <w:rPr>
                      <w:color w:val="0000FF"/>
                      <w:szCs w:val="21"/>
                    </w:rPr>
                  </w:pPr>
                  <w:r>
                    <w:rPr>
                      <w:color w:val="0000FF"/>
                      <w:szCs w:val="21"/>
                    </w:rPr>
                    <w:t>物料运输系统</w:t>
                  </w:r>
                </w:p>
              </w:tc>
              <w:tc>
                <w:tcPr>
                  <w:tcW w:w="1210" w:type="dxa"/>
                  <w:vAlign w:val="center"/>
                </w:tcPr>
                <w:p>
                  <w:pPr>
                    <w:jc w:val="center"/>
                    <w:rPr>
                      <w:color w:val="0000FF"/>
                      <w:szCs w:val="21"/>
                    </w:rPr>
                  </w:pPr>
                  <w:r>
                    <w:rPr>
                      <w:color w:val="0000FF"/>
                      <w:szCs w:val="21"/>
                    </w:rPr>
                    <w:t>汽车</w:t>
                  </w:r>
                </w:p>
              </w:tc>
              <w:tc>
                <w:tcPr>
                  <w:tcW w:w="2790" w:type="dxa"/>
                  <w:vAlign w:val="center"/>
                </w:tcPr>
                <w:p>
                  <w:pPr>
                    <w:jc w:val="center"/>
                    <w:rPr>
                      <w:color w:val="0000FF"/>
                      <w:szCs w:val="21"/>
                    </w:rPr>
                  </w:pPr>
                  <w:r>
                    <w:rPr>
                      <w:color w:val="0000FF"/>
                      <w:szCs w:val="21"/>
                    </w:rPr>
                    <w:t>扬尘</w:t>
                  </w:r>
                </w:p>
              </w:tc>
              <w:tc>
                <w:tcPr>
                  <w:tcW w:w="1568" w:type="dxa"/>
                  <w:vAlign w:val="center"/>
                </w:tcPr>
                <w:p>
                  <w:pPr>
                    <w:jc w:val="center"/>
                    <w:rPr>
                      <w:color w:val="0000FF"/>
                      <w:szCs w:val="21"/>
                    </w:rPr>
                  </w:pPr>
                  <w:r>
                    <w:rPr>
                      <w:color w:val="0000FF"/>
                      <w:szCs w:val="21"/>
                    </w:rPr>
                    <w:t>非重大危险源</w:t>
                  </w:r>
                </w:p>
              </w:tc>
            </w:tr>
          </w:tbl>
          <w:p>
            <w:pPr>
              <w:spacing w:line="360" w:lineRule="auto"/>
              <w:ind w:firstLine="480" w:firstLineChars="200"/>
              <w:rPr>
                <w:rFonts w:hint="eastAsia"/>
                <w:color w:val="0000FF"/>
                <w:sz w:val="24"/>
              </w:rPr>
            </w:pPr>
            <w:r>
              <w:rPr>
                <w:rFonts w:hint="eastAsia"/>
                <w:color w:val="0000FF"/>
                <w:sz w:val="24"/>
              </w:rPr>
              <w:t>根据项目主要生产装置、贮运系统、公用工程系统、工程环保设施及辅助生产设施等，本项目的主要风险设施如下：</w:t>
            </w:r>
          </w:p>
          <w:p>
            <w:pPr>
              <w:spacing w:line="360" w:lineRule="auto"/>
              <w:ind w:firstLine="480" w:firstLineChars="200"/>
              <w:rPr>
                <w:rFonts w:hint="eastAsia"/>
                <w:b/>
                <w:color w:val="0000FF"/>
                <w:sz w:val="24"/>
              </w:rPr>
            </w:pPr>
            <w:r>
              <w:rPr>
                <w:rFonts w:hint="eastAsia"/>
                <w:b/>
                <w:color w:val="0000FF"/>
                <w:sz w:val="24"/>
              </w:rPr>
              <w:t>火灾事故环境风险影响分析：</w:t>
            </w:r>
          </w:p>
          <w:p>
            <w:pPr>
              <w:spacing w:line="360" w:lineRule="auto"/>
              <w:ind w:firstLine="480" w:firstLineChars="200"/>
              <w:rPr>
                <w:rFonts w:hint="eastAsia"/>
                <w:color w:val="0000FF"/>
                <w:sz w:val="24"/>
              </w:rPr>
            </w:pPr>
            <w:r>
              <w:rPr>
                <w:rFonts w:hint="eastAsia"/>
                <w:color w:val="0000FF"/>
                <w:sz w:val="24"/>
              </w:rPr>
              <w:t>项目主要储存煤炭，堆放储存易导致火灾的发生。当发生火灾时，伴随将产生大量的CO等有毒有害污染物，对周边环境将产生一定的影响，以及在灭火过程中将产生大量的消防废水，若未及时拦截将对周边的环境水体或土壤造成一定影响。</w:t>
            </w:r>
          </w:p>
          <w:p>
            <w:pPr>
              <w:spacing w:line="360" w:lineRule="auto"/>
              <w:ind w:firstLine="480" w:firstLineChars="200"/>
              <w:rPr>
                <w:rFonts w:hint="eastAsia"/>
                <w:b/>
                <w:color w:val="0000FF"/>
                <w:sz w:val="24"/>
              </w:rPr>
            </w:pPr>
            <w:r>
              <w:rPr>
                <w:rFonts w:hint="eastAsia"/>
                <w:b/>
                <w:color w:val="0000FF"/>
                <w:sz w:val="24"/>
              </w:rPr>
              <w:t>粉尘爆炸环境风险影响分析：</w:t>
            </w:r>
          </w:p>
          <w:p>
            <w:pPr>
              <w:spacing w:line="360" w:lineRule="auto"/>
              <w:ind w:firstLine="480" w:firstLineChars="200"/>
              <w:rPr>
                <w:rFonts w:hint="eastAsia"/>
                <w:color w:val="0000FF"/>
                <w:sz w:val="24"/>
              </w:rPr>
            </w:pPr>
            <w:r>
              <w:rPr>
                <w:rFonts w:hint="eastAsia"/>
                <w:color w:val="0000FF"/>
                <w:sz w:val="24"/>
              </w:rPr>
              <w:t>煤炭在储运过程中如在空气中形成粉尘雾，当粉尘浓度和着火能力达到一定数值以上时，就有可能起火或粉尘爆炸。因为粉尘中含有在碳化过程中产生的甲烷、微量的乙烷及丙烷等可燃性气体，由于装卸运输原因，粉尘被粉碎而漏出新表面，这些可燃性气体随之被散到大气中，其爆炸的下限浓度显著下降而爆炸的危险性增加。</w:t>
            </w:r>
          </w:p>
          <w:p>
            <w:pPr>
              <w:spacing w:line="360" w:lineRule="auto"/>
              <w:ind w:firstLine="480" w:firstLineChars="200"/>
              <w:rPr>
                <w:rFonts w:hint="eastAsia"/>
                <w:color w:val="0000FF"/>
                <w:sz w:val="24"/>
              </w:rPr>
            </w:pPr>
            <w:r>
              <w:rPr>
                <w:rFonts w:hint="eastAsia"/>
                <w:color w:val="0000FF"/>
                <w:sz w:val="24"/>
              </w:rPr>
              <w:t>4、环境风险分析</w:t>
            </w:r>
          </w:p>
          <w:p>
            <w:pPr>
              <w:spacing w:line="360" w:lineRule="auto"/>
              <w:ind w:firstLine="480" w:firstLineChars="200"/>
              <w:rPr>
                <w:rFonts w:hint="eastAsia"/>
                <w:color w:val="0000FF"/>
                <w:sz w:val="24"/>
              </w:rPr>
            </w:pPr>
            <w:r>
              <w:rPr>
                <w:rFonts w:hint="eastAsia"/>
                <w:color w:val="0000FF"/>
                <w:sz w:val="24"/>
              </w:rPr>
              <w:t>4.1大气环境风险分析</w:t>
            </w:r>
          </w:p>
          <w:p>
            <w:pPr>
              <w:spacing w:line="360" w:lineRule="auto"/>
              <w:ind w:firstLine="420"/>
              <w:rPr>
                <w:color w:val="0000FF"/>
                <w:sz w:val="24"/>
                <w:szCs w:val="20"/>
              </w:rPr>
            </w:pPr>
            <w:r>
              <w:rPr>
                <w:rFonts w:hint="eastAsia"/>
                <w:color w:val="0000FF"/>
                <w:sz w:val="24"/>
              </w:rPr>
              <w:t>本项目筛分工序中产生的煤粉经吸尘口进入布袋除尘器进行处理，布袋除尘器处理后煤粉经15m排气筒进行排放，</w:t>
            </w:r>
            <w:r>
              <w:rPr>
                <w:color w:val="0000FF"/>
                <w:sz w:val="24"/>
              </w:rPr>
              <w:t>当废气污染治理措施发生故障，将导致废气事故排放，</w:t>
            </w:r>
            <w:r>
              <w:rPr>
                <w:color w:val="0000FF"/>
                <w:spacing w:val="6"/>
                <w:sz w:val="24"/>
              </w:rPr>
              <w:t>将对周边环境、人体影响较大</w:t>
            </w:r>
            <w:r>
              <w:rPr>
                <w:color w:val="0000FF"/>
                <w:sz w:val="24"/>
                <w:szCs w:val="20"/>
              </w:rPr>
              <w:t>，引起周边居民不适，造成污染投诉，影响社会稳定。</w:t>
            </w:r>
          </w:p>
          <w:p>
            <w:pPr>
              <w:spacing w:line="360" w:lineRule="auto"/>
              <w:ind w:firstLine="420"/>
              <w:rPr>
                <w:rFonts w:hint="eastAsia"/>
                <w:color w:val="0000FF"/>
                <w:sz w:val="24"/>
                <w:szCs w:val="20"/>
              </w:rPr>
            </w:pPr>
            <w:r>
              <w:rPr>
                <w:rFonts w:hint="eastAsia"/>
                <w:color w:val="0000FF"/>
                <w:sz w:val="24"/>
                <w:szCs w:val="20"/>
              </w:rPr>
              <w:t>4.2地下水环境风险分析</w:t>
            </w:r>
          </w:p>
          <w:p>
            <w:pPr>
              <w:spacing w:line="360" w:lineRule="auto"/>
              <w:ind w:firstLine="420"/>
              <w:rPr>
                <w:rFonts w:hint="eastAsia"/>
                <w:color w:val="0000FF"/>
                <w:sz w:val="24"/>
                <w:szCs w:val="20"/>
              </w:rPr>
            </w:pPr>
            <w:r>
              <w:rPr>
                <w:rFonts w:hint="eastAsia"/>
                <w:color w:val="0000FF"/>
                <w:sz w:val="24"/>
                <w:szCs w:val="20"/>
              </w:rPr>
              <w:t>废水事故排放是指：当污沉淀池出现损坏，造成废水泄漏而影响地下水。</w:t>
            </w:r>
          </w:p>
          <w:p>
            <w:pPr>
              <w:spacing w:line="360" w:lineRule="auto"/>
              <w:ind w:firstLine="480" w:firstLineChars="200"/>
              <w:rPr>
                <w:rFonts w:hint="eastAsia"/>
                <w:color w:val="0000FF"/>
                <w:sz w:val="24"/>
              </w:rPr>
            </w:pPr>
            <w:r>
              <w:rPr>
                <w:rFonts w:hint="eastAsia"/>
                <w:color w:val="0000FF"/>
                <w:sz w:val="24"/>
              </w:rPr>
              <w:t>5、环境风险管理防范措施</w:t>
            </w:r>
          </w:p>
          <w:p>
            <w:pPr>
              <w:spacing w:line="360" w:lineRule="auto"/>
              <w:ind w:firstLine="480" w:firstLineChars="200"/>
              <w:rPr>
                <w:rFonts w:hint="eastAsia"/>
                <w:color w:val="0000FF"/>
                <w:sz w:val="24"/>
              </w:rPr>
            </w:pPr>
            <w:r>
              <w:rPr>
                <w:rFonts w:hint="eastAsia"/>
                <w:color w:val="0000FF"/>
                <w:sz w:val="24"/>
              </w:rPr>
              <w:t>5.1火灾事故风险防范措施</w:t>
            </w:r>
          </w:p>
          <w:p>
            <w:pPr>
              <w:spacing w:line="360" w:lineRule="auto"/>
              <w:ind w:firstLine="480" w:firstLineChars="200"/>
              <w:rPr>
                <w:rFonts w:hint="eastAsia"/>
                <w:color w:val="0000FF"/>
                <w:sz w:val="24"/>
              </w:rPr>
            </w:pPr>
            <w:r>
              <w:rPr>
                <w:rFonts w:hint="eastAsia"/>
                <w:color w:val="0000FF"/>
                <w:sz w:val="24"/>
              </w:rPr>
              <w:t>（1）消除和控制明火源：在仓库内设置严禁烟火标志，严禁携带火柴、打火机等；在仓库、办公楼等处配灭火器、消防栓、消防沙等消防物质，建设1座20m</w:t>
            </w:r>
            <w:r>
              <w:rPr>
                <w:rFonts w:hint="eastAsia"/>
                <w:color w:val="0000FF"/>
                <w:sz w:val="24"/>
                <w:vertAlign w:val="superscript"/>
              </w:rPr>
              <w:t>3</w:t>
            </w:r>
            <w:r>
              <w:rPr>
                <w:rFonts w:hint="eastAsia"/>
                <w:color w:val="0000FF"/>
                <w:sz w:val="24"/>
              </w:rPr>
              <w:t>的消防水池,以便及时扑灭初期火灾。</w:t>
            </w:r>
          </w:p>
          <w:p>
            <w:pPr>
              <w:spacing w:line="360" w:lineRule="auto"/>
              <w:ind w:firstLine="480" w:firstLineChars="200"/>
              <w:rPr>
                <w:rFonts w:hint="eastAsia"/>
                <w:color w:val="0000FF"/>
                <w:sz w:val="24"/>
              </w:rPr>
            </w:pPr>
            <w:r>
              <w:rPr>
                <w:rFonts w:hint="eastAsia"/>
                <w:color w:val="0000FF"/>
                <w:sz w:val="24"/>
              </w:rPr>
              <w:t>（2）防止电气火花：采取有效措施防止电气线路和电气设施在开关断开、接触不良、短路、漏电时产生火花，防止静电放电火花；采取防雷接地措施，防止雷电放电火花。</w:t>
            </w:r>
          </w:p>
          <w:p>
            <w:pPr>
              <w:spacing w:line="360" w:lineRule="auto"/>
              <w:ind w:firstLine="480" w:firstLineChars="200"/>
              <w:rPr>
                <w:rFonts w:hint="eastAsia"/>
                <w:color w:val="0000FF"/>
                <w:sz w:val="24"/>
              </w:rPr>
            </w:pPr>
            <w:r>
              <w:rPr>
                <w:rFonts w:hint="eastAsia"/>
                <w:color w:val="0000FF"/>
                <w:sz w:val="24"/>
              </w:rPr>
              <w:t>（3）仓库与周围构筑物设置一定的安全防护距离，以防火灾发生时火势蔓延。</w:t>
            </w:r>
          </w:p>
          <w:p>
            <w:pPr>
              <w:spacing w:line="360" w:lineRule="auto"/>
              <w:ind w:firstLine="480" w:firstLineChars="200"/>
              <w:rPr>
                <w:rFonts w:hint="eastAsia"/>
                <w:color w:val="0000FF"/>
                <w:sz w:val="24"/>
              </w:rPr>
            </w:pPr>
            <w:r>
              <w:rPr>
                <w:rFonts w:hint="eastAsia"/>
                <w:color w:val="0000FF"/>
                <w:sz w:val="24"/>
              </w:rPr>
              <w:t>5.2粉尘爆炸风险防范措施</w:t>
            </w:r>
          </w:p>
          <w:p>
            <w:pPr>
              <w:spacing w:line="360" w:lineRule="auto"/>
              <w:ind w:firstLine="480" w:firstLineChars="200"/>
              <w:rPr>
                <w:rFonts w:hint="eastAsia"/>
                <w:color w:val="0000FF"/>
                <w:sz w:val="24"/>
              </w:rPr>
            </w:pPr>
            <w:r>
              <w:rPr>
                <w:rFonts w:hint="eastAsia"/>
                <w:color w:val="0000FF"/>
                <w:sz w:val="24"/>
              </w:rPr>
              <w:t>（1）堆场采取喷淋作业方式，生产作业时扬起粉尘可大幅减少，有利于防止煤堆自燃发火和粉尘爆炸；</w:t>
            </w:r>
          </w:p>
          <w:p>
            <w:pPr>
              <w:spacing w:line="360" w:lineRule="auto"/>
              <w:ind w:firstLine="480" w:firstLineChars="200"/>
              <w:rPr>
                <w:rFonts w:hint="eastAsia"/>
                <w:color w:val="0000FF"/>
                <w:sz w:val="24"/>
              </w:rPr>
            </w:pPr>
            <w:r>
              <w:rPr>
                <w:rFonts w:hint="eastAsia"/>
                <w:color w:val="0000FF"/>
                <w:sz w:val="24"/>
              </w:rPr>
              <w:t>（2）加强对厂区日常管理工作，为预防煤堆自燃起火情况，应组织日常安全检查，有效预防煤堆起火和粉尘爆炸事故；</w:t>
            </w:r>
          </w:p>
          <w:p>
            <w:pPr>
              <w:spacing w:line="360" w:lineRule="auto"/>
              <w:ind w:firstLine="480" w:firstLineChars="200"/>
              <w:rPr>
                <w:rFonts w:hint="eastAsia"/>
                <w:color w:val="0000FF"/>
                <w:sz w:val="24"/>
              </w:rPr>
            </w:pPr>
            <w:r>
              <w:rPr>
                <w:rFonts w:hint="eastAsia"/>
                <w:color w:val="0000FF"/>
                <w:sz w:val="24"/>
              </w:rPr>
              <w:t>（3）加强库内通风，避免粉尘堆积。</w:t>
            </w:r>
          </w:p>
          <w:p>
            <w:pPr>
              <w:spacing w:line="360" w:lineRule="auto"/>
              <w:ind w:firstLine="480" w:firstLineChars="200"/>
              <w:rPr>
                <w:rFonts w:hint="eastAsia"/>
                <w:color w:val="0000FF"/>
                <w:sz w:val="24"/>
              </w:rPr>
            </w:pPr>
            <w:r>
              <w:rPr>
                <w:rFonts w:hint="eastAsia"/>
                <w:color w:val="0000FF"/>
                <w:sz w:val="24"/>
              </w:rPr>
              <w:t>5.3大气环境风险防范措施</w:t>
            </w:r>
          </w:p>
          <w:p>
            <w:pPr>
              <w:spacing w:line="360" w:lineRule="auto"/>
              <w:ind w:firstLine="480" w:firstLineChars="200"/>
              <w:rPr>
                <w:rFonts w:hint="eastAsia"/>
                <w:color w:val="0000FF"/>
                <w:sz w:val="24"/>
              </w:rPr>
            </w:pPr>
            <w:r>
              <w:rPr>
                <w:rFonts w:hint="eastAsia"/>
                <w:color w:val="0000FF"/>
                <w:sz w:val="24"/>
              </w:rPr>
              <w:t>（1）废气处理设备制定严格的操作规程，严格按操作规程进行运行控制，防止误操作导致废气事故排放，操作规程上墙，并在各危险区域张贴应急联系电话。</w:t>
            </w:r>
          </w:p>
          <w:p>
            <w:pPr>
              <w:spacing w:line="360" w:lineRule="auto"/>
              <w:ind w:firstLine="480" w:firstLineChars="200"/>
              <w:rPr>
                <w:rFonts w:hint="eastAsia"/>
                <w:color w:val="0000FF"/>
                <w:sz w:val="24"/>
              </w:rPr>
            </w:pPr>
            <w:r>
              <w:rPr>
                <w:rFonts w:hint="eastAsia"/>
                <w:color w:val="0000FF"/>
                <w:sz w:val="24"/>
              </w:rPr>
              <w:t>（2）员工在生产过程佩戴口罩，防止废气不达标排放时对人体造成危害。</w:t>
            </w:r>
          </w:p>
          <w:p>
            <w:pPr>
              <w:spacing w:line="360" w:lineRule="auto"/>
              <w:ind w:firstLine="480" w:firstLineChars="200"/>
              <w:rPr>
                <w:rFonts w:hint="eastAsia"/>
                <w:color w:val="0000FF"/>
                <w:sz w:val="24"/>
              </w:rPr>
            </w:pPr>
            <w:r>
              <w:rPr>
                <w:rFonts w:hint="eastAsia"/>
                <w:color w:val="0000FF"/>
                <w:sz w:val="24"/>
              </w:rPr>
              <w:t>（3）管理人员每天对各废气设施巡检一次，查看废气净化设施运转是否正常，运行控制是否到位，不定时对各记录表进行检查。</w:t>
            </w:r>
          </w:p>
          <w:p>
            <w:pPr>
              <w:spacing w:line="360" w:lineRule="auto"/>
              <w:ind w:firstLine="480" w:firstLineChars="200"/>
              <w:rPr>
                <w:rFonts w:hint="eastAsia"/>
                <w:color w:val="0000FF"/>
                <w:sz w:val="24"/>
              </w:rPr>
            </w:pPr>
            <w:r>
              <w:rPr>
                <w:rFonts w:hint="eastAsia"/>
                <w:color w:val="0000FF"/>
                <w:sz w:val="24"/>
              </w:rPr>
              <w:t>5.4地下水风险防范措施</w:t>
            </w:r>
          </w:p>
          <w:p>
            <w:pPr>
              <w:spacing w:line="360" w:lineRule="auto"/>
              <w:ind w:firstLine="480" w:firstLineChars="200"/>
              <w:rPr>
                <w:rFonts w:hint="eastAsia"/>
                <w:color w:val="0000FF"/>
                <w:sz w:val="24"/>
              </w:rPr>
            </w:pPr>
            <w:r>
              <w:rPr>
                <w:rFonts w:hint="eastAsia"/>
                <w:color w:val="0000FF"/>
                <w:sz w:val="24"/>
              </w:rPr>
              <w:t>设1座30m</w:t>
            </w:r>
            <w:r>
              <w:rPr>
                <w:rFonts w:hint="eastAsia"/>
                <w:color w:val="0000FF"/>
                <w:sz w:val="24"/>
                <w:vertAlign w:val="superscript"/>
              </w:rPr>
              <w:t>3</w:t>
            </w:r>
            <w:r>
              <w:rPr>
                <w:rFonts w:hint="eastAsia"/>
                <w:color w:val="0000FF"/>
                <w:sz w:val="24"/>
              </w:rPr>
              <w:t>事故废水池兼消防废水池，沉淀池发生渗漏时，应及时将洗车废水导排至事故废水池内，避免对地下水造成影响。</w:t>
            </w:r>
          </w:p>
          <w:p>
            <w:pPr>
              <w:spacing w:line="360" w:lineRule="auto"/>
              <w:ind w:firstLine="480" w:firstLineChars="200"/>
              <w:rPr>
                <w:rFonts w:hint="eastAsia"/>
                <w:color w:val="0000FF"/>
                <w:sz w:val="24"/>
              </w:rPr>
            </w:pPr>
            <w:r>
              <w:rPr>
                <w:rFonts w:hint="eastAsia"/>
                <w:color w:val="0000FF"/>
                <w:sz w:val="24"/>
              </w:rPr>
              <w:t>5.5建立健全的安全环境管理制度</w:t>
            </w:r>
          </w:p>
          <w:p>
            <w:pPr>
              <w:spacing w:line="360" w:lineRule="auto"/>
              <w:ind w:firstLine="480" w:firstLineChars="200"/>
              <w:rPr>
                <w:rFonts w:hint="eastAsia"/>
                <w:color w:val="0000FF"/>
                <w:sz w:val="24"/>
              </w:rPr>
            </w:pPr>
            <w:r>
              <w:rPr>
                <w:rFonts w:hint="eastAsia"/>
                <w:color w:val="0000FF"/>
                <w:sz w:val="24"/>
              </w:rPr>
              <w:t>（1）制定和强化健康/安全/环境管理制度，并严格予以执行。</w:t>
            </w:r>
          </w:p>
          <w:p>
            <w:pPr>
              <w:spacing w:line="360" w:lineRule="auto"/>
              <w:ind w:firstLine="480" w:firstLineChars="200"/>
              <w:rPr>
                <w:rFonts w:hint="eastAsia"/>
                <w:color w:val="0000FF"/>
                <w:sz w:val="24"/>
              </w:rPr>
            </w:pPr>
            <w:r>
              <w:rPr>
                <w:rFonts w:hint="eastAsia"/>
                <w:color w:val="0000FF"/>
                <w:sz w:val="24"/>
              </w:rPr>
              <w:t>（2）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pPr>
              <w:spacing w:line="360" w:lineRule="auto"/>
              <w:ind w:firstLine="480" w:firstLineChars="200"/>
              <w:rPr>
                <w:rFonts w:hint="eastAsia"/>
                <w:color w:val="0000FF"/>
                <w:sz w:val="24"/>
              </w:rPr>
            </w:pPr>
            <w:r>
              <w:rPr>
                <w:rFonts w:hint="eastAsia"/>
                <w:color w:val="0000FF"/>
                <w:sz w:val="24"/>
              </w:rPr>
              <w:t>（3）加强原料、产品存放区的安全环保管理，对公司职工进行安全环保的教育和培训，做到持证上岗，减少人为风险事故（如误操作）的发生。</w:t>
            </w:r>
          </w:p>
          <w:p>
            <w:pPr>
              <w:spacing w:line="360" w:lineRule="auto"/>
              <w:ind w:firstLine="480" w:firstLineChars="200"/>
              <w:rPr>
                <w:rFonts w:hint="eastAsia"/>
                <w:color w:val="0000FF"/>
                <w:sz w:val="24"/>
              </w:rPr>
            </w:pPr>
            <w:r>
              <w:rPr>
                <w:rFonts w:hint="eastAsia"/>
                <w:color w:val="0000FF"/>
                <w:sz w:val="24"/>
              </w:rPr>
              <w:t>（4）建立应急预案，并与当地的应急预案衔接，一旦出现事故可借助社会救援，使损失和对环境的污染降到最低。</w:t>
            </w:r>
          </w:p>
          <w:p>
            <w:pPr>
              <w:spacing w:line="360" w:lineRule="auto"/>
              <w:ind w:firstLine="480" w:firstLineChars="200"/>
              <w:rPr>
                <w:rFonts w:hint="eastAsia"/>
                <w:color w:val="0000FF"/>
                <w:sz w:val="24"/>
              </w:rPr>
            </w:pPr>
            <w:r>
              <w:rPr>
                <w:rFonts w:hint="eastAsia"/>
                <w:color w:val="0000FF"/>
                <w:sz w:val="24"/>
              </w:rPr>
              <w:t>（5）加强环保设备、仪表的维修、保养，定期检查各种设备，杜绝事故隐患，降低事故发生概率。定期检查和更换危险化学品的储存输送设备，杜绝由于设备劳损、折旧带来的事故隐患。</w:t>
            </w:r>
          </w:p>
          <w:p>
            <w:pPr>
              <w:spacing w:line="360" w:lineRule="auto"/>
              <w:ind w:firstLine="480" w:firstLineChars="200"/>
              <w:rPr>
                <w:rFonts w:hint="eastAsia"/>
                <w:color w:val="0000FF"/>
                <w:sz w:val="24"/>
              </w:rPr>
            </w:pPr>
            <w:r>
              <w:rPr>
                <w:rFonts w:hint="eastAsia"/>
                <w:color w:val="0000FF"/>
                <w:sz w:val="24"/>
              </w:rPr>
              <w:t>6、风险评价小节</w:t>
            </w:r>
          </w:p>
          <w:p>
            <w:pPr>
              <w:spacing w:line="360" w:lineRule="auto"/>
              <w:ind w:firstLine="480" w:firstLineChars="200"/>
              <w:rPr>
                <w:rFonts w:hint="eastAsia"/>
                <w:color w:val="0000FF"/>
                <w:sz w:val="24"/>
              </w:rPr>
            </w:pPr>
            <w:r>
              <w:rPr>
                <w:rFonts w:hint="eastAsia"/>
                <w:color w:val="0000FF"/>
                <w:sz w:val="24"/>
              </w:rPr>
              <w:t>根据项目风险分析，本项目潜在的风险为火灾事故风险、粉尘爆炸、废气事故性排放等。企业应严格安全生产制度，严格管理，提高操作人员的素质和水平，同时制定有效的应急方案，使事故发生后对环境的影响减少到最低程度。建设单位在按照本报告书的要求，做好各项风险的预防和应急措施的前提下，发生污染事故的几率较小，所产生的环境风险可以控制在可接受风险水平之内。</w:t>
            </w:r>
          </w:p>
          <w:p>
            <w:pPr>
              <w:spacing w:line="360" w:lineRule="auto"/>
              <w:ind w:firstLine="480" w:firstLineChars="200"/>
              <w:rPr>
                <w:rFonts w:hint="eastAsia"/>
                <w:color w:val="0000FF"/>
                <w:sz w:val="24"/>
              </w:rPr>
            </w:pPr>
          </w:p>
          <w:p>
            <w:pPr>
              <w:spacing w:line="360" w:lineRule="auto"/>
              <w:ind w:firstLine="480" w:firstLineChars="200"/>
              <w:rPr>
                <w:rFonts w:hint="eastAsia"/>
                <w:color w:val="0000FF"/>
                <w:sz w:val="24"/>
              </w:rPr>
            </w:pPr>
          </w:p>
          <w:p>
            <w:pPr>
              <w:spacing w:line="240" w:lineRule="exact"/>
              <w:rPr>
                <w:rFonts w:hint="eastAsia"/>
                <w:color w:val="0000FF"/>
                <w:sz w:val="24"/>
                <w:szCs w:val="28"/>
              </w:rPr>
            </w:pPr>
          </w:p>
          <w:p>
            <w:pPr>
              <w:spacing w:line="240" w:lineRule="exact"/>
              <w:rPr>
                <w:rFonts w:eastAsia="黑体"/>
                <w:sz w:val="32"/>
              </w:rPr>
            </w:pPr>
          </w:p>
        </w:tc>
      </w:tr>
    </w:tbl>
    <w:p>
      <w:pPr>
        <w:pStyle w:val="15"/>
        <w:adjustRightInd w:val="0"/>
        <w:snapToGrid w:val="0"/>
        <w:spacing w:after="0" w:line="360" w:lineRule="auto"/>
        <w:ind w:left="0" w:leftChars="0"/>
        <w:outlineLvl w:val="0"/>
        <w:rPr>
          <w:rFonts w:eastAsia="黑体"/>
          <w:sz w:val="30"/>
          <w:szCs w:val="30"/>
        </w:rPr>
      </w:pPr>
      <w:r>
        <w:rPr>
          <w:rFonts w:eastAsia="黑体"/>
          <w:sz w:val="30"/>
          <w:szCs w:val="30"/>
        </w:rPr>
        <w:t>环境管理与监控计划</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2" w:hRule="atLeast"/>
        </w:trPr>
        <w:tc>
          <w:tcPr>
            <w:tcW w:w="8421" w:type="dxa"/>
          </w:tcPr>
          <w:p>
            <w:pPr>
              <w:adjustRightInd w:val="0"/>
              <w:snapToGrid w:val="0"/>
              <w:spacing w:beforeLines="50" w:line="360" w:lineRule="auto"/>
              <w:ind w:firstLine="573"/>
              <w:rPr>
                <w:b/>
                <w:color w:val="0000FF"/>
                <w:sz w:val="24"/>
              </w:rPr>
            </w:pPr>
            <w:r>
              <w:rPr>
                <w:color w:val="0000FF"/>
                <w:sz w:val="24"/>
              </w:rPr>
              <w:t>项目环境管理体系的设计应体现体系环境行为持续改进的思想。以环境方针为指导原则，结合具体的环境因素及相应的法律法规，制定目标指标、环境管理方案及规划予以实施运行，在此过程中进行预防、检查与纠正措施，经管理评审后持续改进。</w:t>
            </w:r>
          </w:p>
          <w:p>
            <w:pPr>
              <w:pStyle w:val="94"/>
              <w:spacing w:beforeLines="50" w:line="360" w:lineRule="auto"/>
              <w:ind w:firstLine="0" w:firstLineChars="0"/>
              <w:rPr>
                <w:b/>
                <w:color w:val="0000FF"/>
                <w:spacing w:val="0"/>
                <w:sz w:val="24"/>
                <w:szCs w:val="28"/>
              </w:rPr>
            </w:pPr>
            <w:r>
              <w:rPr>
                <w:b/>
                <w:color w:val="0000FF"/>
                <w:spacing w:val="0"/>
                <w:sz w:val="24"/>
                <w:szCs w:val="28"/>
              </w:rPr>
              <w:t>1、环境方针</w:t>
            </w:r>
          </w:p>
          <w:p>
            <w:pPr>
              <w:adjustRightInd w:val="0"/>
              <w:snapToGrid w:val="0"/>
              <w:spacing w:line="360" w:lineRule="auto"/>
              <w:ind w:firstLine="573"/>
              <w:rPr>
                <w:color w:val="0000FF"/>
                <w:sz w:val="24"/>
              </w:rPr>
            </w:pPr>
            <w:r>
              <w:rPr>
                <w:color w:val="0000FF"/>
                <w:sz w:val="24"/>
              </w:rPr>
              <w:t>项目单位可通过以下途径减少其生产运营中的环境影响：</w:t>
            </w:r>
          </w:p>
          <w:p>
            <w:pPr>
              <w:adjustRightInd w:val="0"/>
              <w:snapToGrid w:val="0"/>
              <w:spacing w:line="360" w:lineRule="auto"/>
              <w:ind w:firstLine="573"/>
              <w:rPr>
                <w:color w:val="0000FF"/>
                <w:sz w:val="24"/>
              </w:rPr>
            </w:pPr>
            <w:r>
              <w:rPr>
                <w:rFonts w:hint="eastAsia" w:ascii="宋体" w:hAnsi="宋体" w:cs="宋体"/>
                <w:color w:val="0000FF"/>
                <w:sz w:val="24"/>
              </w:rPr>
              <w:t>⑴</w:t>
            </w:r>
            <w:r>
              <w:rPr>
                <w:color w:val="0000FF"/>
                <w:sz w:val="24"/>
              </w:rPr>
              <w:t>本着对环境负责的态度开展生产经营活动，履行保护环境的职责；</w:t>
            </w:r>
          </w:p>
          <w:p>
            <w:pPr>
              <w:adjustRightInd w:val="0"/>
              <w:snapToGrid w:val="0"/>
              <w:spacing w:line="360" w:lineRule="auto"/>
              <w:ind w:firstLine="573"/>
              <w:rPr>
                <w:color w:val="0000FF"/>
                <w:sz w:val="24"/>
              </w:rPr>
            </w:pPr>
            <w:r>
              <w:rPr>
                <w:rFonts w:hint="eastAsia" w:ascii="宋体" w:hAnsi="宋体" w:cs="宋体"/>
                <w:color w:val="0000FF"/>
                <w:sz w:val="24"/>
              </w:rPr>
              <w:t>⑵</w:t>
            </w:r>
            <w:r>
              <w:rPr>
                <w:color w:val="0000FF"/>
                <w:sz w:val="24"/>
              </w:rPr>
              <w:t>遵守所有适用其产品和生产运营的法律法规及其他要求；</w:t>
            </w:r>
          </w:p>
          <w:p>
            <w:pPr>
              <w:adjustRightInd w:val="0"/>
              <w:snapToGrid w:val="0"/>
              <w:spacing w:line="360" w:lineRule="auto"/>
              <w:ind w:firstLine="573"/>
              <w:rPr>
                <w:color w:val="0000FF"/>
                <w:sz w:val="24"/>
              </w:rPr>
            </w:pPr>
            <w:r>
              <w:rPr>
                <w:rFonts w:hint="eastAsia" w:ascii="宋体" w:hAnsi="宋体" w:cs="宋体"/>
                <w:color w:val="0000FF"/>
                <w:sz w:val="24"/>
              </w:rPr>
              <w:t>⑶</w:t>
            </w:r>
            <w:r>
              <w:rPr>
                <w:color w:val="0000FF"/>
                <w:sz w:val="24"/>
              </w:rPr>
              <w:t>实施污染预防，减少污染物产生，以对环境负责的方式处置任何污染物；</w:t>
            </w:r>
          </w:p>
          <w:p>
            <w:pPr>
              <w:adjustRightInd w:val="0"/>
              <w:snapToGrid w:val="0"/>
              <w:spacing w:line="360" w:lineRule="auto"/>
              <w:ind w:firstLine="573"/>
              <w:rPr>
                <w:color w:val="0000FF"/>
                <w:sz w:val="24"/>
              </w:rPr>
            </w:pPr>
            <w:r>
              <w:rPr>
                <w:rFonts w:hint="eastAsia" w:ascii="宋体" w:hAnsi="宋体" w:cs="宋体"/>
                <w:color w:val="0000FF"/>
                <w:sz w:val="24"/>
              </w:rPr>
              <w:t>⑷</w:t>
            </w:r>
            <w:r>
              <w:rPr>
                <w:color w:val="0000FF"/>
                <w:sz w:val="24"/>
              </w:rPr>
              <w:t>在全厂各部门开展并实施有效的环境管理体系；</w:t>
            </w:r>
          </w:p>
          <w:p>
            <w:pPr>
              <w:adjustRightInd w:val="0"/>
              <w:snapToGrid w:val="0"/>
              <w:spacing w:line="360" w:lineRule="auto"/>
              <w:ind w:firstLine="573"/>
              <w:rPr>
                <w:color w:val="0000FF"/>
                <w:sz w:val="24"/>
              </w:rPr>
            </w:pPr>
            <w:r>
              <w:rPr>
                <w:rFonts w:hint="eastAsia" w:ascii="宋体" w:hAnsi="宋体" w:cs="宋体"/>
                <w:color w:val="0000FF"/>
                <w:sz w:val="24"/>
              </w:rPr>
              <w:t>⑸</w:t>
            </w:r>
            <w:r>
              <w:rPr>
                <w:color w:val="0000FF"/>
                <w:sz w:val="24"/>
              </w:rPr>
              <w:t>采用对环境尽可能健康的生产工艺；</w:t>
            </w:r>
          </w:p>
          <w:p>
            <w:pPr>
              <w:adjustRightInd w:val="0"/>
              <w:snapToGrid w:val="0"/>
              <w:spacing w:line="360" w:lineRule="auto"/>
              <w:ind w:firstLine="573"/>
              <w:rPr>
                <w:color w:val="0000FF"/>
                <w:sz w:val="24"/>
              </w:rPr>
            </w:pPr>
            <w:r>
              <w:rPr>
                <w:rFonts w:hint="eastAsia" w:ascii="宋体" w:hAnsi="宋体" w:cs="宋体"/>
                <w:color w:val="0000FF"/>
                <w:sz w:val="24"/>
              </w:rPr>
              <w:t>⑹</w:t>
            </w:r>
            <w:r>
              <w:rPr>
                <w:color w:val="0000FF"/>
                <w:sz w:val="24"/>
              </w:rPr>
              <w:t>从事并参与环境领域的研究和开发活动；</w:t>
            </w:r>
          </w:p>
          <w:p>
            <w:pPr>
              <w:adjustRightInd w:val="0"/>
              <w:snapToGrid w:val="0"/>
              <w:spacing w:line="360" w:lineRule="auto"/>
              <w:ind w:firstLine="573"/>
              <w:rPr>
                <w:color w:val="0000FF"/>
                <w:sz w:val="24"/>
              </w:rPr>
            </w:pPr>
            <w:r>
              <w:rPr>
                <w:rFonts w:hint="eastAsia" w:ascii="宋体" w:hAnsi="宋体" w:cs="宋体"/>
                <w:color w:val="0000FF"/>
                <w:sz w:val="24"/>
              </w:rPr>
              <w:t>⑺</w:t>
            </w:r>
            <w:r>
              <w:rPr>
                <w:color w:val="0000FF"/>
                <w:sz w:val="24"/>
              </w:rPr>
              <w:t>实施日常的环境监测和审核，确保员工遵循已经建立的程序，持续改善其环境表现，使生产经营活动对自然环境和地方的影响最小化。</w:t>
            </w:r>
          </w:p>
          <w:p>
            <w:pPr>
              <w:pStyle w:val="94"/>
              <w:spacing w:beforeLines="50" w:line="360" w:lineRule="auto"/>
              <w:ind w:firstLine="0" w:firstLineChars="0"/>
              <w:rPr>
                <w:b/>
                <w:color w:val="0000FF"/>
                <w:spacing w:val="0"/>
                <w:sz w:val="24"/>
                <w:szCs w:val="28"/>
              </w:rPr>
            </w:pPr>
            <w:r>
              <w:rPr>
                <w:b/>
                <w:color w:val="0000FF"/>
                <w:spacing w:val="0"/>
                <w:sz w:val="24"/>
                <w:szCs w:val="28"/>
              </w:rPr>
              <w:t>2、环境管理方案</w:t>
            </w:r>
          </w:p>
          <w:p>
            <w:pPr>
              <w:spacing w:line="360" w:lineRule="auto"/>
              <w:ind w:firstLine="573"/>
              <w:rPr>
                <w:color w:val="0000FF"/>
                <w:kern w:val="0"/>
                <w:sz w:val="24"/>
                <w:szCs w:val="28"/>
              </w:rPr>
            </w:pPr>
            <w:r>
              <w:rPr>
                <w:color w:val="0000FF"/>
                <w:kern w:val="0"/>
                <w:sz w:val="24"/>
                <w:szCs w:val="28"/>
              </w:rPr>
              <w:t>2.1环境管理方案的基本要求</w:t>
            </w:r>
          </w:p>
          <w:p>
            <w:pPr>
              <w:adjustRightInd w:val="0"/>
              <w:snapToGrid w:val="0"/>
              <w:spacing w:line="360" w:lineRule="auto"/>
              <w:ind w:firstLine="573"/>
              <w:rPr>
                <w:b/>
                <w:color w:val="0000FF"/>
                <w:sz w:val="24"/>
              </w:rPr>
            </w:pPr>
            <w:r>
              <w:rPr>
                <w:color w:val="0000FF"/>
                <w:sz w:val="24"/>
              </w:rPr>
              <w:t>组织的人员是环境管理体系的执行者，体系的成功实施取决于组织的工作效能。为加强环境管理，可在原有组织结构的基础上，进行必要的加强和调整，增设有关环境管理的职责和权限。一方面对各个层次和职能规定相应的岗位责任，保证所有涉及环境要素的责任都落实到具体的部门或人员；另一方面，所有的部门和人员都应承担与自己岗位有关的环境责任，同时保证各种责任、问题的可追溯性。</w:t>
            </w:r>
          </w:p>
          <w:p>
            <w:pPr>
              <w:spacing w:line="360" w:lineRule="auto"/>
              <w:ind w:firstLine="573"/>
              <w:rPr>
                <w:color w:val="0000FF"/>
                <w:kern w:val="0"/>
                <w:sz w:val="24"/>
                <w:szCs w:val="28"/>
              </w:rPr>
            </w:pPr>
            <w:r>
              <w:rPr>
                <w:color w:val="0000FF"/>
                <w:kern w:val="0"/>
                <w:sz w:val="24"/>
                <w:szCs w:val="28"/>
              </w:rPr>
              <w:t>2.2环境管理机构</w:t>
            </w:r>
          </w:p>
          <w:p>
            <w:pPr>
              <w:adjustRightInd w:val="0"/>
              <w:snapToGrid w:val="0"/>
              <w:spacing w:line="360" w:lineRule="auto"/>
              <w:ind w:firstLine="573"/>
              <w:rPr>
                <w:color w:val="0000FF"/>
                <w:sz w:val="24"/>
              </w:rPr>
            </w:pPr>
            <w:r>
              <w:rPr>
                <w:color w:val="0000FF"/>
                <w:sz w:val="24"/>
              </w:rPr>
              <w:t>由项目单位任命一名管理者代表，主管环境保护工作。并设置环保管理科室，负责全厂环境管理。有条件时设置环境监测机构，负责全厂“三废”排放的监测和环保设施运转状况的监控。</w:t>
            </w:r>
          </w:p>
          <w:p>
            <w:pPr>
              <w:spacing w:line="360" w:lineRule="auto"/>
              <w:ind w:firstLine="573"/>
              <w:rPr>
                <w:color w:val="0000FF"/>
                <w:kern w:val="0"/>
                <w:sz w:val="24"/>
                <w:szCs w:val="28"/>
              </w:rPr>
            </w:pPr>
            <w:r>
              <w:rPr>
                <w:color w:val="0000FF"/>
                <w:kern w:val="0"/>
                <w:sz w:val="24"/>
                <w:szCs w:val="28"/>
              </w:rPr>
              <w:t>2.3管理职责</w:t>
            </w:r>
          </w:p>
          <w:p>
            <w:pPr>
              <w:adjustRightInd w:val="0"/>
              <w:snapToGrid w:val="0"/>
              <w:spacing w:line="360" w:lineRule="auto"/>
              <w:ind w:firstLine="573"/>
              <w:rPr>
                <w:color w:val="0000FF"/>
                <w:sz w:val="24"/>
              </w:rPr>
            </w:pPr>
            <w:r>
              <w:rPr>
                <w:color w:val="0000FF"/>
                <w:sz w:val="24"/>
              </w:rPr>
              <w:t>(1)最高管理者的职责</w:t>
            </w:r>
          </w:p>
          <w:p>
            <w:pPr>
              <w:adjustRightInd w:val="0"/>
              <w:snapToGrid w:val="0"/>
              <w:spacing w:line="360" w:lineRule="auto"/>
              <w:ind w:firstLine="480" w:firstLineChars="200"/>
              <w:rPr>
                <w:color w:val="0000FF"/>
                <w:sz w:val="24"/>
              </w:rPr>
            </w:pPr>
            <w:r>
              <w:rPr>
                <w:color w:val="0000FF"/>
                <w:sz w:val="24"/>
              </w:rPr>
              <w:t>▪ 根据国家、省及地方各项环保政策、法规、标准制定环境方针；</w:t>
            </w:r>
          </w:p>
          <w:p>
            <w:pPr>
              <w:adjustRightInd w:val="0"/>
              <w:snapToGrid w:val="0"/>
              <w:spacing w:line="360" w:lineRule="auto"/>
              <w:ind w:firstLine="480" w:firstLineChars="200"/>
              <w:rPr>
                <w:color w:val="0000FF"/>
                <w:sz w:val="24"/>
              </w:rPr>
            </w:pPr>
            <w:r>
              <w:rPr>
                <w:color w:val="0000FF"/>
                <w:sz w:val="24"/>
              </w:rPr>
              <w:t>▪ 明确规定管理者代表的作用、职责的权限；</w:t>
            </w:r>
          </w:p>
          <w:p>
            <w:pPr>
              <w:adjustRightInd w:val="0"/>
              <w:snapToGrid w:val="0"/>
              <w:spacing w:line="360" w:lineRule="auto"/>
              <w:ind w:firstLine="480" w:firstLineChars="200"/>
              <w:rPr>
                <w:color w:val="0000FF"/>
                <w:sz w:val="24"/>
              </w:rPr>
            </w:pPr>
            <w:r>
              <w:rPr>
                <w:color w:val="0000FF"/>
                <w:sz w:val="24"/>
              </w:rPr>
              <w:t>▪ 为环境管理工作提供包括人力、财力、技术等方面资源。</w:t>
            </w:r>
          </w:p>
          <w:p>
            <w:pPr>
              <w:adjustRightInd w:val="0"/>
              <w:snapToGrid w:val="0"/>
              <w:spacing w:line="360" w:lineRule="auto"/>
              <w:ind w:firstLine="573"/>
              <w:rPr>
                <w:color w:val="0000FF"/>
                <w:sz w:val="24"/>
              </w:rPr>
            </w:pPr>
            <w:r>
              <w:rPr>
                <w:color w:val="0000FF"/>
                <w:sz w:val="24"/>
              </w:rPr>
              <w:t>(2)管理者代表的职责</w:t>
            </w:r>
          </w:p>
          <w:p>
            <w:pPr>
              <w:adjustRightInd w:val="0"/>
              <w:snapToGrid w:val="0"/>
              <w:spacing w:line="360" w:lineRule="auto"/>
              <w:ind w:firstLine="480" w:firstLineChars="200"/>
              <w:rPr>
                <w:color w:val="0000FF"/>
                <w:sz w:val="24"/>
              </w:rPr>
            </w:pPr>
            <w:r>
              <w:rPr>
                <w:color w:val="0000FF"/>
                <w:sz w:val="24"/>
              </w:rPr>
              <w:t>▪ 贯彻执行国家相关的法律法规，根据本企业实际，编制环境保护规划和实施细则，并组织实施，监督执行。</w:t>
            </w:r>
          </w:p>
          <w:p>
            <w:pPr>
              <w:adjustRightInd w:val="0"/>
              <w:snapToGrid w:val="0"/>
              <w:spacing w:line="360" w:lineRule="auto"/>
              <w:ind w:firstLine="480" w:firstLineChars="200"/>
              <w:rPr>
                <w:color w:val="0000FF"/>
                <w:sz w:val="24"/>
              </w:rPr>
            </w:pPr>
            <w:r>
              <w:rPr>
                <w:color w:val="0000FF"/>
                <w:sz w:val="24"/>
              </w:rPr>
              <w:t>▪ 负责全厂环境统计工作，污染源建档，定期进行“三废”排放及噪声的监测，掌握厂内污染源“三废”排放动态，编制环境监测报告等，为环境管理和污染防治提供依据。</w:t>
            </w:r>
          </w:p>
          <w:p>
            <w:pPr>
              <w:adjustRightInd w:val="0"/>
              <w:snapToGrid w:val="0"/>
              <w:spacing w:line="360" w:lineRule="auto"/>
              <w:ind w:firstLine="480" w:firstLineChars="200"/>
              <w:rPr>
                <w:color w:val="0000FF"/>
                <w:sz w:val="24"/>
              </w:rPr>
            </w:pPr>
            <w:r>
              <w:rPr>
                <w:color w:val="0000FF"/>
                <w:sz w:val="24"/>
              </w:rPr>
              <w:t>▪ 制定切实可行的“三废”排放控制指标，环保治理设施运行考核指标，组织落实实施，定期进行考核。</w:t>
            </w:r>
          </w:p>
          <w:p>
            <w:pPr>
              <w:adjustRightInd w:val="0"/>
              <w:snapToGrid w:val="0"/>
              <w:spacing w:line="360" w:lineRule="auto"/>
              <w:ind w:firstLine="480" w:firstLineChars="200"/>
              <w:rPr>
                <w:color w:val="0000FF"/>
                <w:sz w:val="24"/>
              </w:rPr>
            </w:pPr>
            <w:r>
              <w:rPr>
                <w:color w:val="0000FF"/>
                <w:sz w:val="24"/>
              </w:rPr>
              <w:t>▪ 组织和管理全厂污染治理工作，负责环保治理实施的运行及管理工作，建立污染物浓度和排放总量双项控制制度，做到达标排放。</w:t>
            </w:r>
          </w:p>
          <w:p>
            <w:pPr>
              <w:adjustRightInd w:val="0"/>
              <w:snapToGrid w:val="0"/>
              <w:spacing w:line="360" w:lineRule="auto"/>
              <w:ind w:firstLine="480" w:firstLineChars="200"/>
              <w:rPr>
                <w:color w:val="0000FF"/>
                <w:sz w:val="24"/>
              </w:rPr>
            </w:pPr>
            <w:r>
              <w:rPr>
                <w:color w:val="0000FF"/>
                <w:sz w:val="24"/>
              </w:rPr>
              <w:t>▪ 通过建设工程，不断提高治理设施的水平和可操作性。</w:t>
            </w:r>
          </w:p>
          <w:p>
            <w:pPr>
              <w:adjustRightInd w:val="0"/>
              <w:snapToGrid w:val="0"/>
              <w:spacing w:line="360" w:lineRule="auto"/>
              <w:ind w:firstLine="480" w:firstLineChars="200"/>
              <w:rPr>
                <w:color w:val="0000FF"/>
                <w:sz w:val="24"/>
              </w:rPr>
            </w:pPr>
            <w:r>
              <w:rPr>
                <w:color w:val="0000FF"/>
                <w:sz w:val="24"/>
              </w:rPr>
              <w:t>▪ 将在环境管理体系运行中所掌握的情况及时向最高管理者汇报，并提出建议。</w:t>
            </w:r>
          </w:p>
          <w:p>
            <w:pPr>
              <w:adjustRightInd w:val="0"/>
              <w:snapToGrid w:val="0"/>
              <w:spacing w:line="360" w:lineRule="auto"/>
              <w:ind w:firstLine="573"/>
              <w:rPr>
                <w:color w:val="0000FF"/>
                <w:sz w:val="24"/>
              </w:rPr>
            </w:pPr>
            <w:r>
              <w:rPr>
                <w:color w:val="0000FF"/>
                <w:sz w:val="24"/>
              </w:rPr>
              <w:t>(3)全体员工职责</w:t>
            </w:r>
          </w:p>
          <w:p>
            <w:pPr>
              <w:adjustRightInd w:val="0"/>
              <w:snapToGrid w:val="0"/>
              <w:spacing w:line="360" w:lineRule="auto"/>
              <w:ind w:firstLine="480" w:firstLineChars="200"/>
              <w:rPr>
                <w:color w:val="0000FF"/>
                <w:sz w:val="24"/>
              </w:rPr>
            </w:pPr>
            <w:r>
              <w:rPr>
                <w:b/>
                <w:color w:val="0000FF"/>
                <w:sz w:val="24"/>
              </w:rPr>
              <w:t xml:space="preserve">▪ </w:t>
            </w:r>
            <w:r>
              <w:rPr>
                <w:color w:val="0000FF"/>
                <w:sz w:val="24"/>
              </w:rPr>
              <w:t>全体员工应以对环境负责的态度和方式从事自己的工作，并在各自的岗位上承担有关的环境责任。</w:t>
            </w:r>
          </w:p>
          <w:p>
            <w:pPr>
              <w:pStyle w:val="94"/>
              <w:spacing w:beforeLines="50" w:line="360" w:lineRule="auto"/>
              <w:ind w:firstLine="0" w:firstLineChars="0"/>
              <w:rPr>
                <w:b/>
                <w:color w:val="0000FF"/>
                <w:spacing w:val="0"/>
                <w:sz w:val="24"/>
                <w:szCs w:val="28"/>
              </w:rPr>
            </w:pPr>
            <w:r>
              <w:rPr>
                <w:b/>
                <w:color w:val="0000FF"/>
                <w:spacing w:val="0"/>
                <w:sz w:val="24"/>
                <w:szCs w:val="28"/>
              </w:rPr>
              <w:t>3、环境</w:t>
            </w:r>
            <w:r>
              <w:rPr>
                <w:rFonts w:hint="eastAsia"/>
                <w:b/>
                <w:color w:val="0000FF"/>
                <w:spacing w:val="0"/>
                <w:sz w:val="24"/>
                <w:szCs w:val="28"/>
              </w:rPr>
              <w:t>监测</w:t>
            </w:r>
            <w:r>
              <w:rPr>
                <w:b/>
                <w:color w:val="0000FF"/>
                <w:spacing w:val="0"/>
                <w:sz w:val="24"/>
                <w:szCs w:val="28"/>
              </w:rPr>
              <w:t>计划</w:t>
            </w:r>
          </w:p>
          <w:p>
            <w:pPr>
              <w:adjustRightInd w:val="0"/>
              <w:snapToGrid w:val="0"/>
              <w:spacing w:line="360" w:lineRule="auto"/>
              <w:ind w:firstLine="573"/>
              <w:rPr>
                <w:color w:val="0000FF"/>
                <w:sz w:val="24"/>
              </w:rPr>
            </w:pPr>
            <w:r>
              <w:rPr>
                <w:color w:val="0000FF"/>
                <w:sz w:val="24"/>
              </w:rPr>
              <w:t>根据《排污单位自行监测技术指南  总则》（HJ819-2017）依据项目的污染源分布、污染物性质与排放规律，以及厂区周边环境特征，项目运营期的环境监测计划见</w:t>
            </w:r>
            <w:r>
              <w:fldChar w:fldCharType="begin" w:fldLock="1"/>
            </w:r>
            <w:r>
              <w:instrText xml:space="preserve"> REF _Ref419279847 \r \h  \* MERGEFORMAT </w:instrText>
            </w:r>
            <w:r>
              <w:fldChar w:fldCharType="separate"/>
            </w:r>
            <w:r>
              <w:rPr>
                <w:color w:val="0000FF"/>
                <w:sz w:val="24"/>
              </w:rPr>
              <w:t>表</w:t>
            </w:r>
            <w:r>
              <w:rPr>
                <w:rFonts w:hint="eastAsia"/>
                <w:color w:val="0000FF"/>
                <w:sz w:val="24"/>
              </w:rPr>
              <w:t>4</w:t>
            </w:r>
            <w:r>
              <w:rPr>
                <w:rFonts w:hint="eastAsia"/>
                <w:color w:val="0000FF"/>
                <w:sz w:val="24"/>
              </w:rPr>
              <w:fldChar w:fldCharType="end"/>
            </w:r>
            <w:r>
              <w:rPr>
                <w:rFonts w:hint="eastAsia"/>
                <w:color w:val="0000FF"/>
                <w:sz w:val="24"/>
              </w:rPr>
              <w:t>0</w:t>
            </w:r>
            <w:r>
              <w:rPr>
                <w:color w:val="0000FF"/>
                <w:sz w:val="24"/>
              </w:rPr>
              <w:t>。</w:t>
            </w:r>
          </w:p>
          <w:p>
            <w:pPr>
              <w:pStyle w:val="104"/>
              <w:spacing w:line="360" w:lineRule="auto"/>
              <w:ind w:firstLine="482"/>
              <w:jc w:val="center"/>
              <w:rPr>
                <w:rFonts w:eastAsia="宋体"/>
                <w:b/>
                <w:color w:val="0000FF"/>
                <w:spacing w:val="0"/>
                <w:sz w:val="24"/>
              </w:rPr>
            </w:pPr>
            <w:r>
              <w:rPr>
                <w:rFonts w:eastAsia="宋体"/>
                <w:b/>
                <w:color w:val="0000FF"/>
                <w:spacing w:val="0"/>
                <w:sz w:val="24"/>
              </w:rPr>
              <w:t>表</w:t>
            </w:r>
            <w:r>
              <w:rPr>
                <w:rFonts w:hint="eastAsia" w:eastAsia="宋体"/>
                <w:b/>
                <w:color w:val="0000FF"/>
                <w:spacing w:val="0"/>
                <w:sz w:val="24"/>
              </w:rPr>
              <w:t>40</w:t>
            </w:r>
            <w:r>
              <w:rPr>
                <w:rFonts w:eastAsia="宋体"/>
                <w:b/>
                <w:color w:val="0000FF"/>
                <w:spacing w:val="0"/>
                <w:sz w:val="24"/>
              </w:rPr>
              <w:t xml:space="preserve"> 环境监测计划</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25"/>
              <w:gridCol w:w="2119"/>
              <w:gridCol w:w="2649"/>
              <w:gridCol w:w="181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625" w:type="dxa"/>
                  <w:vAlign w:val="center"/>
                </w:tcPr>
                <w:p>
                  <w:pPr>
                    <w:jc w:val="center"/>
                    <w:rPr>
                      <w:b/>
                      <w:color w:val="0000FF"/>
                    </w:rPr>
                  </w:pPr>
                  <w:r>
                    <w:rPr>
                      <w:b/>
                      <w:color w:val="0000FF"/>
                    </w:rPr>
                    <w:t>监测内容</w:t>
                  </w:r>
                </w:p>
              </w:tc>
              <w:tc>
                <w:tcPr>
                  <w:tcW w:w="2119" w:type="dxa"/>
                  <w:vAlign w:val="center"/>
                </w:tcPr>
                <w:p>
                  <w:pPr>
                    <w:jc w:val="center"/>
                    <w:rPr>
                      <w:b/>
                      <w:color w:val="0000FF"/>
                    </w:rPr>
                  </w:pPr>
                  <w:r>
                    <w:rPr>
                      <w:b/>
                      <w:color w:val="0000FF"/>
                    </w:rPr>
                    <w:t>监测点</w:t>
                  </w:r>
                </w:p>
              </w:tc>
              <w:tc>
                <w:tcPr>
                  <w:tcW w:w="2649" w:type="dxa"/>
                  <w:vAlign w:val="center"/>
                </w:tcPr>
                <w:p>
                  <w:pPr>
                    <w:jc w:val="center"/>
                    <w:rPr>
                      <w:b/>
                      <w:color w:val="0000FF"/>
                    </w:rPr>
                  </w:pPr>
                  <w:r>
                    <w:rPr>
                      <w:b/>
                      <w:color w:val="0000FF"/>
                    </w:rPr>
                    <w:t>监测项目</w:t>
                  </w:r>
                </w:p>
              </w:tc>
              <w:tc>
                <w:tcPr>
                  <w:tcW w:w="1812" w:type="dxa"/>
                  <w:vAlign w:val="center"/>
                </w:tcPr>
                <w:p>
                  <w:pPr>
                    <w:jc w:val="center"/>
                    <w:rPr>
                      <w:b/>
                      <w:color w:val="0000FF"/>
                    </w:rPr>
                  </w:pPr>
                  <w:r>
                    <w:rPr>
                      <w:b/>
                      <w:color w:val="0000FF"/>
                    </w:rPr>
                    <w:t>监测频率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625" w:type="dxa"/>
                  <w:vAlign w:val="center"/>
                </w:tcPr>
                <w:p>
                  <w:pPr>
                    <w:jc w:val="center"/>
                    <w:rPr>
                      <w:color w:val="0000FF"/>
                    </w:rPr>
                  </w:pPr>
                  <w:r>
                    <w:rPr>
                      <w:color w:val="0000FF"/>
                    </w:rPr>
                    <w:t>噪声</w:t>
                  </w:r>
                </w:p>
              </w:tc>
              <w:tc>
                <w:tcPr>
                  <w:tcW w:w="2119" w:type="dxa"/>
                  <w:vAlign w:val="center"/>
                </w:tcPr>
                <w:p>
                  <w:pPr>
                    <w:jc w:val="center"/>
                    <w:rPr>
                      <w:color w:val="0000FF"/>
                    </w:rPr>
                  </w:pPr>
                  <w:r>
                    <w:rPr>
                      <w:color w:val="0000FF"/>
                    </w:rPr>
                    <w:t>厂界四周</w:t>
                  </w:r>
                </w:p>
              </w:tc>
              <w:tc>
                <w:tcPr>
                  <w:tcW w:w="2649" w:type="dxa"/>
                  <w:vAlign w:val="center"/>
                </w:tcPr>
                <w:p>
                  <w:pPr>
                    <w:jc w:val="center"/>
                    <w:rPr>
                      <w:color w:val="0000FF"/>
                    </w:rPr>
                  </w:pPr>
                  <w:r>
                    <w:rPr>
                      <w:color w:val="0000FF"/>
                    </w:rPr>
                    <w:t>噪声</w:t>
                  </w:r>
                </w:p>
              </w:tc>
              <w:tc>
                <w:tcPr>
                  <w:tcW w:w="1812" w:type="dxa"/>
                  <w:vAlign w:val="center"/>
                </w:tcPr>
                <w:p>
                  <w:pPr>
                    <w:jc w:val="center"/>
                    <w:rPr>
                      <w:rFonts w:hint="eastAsia"/>
                      <w:color w:val="0000FF"/>
                    </w:rPr>
                  </w:pPr>
                  <w:r>
                    <w:rPr>
                      <w:color w:val="0000FF"/>
                    </w:rPr>
                    <w:t>每</w:t>
                  </w:r>
                  <w:r>
                    <w:rPr>
                      <w:rFonts w:hint="eastAsia"/>
                      <w:color w:val="0000FF"/>
                    </w:rPr>
                    <w:t>年</w:t>
                  </w:r>
                  <w:r>
                    <w:rPr>
                      <w:color w:val="0000FF"/>
                    </w:rPr>
                    <w:t>1次</w:t>
                  </w:r>
                </w:p>
                <w:p>
                  <w:pPr>
                    <w:jc w:val="center"/>
                    <w:rPr>
                      <w:color w:val="0000FF"/>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625" w:type="dxa"/>
                  <w:vMerge w:val="restart"/>
                  <w:vAlign w:val="center"/>
                </w:tcPr>
                <w:p>
                  <w:pPr>
                    <w:jc w:val="center"/>
                    <w:rPr>
                      <w:color w:val="0000FF"/>
                    </w:rPr>
                  </w:pPr>
                  <w:r>
                    <w:rPr>
                      <w:rFonts w:hint="eastAsia"/>
                      <w:color w:val="0000FF"/>
                    </w:rPr>
                    <w:t>废气</w:t>
                  </w:r>
                </w:p>
              </w:tc>
              <w:tc>
                <w:tcPr>
                  <w:tcW w:w="2119" w:type="dxa"/>
                  <w:vAlign w:val="center"/>
                </w:tcPr>
                <w:p>
                  <w:pPr>
                    <w:jc w:val="center"/>
                    <w:rPr>
                      <w:color w:val="0000FF"/>
                    </w:rPr>
                  </w:pPr>
                  <w:r>
                    <w:rPr>
                      <w:rFonts w:hint="eastAsia"/>
                      <w:color w:val="0000FF"/>
                    </w:rPr>
                    <w:t>筛分粉尘排气筒</w:t>
                  </w:r>
                </w:p>
              </w:tc>
              <w:tc>
                <w:tcPr>
                  <w:tcW w:w="2649" w:type="dxa"/>
                  <w:vAlign w:val="center"/>
                </w:tcPr>
                <w:p>
                  <w:pPr>
                    <w:jc w:val="center"/>
                    <w:rPr>
                      <w:color w:val="0000FF"/>
                    </w:rPr>
                  </w:pPr>
                  <w:r>
                    <w:rPr>
                      <w:rFonts w:hint="eastAsia"/>
                      <w:color w:val="0000FF"/>
                    </w:rPr>
                    <w:t>颗粒物</w:t>
                  </w:r>
                </w:p>
              </w:tc>
              <w:tc>
                <w:tcPr>
                  <w:tcW w:w="1812" w:type="dxa"/>
                  <w:vAlign w:val="center"/>
                </w:tcPr>
                <w:p>
                  <w:pPr>
                    <w:jc w:val="center"/>
                    <w:rPr>
                      <w:color w:val="0000FF"/>
                    </w:rPr>
                  </w:pPr>
                  <w:r>
                    <w:rPr>
                      <w:rFonts w:hint="eastAsia"/>
                      <w:color w:val="0000FF"/>
                    </w:rPr>
                    <w:t>每年1次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625" w:type="dxa"/>
                  <w:vMerge w:val="continue"/>
                  <w:vAlign w:val="center"/>
                </w:tcPr>
                <w:p>
                  <w:pPr>
                    <w:jc w:val="center"/>
                    <w:rPr>
                      <w:rFonts w:hint="eastAsia"/>
                      <w:color w:val="0000FF"/>
                    </w:rPr>
                  </w:pPr>
                </w:p>
              </w:tc>
              <w:tc>
                <w:tcPr>
                  <w:tcW w:w="2119" w:type="dxa"/>
                  <w:vAlign w:val="center"/>
                </w:tcPr>
                <w:p>
                  <w:pPr>
                    <w:jc w:val="center"/>
                    <w:rPr>
                      <w:color w:val="0000FF"/>
                    </w:rPr>
                  </w:pPr>
                  <w:r>
                    <w:rPr>
                      <w:rFonts w:hint="eastAsia"/>
                      <w:color w:val="0000FF"/>
                    </w:rPr>
                    <w:t>厂界四周</w:t>
                  </w:r>
                </w:p>
              </w:tc>
              <w:tc>
                <w:tcPr>
                  <w:tcW w:w="2649" w:type="dxa"/>
                  <w:vAlign w:val="center"/>
                </w:tcPr>
                <w:p>
                  <w:pPr>
                    <w:jc w:val="center"/>
                    <w:rPr>
                      <w:color w:val="0000FF"/>
                    </w:rPr>
                  </w:pPr>
                  <w:r>
                    <w:rPr>
                      <w:rFonts w:hint="eastAsia"/>
                      <w:color w:val="0000FF"/>
                    </w:rPr>
                    <w:t>颗粒物</w:t>
                  </w:r>
                </w:p>
              </w:tc>
              <w:tc>
                <w:tcPr>
                  <w:tcW w:w="1812" w:type="dxa"/>
                  <w:vAlign w:val="center"/>
                </w:tcPr>
                <w:p>
                  <w:pPr>
                    <w:jc w:val="center"/>
                    <w:rPr>
                      <w:color w:val="0000FF"/>
                    </w:rPr>
                  </w:pPr>
                  <w:r>
                    <w:rPr>
                      <w:rFonts w:hint="eastAsia"/>
                      <w:color w:val="0000FF"/>
                    </w:rPr>
                    <w:t>每年1次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625" w:type="dxa"/>
                  <w:vAlign w:val="center"/>
                </w:tcPr>
                <w:p>
                  <w:pPr>
                    <w:jc w:val="center"/>
                    <w:rPr>
                      <w:rFonts w:hint="eastAsia"/>
                      <w:color w:val="0000FF"/>
                    </w:rPr>
                  </w:pPr>
                  <w:r>
                    <w:rPr>
                      <w:rFonts w:hint="eastAsia"/>
                      <w:color w:val="0000FF"/>
                    </w:rPr>
                    <w:t>固废</w:t>
                  </w:r>
                </w:p>
              </w:tc>
              <w:tc>
                <w:tcPr>
                  <w:tcW w:w="2119" w:type="dxa"/>
                  <w:vAlign w:val="center"/>
                </w:tcPr>
                <w:p>
                  <w:pPr>
                    <w:jc w:val="center"/>
                    <w:rPr>
                      <w:rFonts w:hint="eastAsia"/>
                      <w:color w:val="0000FF"/>
                    </w:rPr>
                  </w:pPr>
                  <w:r>
                    <w:rPr>
                      <w:rFonts w:hint="eastAsia"/>
                      <w:color w:val="0000FF"/>
                    </w:rPr>
                    <w:t>厂区内</w:t>
                  </w:r>
                </w:p>
              </w:tc>
              <w:tc>
                <w:tcPr>
                  <w:tcW w:w="2649" w:type="dxa"/>
                  <w:vAlign w:val="center"/>
                </w:tcPr>
                <w:p>
                  <w:pPr>
                    <w:jc w:val="center"/>
                    <w:rPr>
                      <w:rFonts w:hint="eastAsia"/>
                      <w:color w:val="0000FF"/>
                    </w:rPr>
                  </w:pPr>
                  <w:r>
                    <w:rPr>
                      <w:rFonts w:hint="eastAsia"/>
                      <w:color w:val="0000FF"/>
                    </w:rPr>
                    <w:t>贮存、处置情况</w:t>
                  </w:r>
                </w:p>
              </w:tc>
              <w:tc>
                <w:tcPr>
                  <w:tcW w:w="1812" w:type="dxa"/>
                  <w:vAlign w:val="center"/>
                </w:tcPr>
                <w:p>
                  <w:pPr>
                    <w:jc w:val="center"/>
                    <w:rPr>
                      <w:rFonts w:hint="eastAsia"/>
                      <w:color w:val="0000FF"/>
                    </w:rPr>
                  </w:pPr>
                  <w:r>
                    <w:rPr>
                      <w:rFonts w:hint="eastAsia"/>
                      <w:color w:val="0000FF"/>
                    </w:rPr>
                    <w:t>企业自行检查</w:t>
                  </w:r>
                </w:p>
              </w:tc>
            </w:tr>
          </w:tbl>
          <w:p>
            <w:pPr>
              <w:pStyle w:val="14"/>
              <w:spacing w:after="0" w:line="360" w:lineRule="auto"/>
              <w:ind w:firstLine="480" w:firstLineChars="200"/>
              <w:rPr>
                <w:color w:val="0000FF"/>
                <w:kern w:val="2"/>
                <w:sz w:val="24"/>
                <w:szCs w:val="22"/>
              </w:rPr>
            </w:pPr>
            <w:r>
              <w:rPr>
                <w:rFonts w:hint="eastAsia"/>
                <w:color w:val="0000FF"/>
                <w:kern w:val="2"/>
                <w:sz w:val="24"/>
                <w:szCs w:val="22"/>
              </w:rPr>
              <w:t>根据现场调查及查阅相关资料，项目区下游区内无分散式饮用水水源地、其他集中饮用水源及与地下水资源相关的保护区，项目对地下水环境影响较小，且根据《环境影响评价技术导则  地下水环境》（HJ610-2016），本项目为</w:t>
            </w:r>
            <w:r>
              <w:rPr>
                <w:rFonts w:hint="eastAsia" w:ascii="宋体" w:hAnsi="宋体"/>
                <w:color w:val="0000FF"/>
                <w:kern w:val="2"/>
                <w:sz w:val="24"/>
                <w:szCs w:val="22"/>
              </w:rPr>
              <w:t>Ⅳ</w:t>
            </w:r>
            <w:r>
              <w:rPr>
                <w:rFonts w:hint="eastAsia"/>
                <w:color w:val="0000FF"/>
                <w:kern w:val="2"/>
                <w:sz w:val="24"/>
                <w:szCs w:val="22"/>
              </w:rPr>
              <w:t>类项目，可不设地下水监测井。</w:t>
            </w:r>
          </w:p>
          <w:p>
            <w:pPr>
              <w:pStyle w:val="94"/>
              <w:spacing w:beforeLines="50" w:line="360" w:lineRule="auto"/>
              <w:ind w:firstLine="0" w:firstLineChars="0"/>
              <w:rPr>
                <w:b/>
                <w:color w:val="0000FF"/>
                <w:spacing w:val="0"/>
                <w:sz w:val="24"/>
                <w:szCs w:val="28"/>
              </w:rPr>
            </w:pPr>
            <w:r>
              <w:rPr>
                <w:b/>
                <w:color w:val="0000FF"/>
                <w:spacing w:val="0"/>
                <w:sz w:val="24"/>
                <w:szCs w:val="28"/>
              </w:rPr>
              <w:t>4、环境管理</w:t>
            </w:r>
          </w:p>
          <w:p>
            <w:pPr>
              <w:adjustRightInd w:val="0"/>
              <w:snapToGrid w:val="0"/>
              <w:spacing w:line="360" w:lineRule="auto"/>
              <w:ind w:firstLine="573"/>
              <w:rPr>
                <w:color w:val="0000FF"/>
                <w:sz w:val="24"/>
              </w:rPr>
            </w:pPr>
            <w:r>
              <w:rPr>
                <w:color w:val="0000FF"/>
                <w:sz w:val="24"/>
              </w:rPr>
              <w:t>根据监测指标，环境管理人员可以从工艺调整、设备运行、生产安排等多方面进行管理，以保证在不影响生产条件下，获得更大的环境效益，管理内容包括：</w:t>
            </w:r>
          </w:p>
          <w:p>
            <w:pPr>
              <w:adjustRightInd w:val="0"/>
              <w:snapToGrid w:val="0"/>
              <w:spacing w:line="360" w:lineRule="auto"/>
              <w:ind w:firstLine="573"/>
              <w:rPr>
                <w:color w:val="0000FF"/>
                <w:sz w:val="24"/>
              </w:rPr>
            </w:pPr>
            <w:r>
              <w:rPr>
                <w:color w:val="0000FF"/>
                <w:sz w:val="24"/>
              </w:rPr>
              <w:fldChar w:fldCharType="begin"/>
            </w:r>
            <w:r>
              <w:rPr>
                <w:color w:val="0000FF"/>
                <w:sz w:val="24"/>
              </w:rPr>
              <w:instrText xml:space="preserve"> </w:instrText>
            </w:r>
            <w:r>
              <w:rPr>
                <w:rFonts w:hint="eastAsia"/>
                <w:color w:val="0000FF"/>
                <w:sz w:val="24"/>
              </w:rPr>
              <w:instrText xml:space="preserve">eq \o\ac(</w:instrText>
            </w:r>
            <w:r>
              <w:rPr>
                <w:rFonts w:hint="eastAsia" w:ascii="宋体"/>
                <w:color w:val="0000FF"/>
                <w:position w:val="-4"/>
                <w:sz w:val="36"/>
              </w:rPr>
              <w:instrText xml:space="preserve">○</w:instrText>
            </w:r>
            <w:r>
              <w:rPr>
                <w:rFonts w:hint="eastAsia"/>
                <w:color w:val="0000FF"/>
                <w:sz w:val="24"/>
              </w:rPr>
              <w:instrText xml:space="preserve">,1)</w:instrText>
            </w:r>
            <w:r>
              <w:rPr>
                <w:color w:val="0000FF"/>
                <w:sz w:val="24"/>
              </w:rPr>
              <w:fldChar w:fldCharType="end"/>
            </w:r>
            <w:r>
              <w:rPr>
                <w:color w:val="0000FF"/>
                <w:sz w:val="24"/>
              </w:rPr>
              <w:t>根据废气污染物监测情况，加强管理，保证废气污染物达标排放；</w:t>
            </w:r>
          </w:p>
          <w:p>
            <w:pPr>
              <w:adjustRightInd w:val="0"/>
              <w:snapToGrid w:val="0"/>
              <w:spacing w:line="360" w:lineRule="auto"/>
              <w:ind w:firstLine="573"/>
              <w:rPr>
                <w:color w:val="0000FF"/>
                <w:sz w:val="24"/>
              </w:rPr>
            </w:pPr>
            <w:r>
              <w:rPr>
                <w:rFonts w:ascii="宋体" w:hAnsi="宋体" w:cs="宋体"/>
                <w:color w:val="0000FF"/>
                <w:sz w:val="24"/>
              </w:rPr>
              <w:fldChar w:fldCharType="begin"/>
            </w:r>
            <w:r>
              <w:rPr>
                <w:rFonts w:ascii="宋体" w:hAnsi="宋体" w:cs="宋体"/>
                <w:color w:val="0000FF"/>
                <w:sz w:val="24"/>
              </w:rPr>
              <w:instrText xml:space="preserve"> </w:instrText>
            </w:r>
            <w:r>
              <w:rPr>
                <w:rFonts w:hint="eastAsia" w:ascii="宋体" w:hAnsi="宋体" w:cs="宋体"/>
                <w:color w:val="0000FF"/>
                <w:sz w:val="24"/>
              </w:rPr>
              <w:instrText xml:space="preserve">eq \o\ac(</w:instrText>
            </w:r>
            <w:r>
              <w:rPr>
                <w:rFonts w:hint="eastAsia" w:ascii="宋体" w:hAnsi="宋体" w:cs="宋体"/>
                <w:color w:val="0000FF"/>
                <w:position w:val="-4"/>
                <w:sz w:val="36"/>
              </w:rPr>
              <w:instrText xml:space="preserve">○</w:instrText>
            </w:r>
            <w:r>
              <w:rPr>
                <w:rFonts w:hint="eastAsia" w:ascii="宋体" w:hAnsi="宋体" w:cs="宋体"/>
                <w:color w:val="0000FF"/>
                <w:sz w:val="24"/>
              </w:rPr>
              <w:instrText xml:space="preserve">,2)</w:instrText>
            </w:r>
            <w:r>
              <w:rPr>
                <w:rFonts w:ascii="宋体" w:hAnsi="宋体" w:cs="宋体"/>
                <w:color w:val="0000FF"/>
                <w:sz w:val="24"/>
              </w:rPr>
              <w:fldChar w:fldCharType="end"/>
            </w:r>
            <w:r>
              <w:rPr>
                <w:color w:val="0000FF"/>
                <w:sz w:val="24"/>
              </w:rPr>
              <w:t>根据环保要求，向生产部门提供合理化建议；</w:t>
            </w:r>
          </w:p>
          <w:p>
            <w:pPr>
              <w:adjustRightInd w:val="0"/>
              <w:snapToGrid w:val="0"/>
              <w:spacing w:line="360" w:lineRule="auto"/>
              <w:ind w:firstLine="573"/>
              <w:rPr>
                <w:color w:val="0000FF"/>
                <w:sz w:val="24"/>
              </w:rPr>
            </w:pPr>
            <w:r>
              <w:rPr>
                <w:rFonts w:ascii="宋体" w:hAnsi="宋体" w:cs="宋体"/>
                <w:color w:val="0000FF"/>
                <w:sz w:val="24"/>
              </w:rPr>
              <w:fldChar w:fldCharType="begin"/>
            </w:r>
            <w:r>
              <w:rPr>
                <w:rFonts w:ascii="宋体" w:hAnsi="宋体" w:cs="宋体"/>
                <w:color w:val="0000FF"/>
                <w:sz w:val="24"/>
              </w:rPr>
              <w:instrText xml:space="preserve"> </w:instrText>
            </w:r>
            <w:r>
              <w:rPr>
                <w:rFonts w:hint="eastAsia" w:ascii="宋体" w:hAnsi="宋体" w:cs="宋体"/>
                <w:color w:val="0000FF"/>
                <w:sz w:val="24"/>
              </w:rPr>
              <w:instrText xml:space="preserve">eq \o\ac(</w:instrText>
            </w:r>
            <w:r>
              <w:rPr>
                <w:rFonts w:hint="eastAsia" w:ascii="宋体" w:hAnsi="宋体" w:cs="宋体"/>
                <w:color w:val="0000FF"/>
                <w:position w:val="-4"/>
                <w:sz w:val="36"/>
              </w:rPr>
              <w:instrText xml:space="preserve">○</w:instrText>
            </w:r>
            <w:r>
              <w:rPr>
                <w:rFonts w:hint="eastAsia" w:ascii="宋体" w:hAnsi="宋体" w:cs="宋体"/>
                <w:color w:val="0000FF"/>
                <w:sz w:val="24"/>
              </w:rPr>
              <w:instrText xml:space="preserve">,3)</w:instrText>
            </w:r>
            <w:r>
              <w:rPr>
                <w:rFonts w:ascii="宋体" w:hAnsi="宋体" w:cs="宋体"/>
                <w:color w:val="0000FF"/>
                <w:sz w:val="24"/>
              </w:rPr>
              <w:fldChar w:fldCharType="end"/>
            </w:r>
            <w:r>
              <w:rPr>
                <w:color w:val="0000FF"/>
                <w:sz w:val="24"/>
              </w:rPr>
              <w:t>根据实际情况，制定相应的环境管理章程，使环境管理规范化、程序化、合理化。</w:t>
            </w:r>
          </w:p>
          <w:p>
            <w:pPr>
              <w:pStyle w:val="94"/>
              <w:spacing w:beforeLines="50" w:line="360" w:lineRule="auto"/>
              <w:ind w:firstLine="0" w:firstLineChars="0"/>
              <w:rPr>
                <w:b/>
                <w:color w:val="0000FF"/>
                <w:spacing w:val="0"/>
                <w:sz w:val="24"/>
                <w:szCs w:val="28"/>
              </w:rPr>
            </w:pPr>
            <w:bookmarkStart w:id="3" w:name="_Toc245786496"/>
            <w:bookmarkStart w:id="4" w:name="_Toc245786379"/>
            <w:bookmarkStart w:id="5" w:name="_Toc245783703"/>
            <w:r>
              <w:rPr>
                <w:b/>
                <w:color w:val="0000FF"/>
                <w:spacing w:val="0"/>
                <w:sz w:val="24"/>
                <w:szCs w:val="28"/>
              </w:rPr>
              <w:t>5、环保措施及“三同时”项目汇总</w:t>
            </w:r>
            <w:bookmarkEnd w:id="3"/>
            <w:bookmarkEnd w:id="4"/>
            <w:bookmarkEnd w:id="5"/>
          </w:p>
          <w:p>
            <w:pPr>
              <w:spacing w:line="360" w:lineRule="auto"/>
              <w:ind w:firstLine="480" w:firstLineChars="200"/>
              <w:rPr>
                <w:rFonts w:hint="eastAsia"/>
                <w:color w:val="0000FF"/>
                <w:kern w:val="0"/>
                <w:sz w:val="24"/>
              </w:rPr>
            </w:pPr>
            <w:r>
              <w:rPr>
                <w:color w:val="0000FF"/>
                <w:kern w:val="0"/>
                <w:sz w:val="24"/>
              </w:rPr>
              <w:t>本项目“三同时”验收内容汇总情况见表</w:t>
            </w:r>
            <w:r>
              <w:rPr>
                <w:rFonts w:hint="eastAsia"/>
                <w:color w:val="0000FF"/>
                <w:kern w:val="0"/>
                <w:sz w:val="24"/>
              </w:rPr>
              <w:t>41</w:t>
            </w:r>
            <w:r>
              <w:rPr>
                <w:color w:val="0000FF"/>
                <w:kern w:val="0"/>
                <w:sz w:val="24"/>
              </w:rPr>
              <w:t>。</w:t>
            </w:r>
          </w:p>
          <w:p>
            <w:pPr>
              <w:pStyle w:val="104"/>
              <w:spacing w:line="360" w:lineRule="auto"/>
              <w:ind w:firstLine="482"/>
              <w:jc w:val="center"/>
              <w:rPr>
                <w:rFonts w:eastAsia="宋体"/>
                <w:b/>
                <w:color w:val="0000FF"/>
                <w:spacing w:val="0"/>
                <w:sz w:val="24"/>
              </w:rPr>
            </w:pPr>
            <w:r>
              <w:rPr>
                <w:rFonts w:eastAsia="宋体"/>
                <w:b/>
                <w:color w:val="0000FF"/>
                <w:spacing w:val="0"/>
                <w:sz w:val="24"/>
              </w:rPr>
              <w:t>表</w:t>
            </w:r>
            <w:r>
              <w:rPr>
                <w:rFonts w:hint="eastAsia" w:eastAsia="宋体"/>
                <w:b/>
                <w:color w:val="0000FF"/>
                <w:spacing w:val="0"/>
                <w:sz w:val="24"/>
              </w:rPr>
              <w:t>41</w:t>
            </w:r>
            <w:r>
              <w:rPr>
                <w:rFonts w:eastAsia="宋体"/>
                <w:b/>
                <w:color w:val="0000FF"/>
                <w:spacing w:val="0"/>
                <w:sz w:val="24"/>
              </w:rPr>
              <w:t xml:space="preserve"> 建设项目竣工环保“三同时”验收一览表</w:t>
            </w:r>
          </w:p>
          <w:tbl>
            <w:tblPr>
              <w:tblStyle w:val="24"/>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554"/>
              <w:gridCol w:w="1139"/>
              <w:gridCol w:w="2410"/>
              <w:gridCol w:w="235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tcBorders>
                    <w:bottom w:val="single" w:color="auto" w:sz="8" w:space="0"/>
                  </w:tcBorders>
                  <w:vAlign w:val="center"/>
                </w:tcPr>
                <w:p>
                  <w:pPr>
                    <w:widowControl/>
                    <w:adjustRightInd w:val="0"/>
                    <w:snapToGrid w:val="0"/>
                    <w:jc w:val="center"/>
                    <w:rPr>
                      <w:b/>
                      <w:color w:val="0000FF"/>
                      <w:kern w:val="0"/>
                      <w:szCs w:val="21"/>
                    </w:rPr>
                  </w:pPr>
                  <w:r>
                    <w:rPr>
                      <w:b/>
                      <w:color w:val="0000FF"/>
                      <w:kern w:val="0"/>
                      <w:szCs w:val="21"/>
                    </w:rPr>
                    <w:t>措施类别</w:t>
                  </w:r>
                </w:p>
              </w:tc>
              <w:tc>
                <w:tcPr>
                  <w:tcW w:w="1554" w:type="dxa"/>
                  <w:tcBorders>
                    <w:bottom w:val="single" w:color="auto" w:sz="8" w:space="0"/>
                  </w:tcBorders>
                  <w:noWrap/>
                  <w:vAlign w:val="center"/>
                </w:tcPr>
                <w:p>
                  <w:pPr>
                    <w:widowControl/>
                    <w:adjustRightInd w:val="0"/>
                    <w:snapToGrid w:val="0"/>
                    <w:jc w:val="center"/>
                    <w:rPr>
                      <w:b/>
                      <w:color w:val="0000FF"/>
                      <w:kern w:val="0"/>
                      <w:szCs w:val="21"/>
                    </w:rPr>
                  </w:pPr>
                  <w:r>
                    <w:rPr>
                      <w:b/>
                      <w:color w:val="0000FF"/>
                      <w:kern w:val="0"/>
                      <w:szCs w:val="21"/>
                    </w:rPr>
                    <w:t>措施名称</w:t>
                  </w:r>
                </w:p>
              </w:tc>
              <w:tc>
                <w:tcPr>
                  <w:tcW w:w="1139" w:type="dxa"/>
                  <w:tcBorders>
                    <w:bottom w:val="single" w:color="auto" w:sz="8" w:space="0"/>
                  </w:tcBorders>
                  <w:noWrap/>
                  <w:vAlign w:val="center"/>
                </w:tcPr>
                <w:p>
                  <w:pPr>
                    <w:widowControl/>
                    <w:adjustRightInd w:val="0"/>
                    <w:snapToGrid w:val="0"/>
                    <w:jc w:val="center"/>
                    <w:rPr>
                      <w:b/>
                      <w:color w:val="0000FF"/>
                      <w:kern w:val="0"/>
                      <w:szCs w:val="21"/>
                    </w:rPr>
                  </w:pPr>
                  <w:r>
                    <w:rPr>
                      <w:rFonts w:hint="eastAsia"/>
                      <w:b/>
                      <w:color w:val="0000FF"/>
                      <w:kern w:val="0"/>
                      <w:szCs w:val="21"/>
                    </w:rPr>
                    <w:t>污染因子</w:t>
                  </w:r>
                </w:p>
              </w:tc>
              <w:tc>
                <w:tcPr>
                  <w:tcW w:w="2410" w:type="dxa"/>
                  <w:tcBorders>
                    <w:bottom w:val="single" w:color="auto" w:sz="8" w:space="0"/>
                  </w:tcBorders>
                  <w:vAlign w:val="center"/>
                </w:tcPr>
                <w:p>
                  <w:pPr>
                    <w:adjustRightInd w:val="0"/>
                    <w:snapToGrid w:val="0"/>
                    <w:jc w:val="center"/>
                    <w:rPr>
                      <w:b/>
                      <w:color w:val="0000FF"/>
                      <w:kern w:val="0"/>
                      <w:szCs w:val="21"/>
                    </w:rPr>
                  </w:pPr>
                  <w:r>
                    <w:rPr>
                      <w:b/>
                      <w:color w:val="0000FF"/>
                      <w:kern w:val="0"/>
                      <w:szCs w:val="21"/>
                    </w:rPr>
                    <w:t>措施内容</w:t>
                  </w:r>
                </w:p>
              </w:tc>
              <w:tc>
                <w:tcPr>
                  <w:tcW w:w="2359" w:type="dxa"/>
                  <w:tcBorders>
                    <w:bottom w:val="single" w:color="auto" w:sz="8" w:space="0"/>
                  </w:tcBorders>
                  <w:vAlign w:val="center"/>
                </w:tcPr>
                <w:p>
                  <w:pPr>
                    <w:widowControl/>
                    <w:adjustRightInd w:val="0"/>
                    <w:snapToGrid w:val="0"/>
                    <w:jc w:val="center"/>
                    <w:rPr>
                      <w:b/>
                      <w:color w:val="0000FF"/>
                      <w:kern w:val="0"/>
                      <w:szCs w:val="21"/>
                    </w:rPr>
                  </w:pPr>
                  <w:r>
                    <w:rPr>
                      <w:b/>
                      <w:color w:val="0000FF"/>
                      <w:kern w:val="0"/>
                      <w:szCs w:val="21"/>
                    </w:rPr>
                    <w:t>预期效果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restart"/>
                  <w:vAlign w:val="center"/>
                </w:tcPr>
                <w:p>
                  <w:pPr>
                    <w:widowControl/>
                    <w:adjustRightInd w:val="0"/>
                    <w:snapToGrid w:val="0"/>
                    <w:jc w:val="center"/>
                    <w:rPr>
                      <w:b/>
                      <w:color w:val="0000FF"/>
                      <w:kern w:val="0"/>
                      <w:szCs w:val="21"/>
                    </w:rPr>
                  </w:pPr>
                  <w:r>
                    <w:rPr>
                      <w:color w:val="0000FF"/>
                      <w:kern w:val="0"/>
                      <w:szCs w:val="21"/>
                    </w:rPr>
                    <w:t>废气治理</w:t>
                  </w:r>
                </w:p>
              </w:tc>
              <w:tc>
                <w:tcPr>
                  <w:tcW w:w="1554" w:type="dxa"/>
                  <w:tcBorders>
                    <w:bottom w:val="single" w:color="auto" w:sz="8" w:space="0"/>
                  </w:tcBorders>
                  <w:noWrap/>
                  <w:vAlign w:val="center"/>
                </w:tcPr>
                <w:p>
                  <w:pPr>
                    <w:jc w:val="center"/>
                    <w:rPr>
                      <w:rFonts w:hint="eastAsia"/>
                      <w:color w:val="0000FF"/>
                    </w:rPr>
                  </w:pPr>
                  <w:r>
                    <w:rPr>
                      <w:rFonts w:hint="eastAsia"/>
                      <w:color w:val="0000FF"/>
                    </w:rPr>
                    <w:t>筛分粉尘</w:t>
                  </w:r>
                </w:p>
              </w:tc>
              <w:tc>
                <w:tcPr>
                  <w:tcW w:w="1139" w:type="dxa"/>
                  <w:tcBorders>
                    <w:bottom w:val="single" w:color="auto" w:sz="8" w:space="0"/>
                  </w:tcBorders>
                  <w:noWrap/>
                  <w:vAlign w:val="center"/>
                </w:tcPr>
                <w:p>
                  <w:pPr>
                    <w:jc w:val="center"/>
                    <w:rPr>
                      <w:rFonts w:hint="eastAsia"/>
                      <w:color w:val="0000FF"/>
                    </w:rPr>
                  </w:pPr>
                  <w:r>
                    <w:rPr>
                      <w:rFonts w:hint="eastAsia"/>
                      <w:color w:val="0000FF"/>
                    </w:rPr>
                    <w:t>颗粒物</w:t>
                  </w:r>
                </w:p>
              </w:tc>
              <w:tc>
                <w:tcPr>
                  <w:tcW w:w="2410" w:type="dxa"/>
                  <w:tcBorders>
                    <w:bottom w:val="single" w:color="auto" w:sz="8" w:space="0"/>
                  </w:tcBorders>
                  <w:vAlign w:val="center"/>
                </w:tcPr>
                <w:p>
                  <w:pPr>
                    <w:jc w:val="center"/>
                    <w:rPr>
                      <w:rFonts w:hint="eastAsia"/>
                      <w:color w:val="0000FF"/>
                      <w:szCs w:val="21"/>
                    </w:rPr>
                  </w:pPr>
                  <w:r>
                    <w:rPr>
                      <w:rFonts w:hint="eastAsia"/>
                      <w:color w:val="0000FF"/>
                      <w:szCs w:val="21"/>
                    </w:rPr>
                    <w:t>1套布袋除尘器+15m高排气筒</w:t>
                  </w:r>
                </w:p>
              </w:tc>
              <w:tc>
                <w:tcPr>
                  <w:tcW w:w="2359" w:type="dxa"/>
                  <w:vMerge w:val="restart"/>
                  <w:vAlign w:val="center"/>
                </w:tcPr>
                <w:p>
                  <w:pPr>
                    <w:widowControl/>
                    <w:tabs>
                      <w:tab w:val="left" w:pos="318"/>
                      <w:tab w:val="center" w:pos="1071"/>
                    </w:tabs>
                    <w:adjustRightInd w:val="0"/>
                    <w:snapToGrid w:val="0"/>
                    <w:jc w:val="left"/>
                    <w:rPr>
                      <w:rFonts w:hint="eastAsia"/>
                      <w:color w:val="0000FF"/>
                      <w:szCs w:val="21"/>
                    </w:rPr>
                  </w:pPr>
                  <w:r>
                    <w:rPr>
                      <w:color w:val="0000FF"/>
                      <w:sz w:val="24"/>
                    </w:rPr>
                    <w:t>《</w:t>
                  </w:r>
                  <w:r>
                    <w:rPr>
                      <w:rFonts w:hint="eastAsia"/>
                      <w:color w:val="0000FF"/>
                      <w:sz w:val="24"/>
                    </w:rPr>
                    <w:t>煤炭工业污染物排放标准</w:t>
                  </w:r>
                  <w:r>
                    <w:rPr>
                      <w:color w:val="0000FF"/>
                      <w:sz w:val="24"/>
                    </w:rPr>
                    <w:t>》（</w:t>
                  </w:r>
                  <w:r>
                    <w:rPr>
                      <w:rFonts w:hint="eastAsia"/>
                      <w:color w:val="0000FF"/>
                      <w:sz w:val="24"/>
                    </w:rPr>
                    <w:t>GB20426-2006</w:t>
                  </w:r>
                  <w:r>
                    <w:rPr>
                      <w:color w:val="0000FF"/>
                      <w:sz w:val="24"/>
                    </w:rPr>
                    <w:t>）</w:t>
                  </w:r>
                  <w:r>
                    <w:rPr>
                      <w:rFonts w:hint="eastAsia"/>
                      <w:color w:val="0000FF"/>
                      <w:sz w:val="24"/>
                    </w:rPr>
                    <w:t>中表4和表5排放限值要求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continue"/>
                  <w:vAlign w:val="center"/>
                </w:tcPr>
                <w:p>
                  <w:pPr>
                    <w:widowControl/>
                    <w:adjustRightInd w:val="0"/>
                    <w:snapToGrid w:val="0"/>
                    <w:jc w:val="center"/>
                    <w:rPr>
                      <w:color w:val="0000FF"/>
                      <w:kern w:val="0"/>
                      <w:szCs w:val="21"/>
                    </w:rPr>
                  </w:pPr>
                </w:p>
              </w:tc>
              <w:tc>
                <w:tcPr>
                  <w:tcW w:w="1554" w:type="dxa"/>
                  <w:tcBorders>
                    <w:bottom w:val="single" w:color="auto" w:sz="8" w:space="0"/>
                  </w:tcBorders>
                  <w:noWrap/>
                  <w:vAlign w:val="center"/>
                </w:tcPr>
                <w:p>
                  <w:pPr>
                    <w:jc w:val="center"/>
                    <w:rPr>
                      <w:rFonts w:hint="eastAsia"/>
                      <w:color w:val="0000FF"/>
                    </w:rPr>
                  </w:pPr>
                  <w:r>
                    <w:rPr>
                      <w:rFonts w:hint="eastAsia"/>
                      <w:color w:val="0000FF"/>
                    </w:rPr>
                    <w:t>堆场、装卸粉尘</w:t>
                  </w:r>
                </w:p>
              </w:tc>
              <w:tc>
                <w:tcPr>
                  <w:tcW w:w="1139" w:type="dxa"/>
                  <w:tcBorders>
                    <w:bottom w:val="single" w:color="auto" w:sz="8" w:space="0"/>
                  </w:tcBorders>
                  <w:noWrap/>
                  <w:vAlign w:val="center"/>
                </w:tcPr>
                <w:p>
                  <w:pPr>
                    <w:jc w:val="center"/>
                    <w:rPr>
                      <w:rFonts w:hint="eastAsia"/>
                      <w:color w:val="0000FF"/>
                    </w:rPr>
                  </w:pPr>
                  <w:r>
                    <w:rPr>
                      <w:rFonts w:hint="eastAsia"/>
                      <w:color w:val="0000FF"/>
                    </w:rPr>
                    <w:t>颗粒物</w:t>
                  </w:r>
                </w:p>
              </w:tc>
              <w:tc>
                <w:tcPr>
                  <w:tcW w:w="2410" w:type="dxa"/>
                  <w:tcBorders>
                    <w:bottom w:val="single" w:color="auto" w:sz="8" w:space="0"/>
                  </w:tcBorders>
                  <w:vAlign w:val="center"/>
                </w:tcPr>
                <w:p>
                  <w:pPr>
                    <w:jc w:val="center"/>
                    <w:rPr>
                      <w:rFonts w:hint="eastAsia"/>
                      <w:color w:val="0000FF"/>
                      <w:szCs w:val="21"/>
                    </w:rPr>
                  </w:pPr>
                  <w:r>
                    <w:rPr>
                      <w:rFonts w:hint="eastAsia"/>
                      <w:color w:val="0000FF"/>
                      <w:szCs w:val="21"/>
                    </w:rPr>
                    <w:t>封闭库房、1套喷淋装置</w:t>
                  </w:r>
                </w:p>
              </w:tc>
              <w:tc>
                <w:tcPr>
                  <w:tcW w:w="2359" w:type="dxa"/>
                  <w:vMerge w:val="continue"/>
                  <w:vAlign w:val="center"/>
                </w:tcPr>
                <w:p>
                  <w:pPr>
                    <w:widowControl/>
                    <w:adjustRightInd w:val="0"/>
                    <w:snapToGrid w:val="0"/>
                    <w:jc w:val="center"/>
                    <w:rPr>
                      <w:color w:val="0000FF"/>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continue"/>
                  <w:vAlign w:val="center"/>
                </w:tcPr>
                <w:p>
                  <w:pPr>
                    <w:widowControl/>
                    <w:adjustRightInd w:val="0"/>
                    <w:snapToGrid w:val="0"/>
                    <w:jc w:val="center"/>
                    <w:rPr>
                      <w:color w:val="0000FF"/>
                      <w:kern w:val="0"/>
                      <w:szCs w:val="21"/>
                    </w:rPr>
                  </w:pPr>
                </w:p>
              </w:tc>
              <w:tc>
                <w:tcPr>
                  <w:tcW w:w="1554" w:type="dxa"/>
                  <w:tcBorders>
                    <w:bottom w:val="single" w:color="auto" w:sz="8" w:space="0"/>
                  </w:tcBorders>
                  <w:noWrap/>
                  <w:vAlign w:val="center"/>
                </w:tcPr>
                <w:p>
                  <w:pPr>
                    <w:jc w:val="center"/>
                    <w:rPr>
                      <w:rFonts w:hint="eastAsia"/>
                      <w:color w:val="0000FF"/>
                    </w:rPr>
                  </w:pPr>
                  <w:r>
                    <w:rPr>
                      <w:rFonts w:hint="eastAsia"/>
                      <w:color w:val="0000FF"/>
                    </w:rPr>
                    <w:t>皮带输送粉尘</w:t>
                  </w:r>
                </w:p>
              </w:tc>
              <w:tc>
                <w:tcPr>
                  <w:tcW w:w="1139" w:type="dxa"/>
                  <w:tcBorders>
                    <w:bottom w:val="single" w:color="auto" w:sz="8" w:space="0"/>
                  </w:tcBorders>
                  <w:noWrap/>
                  <w:vAlign w:val="center"/>
                </w:tcPr>
                <w:p>
                  <w:pPr>
                    <w:jc w:val="center"/>
                    <w:rPr>
                      <w:rFonts w:hint="eastAsia"/>
                      <w:color w:val="0000FF"/>
                    </w:rPr>
                  </w:pPr>
                  <w:r>
                    <w:rPr>
                      <w:rFonts w:hint="eastAsia"/>
                      <w:color w:val="0000FF"/>
                    </w:rPr>
                    <w:t>颗粒物</w:t>
                  </w:r>
                </w:p>
              </w:tc>
              <w:tc>
                <w:tcPr>
                  <w:tcW w:w="2410" w:type="dxa"/>
                  <w:tcBorders>
                    <w:bottom w:val="single" w:color="auto" w:sz="8" w:space="0"/>
                  </w:tcBorders>
                  <w:vAlign w:val="center"/>
                </w:tcPr>
                <w:p>
                  <w:pPr>
                    <w:jc w:val="center"/>
                    <w:rPr>
                      <w:rFonts w:hint="eastAsia"/>
                      <w:color w:val="0000FF"/>
                      <w:szCs w:val="21"/>
                    </w:rPr>
                  </w:pPr>
                  <w:r>
                    <w:rPr>
                      <w:rFonts w:hint="eastAsia"/>
                      <w:color w:val="0000FF"/>
                      <w:szCs w:val="21"/>
                    </w:rPr>
                    <w:t>皮带封闭</w:t>
                  </w:r>
                </w:p>
              </w:tc>
              <w:tc>
                <w:tcPr>
                  <w:tcW w:w="2359" w:type="dxa"/>
                  <w:vMerge w:val="continue"/>
                  <w:vAlign w:val="center"/>
                </w:tcPr>
                <w:p>
                  <w:pPr>
                    <w:widowControl/>
                    <w:adjustRightInd w:val="0"/>
                    <w:snapToGrid w:val="0"/>
                    <w:jc w:val="center"/>
                    <w:rPr>
                      <w:color w:val="0000FF"/>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continue"/>
                  <w:vAlign w:val="center"/>
                </w:tcPr>
                <w:p>
                  <w:pPr>
                    <w:widowControl/>
                    <w:adjustRightInd w:val="0"/>
                    <w:snapToGrid w:val="0"/>
                    <w:jc w:val="center"/>
                    <w:rPr>
                      <w:color w:val="0000FF"/>
                      <w:kern w:val="0"/>
                      <w:szCs w:val="21"/>
                    </w:rPr>
                  </w:pPr>
                </w:p>
              </w:tc>
              <w:tc>
                <w:tcPr>
                  <w:tcW w:w="1554" w:type="dxa"/>
                  <w:tcBorders>
                    <w:bottom w:val="single" w:color="auto" w:sz="8" w:space="0"/>
                  </w:tcBorders>
                  <w:noWrap/>
                  <w:vAlign w:val="center"/>
                </w:tcPr>
                <w:p>
                  <w:pPr>
                    <w:jc w:val="center"/>
                    <w:rPr>
                      <w:rFonts w:hint="eastAsia"/>
                      <w:color w:val="0000FF"/>
                    </w:rPr>
                  </w:pPr>
                  <w:r>
                    <w:rPr>
                      <w:rFonts w:hint="eastAsia"/>
                      <w:color w:val="0000FF"/>
                    </w:rPr>
                    <w:t>汽车动力起尘</w:t>
                  </w:r>
                </w:p>
              </w:tc>
              <w:tc>
                <w:tcPr>
                  <w:tcW w:w="1139" w:type="dxa"/>
                  <w:tcBorders>
                    <w:bottom w:val="single" w:color="auto" w:sz="8" w:space="0"/>
                  </w:tcBorders>
                  <w:noWrap/>
                  <w:vAlign w:val="center"/>
                </w:tcPr>
                <w:p>
                  <w:pPr>
                    <w:jc w:val="center"/>
                    <w:rPr>
                      <w:rFonts w:hint="eastAsia"/>
                      <w:color w:val="0000FF"/>
                      <w:kern w:val="0"/>
                      <w:szCs w:val="21"/>
                    </w:rPr>
                  </w:pPr>
                  <w:r>
                    <w:rPr>
                      <w:rFonts w:hint="eastAsia"/>
                      <w:color w:val="0000FF"/>
                      <w:kern w:val="0"/>
                      <w:szCs w:val="21"/>
                    </w:rPr>
                    <w:t>颗粒物</w:t>
                  </w:r>
                </w:p>
              </w:tc>
              <w:tc>
                <w:tcPr>
                  <w:tcW w:w="2410" w:type="dxa"/>
                  <w:tcBorders>
                    <w:bottom w:val="single" w:color="auto" w:sz="8" w:space="0"/>
                  </w:tcBorders>
                  <w:vAlign w:val="center"/>
                </w:tcPr>
                <w:p>
                  <w:pPr>
                    <w:jc w:val="center"/>
                    <w:rPr>
                      <w:rFonts w:hint="eastAsia"/>
                      <w:color w:val="0000FF"/>
                    </w:rPr>
                  </w:pPr>
                  <w:r>
                    <w:rPr>
                      <w:rFonts w:hint="eastAsia"/>
                      <w:color w:val="0000FF"/>
                    </w:rPr>
                    <w:t>1台洒水车</w:t>
                  </w:r>
                </w:p>
              </w:tc>
              <w:tc>
                <w:tcPr>
                  <w:tcW w:w="2359" w:type="dxa"/>
                  <w:vMerge w:val="continue"/>
                  <w:tcBorders>
                    <w:bottom w:val="single" w:color="auto" w:sz="8" w:space="0"/>
                  </w:tcBorders>
                  <w:vAlign w:val="center"/>
                </w:tcPr>
                <w:p>
                  <w:pPr>
                    <w:widowControl/>
                    <w:adjustRightInd w:val="0"/>
                    <w:snapToGrid w:val="0"/>
                    <w:jc w:val="center"/>
                    <w:rPr>
                      <w:color w:val="0000FF"/>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43" w:type="dxa"/>
                  <w:vMerge w:val="restart"/>
                  <w:vAlign w:val="center"/>
                </w:tcPr>
                <w:p>
                  <w:pPr>
                    <w:widowControl/>
                    <w:adjustRightInd w:val="0"/>
                    <w:snapToGrid w:val="0"/>
                    <w:jc w:val="center"/>
                    <w:rPr>
                      <w:color w:val="0000FF"/>
                      <w:kern w:val="0"/>
                      <w:szCs w:val="21"/>
                    </w:rPr>
                  </w:pPr>
                  <w:r>
                    <w:rPr>
                      <w:color w:val="0000FF"/>
                      <w:kern w:val="0"/>
                      <w:szCs w:val="21"/>
                    </w:rPr>
                    <w:t>废水治理</w:t>
                  </w:r>
                </w:p>
              </w:tc>
              <w:tc>
                <w:tcPr>
                  <w:tcW w:w="1554" w:type="dxa"/>
                  <w:noWrap/>
                  <w:vAlign w:val="center"/>
                </w:tcPr>
                <w:p>
                  <w:pPr>
                    <w:adjustRightInd w:val="0"/>
                    <w:snapToGrid w:val="0"/>
                    <w:jc w:val="center"/>
                    <w:rPr>
                      <w:color w:val="0000FF"/>
                      <w:kern w:val="0"/>
                      <w:szCs w:val="21"/>
                    </w:rPr>
                  </w:pPr>
                  <w:r>
                    <w:rPr>
                      <w:color w:val="0000FF"/>
                      <w:kern w:val="0"/>
                      <w:szCs w:val="21"/>
                    </w:rPr>
                    <w:t>生活污水</w:t>
                  </w:r>
                </w:p>
              </w:tc>
              <w:tc>
                <w:tcPr>
                  <w:tcW w:w="1139" w:type="dxa"/>
                  <w:noWrap/>
                  <w:vAlign w:val="center"/>
                </w:tcPr>
                <w:p>
                  <w:pPr>
                    <w:jc w:val="center"/>
                    <w:rPr>
                      <w:color w:val="0000FF"/>
                      <w:szCs w:val="21"/>
                    </w:rPr>
                  </w:pPr>
                  <w:r>
                    <w:rPr>
                      <w:color w:val="0000FF"/>
                      <w:szCs w:val="21"/>
                    </w:rPr>
                    <w:t>CODcr</w:t>
                  </w:r>
                  <w:r>
                    <w:rPr>
                      <w:rFonts w:hint="eastAsia"/>
                      <w:color w:val="0000FF"/>
                      <w:szCs w:val="21"/>
                    </w:rPr>
                    <w:t>、</w:t>
                  </w:r>
                  <w:r>
                    <w:rPr>
                      <w:color w:val="0000FF"/>
                      <w:szCs w:val="21"/>
                    </w:rPr>
                    <w:t>NH</w:t>
                  </w:r>
                  <w:r>
                    <w:rPr>
                      <w:color w:val="0000FF"/>
                      <w:szCs w:val="21"/>
                      <w:vertAlign w:val="subscript"/>
                    </w:rPr>
                    <w:t>3</w:t>
                  </w:r>
                  <w:r>
                    <w:rPr>
                      <w:color w:val="0000FF"/>
                      <w:szCs w:val="21"/>
                    </w:rPr>
                    <w:t xml:space="preserve">-N </w:t>
                  </w:r>
                </w:p>
              </w:tc>
              <w:tc>
                <w:tcPr>
                  <w:tcW w:w="2410" w:type="dxa"/>
                  <w:vAlign w:val="center"/>
                </w:tcPr>
                <w:p>
                  <w:pPr>
                    <w:adjustRightInd w:val="0"/>
                    <w:snapToGrid w:val="0"/>
                    <w:jc w:val="center"/>
                    <w:rPr>
                      <w:rFonts w:hint="eastAsia"/>
                      <w:color w:val="0000FF"/>
                      <w:kern w:val="0"/>
                      <w:szCs w:val="21"/>
                    </w:rPr>
                  </w:pPr>
                  <w:r>
                    <w:rPr>
                      <w:rFonts w:hint="eastAsia"/>
                      <w:color w:val="0000FF"/>
                      <w:kern w:val="0"/>
                      <w:szCs w:val="21"/>
                    </w:rPr>
                    <w:t>依托庆阳亿信肥业有限公司1座化粪池</w:t>
                  </w:r>
                </w:p>
              </w:tc>
              <w:tc>
                <w:tcPr>
                  <w:tcW w:w="2359" w:type="dxa"/>
                  <w:vMerge w:val="restart"/>
                  <w:vAlign w:val="center"/>
                </w:tcPr>
                <w:p>
                  <w:pPr>
                    <w:adjustRightInd w:val="0"/>
                    <w:snapToGrid w:val="0"/>
                    <w:jc w:val="center"/>
                    <w:rPr>
                      <w:color w:val="FF0000"/>
                      <w:kern w:val="0"/>
                      <w:szCs w:val="21"/>
                    </w:rPr>
                  </w:pPr>
                  <w:r>
                    <w:rPr>
                      <w:rFonts w:hint="eastAsia"/>
                      <w:color w:val="0000FF"/>
                      <w:szCs w:val="21"/>
                    </w:rPr>
                    <w:t>对外界环境影响较小</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743" w:type="dxa"/>
                  <w:vMerge w:val="continue"/>
                  <w:vAlign w:val="center"/>
                </w:tcPr>
                <w:p>
                  <w:pPr>
                    <w:widowControl/>
                    <w:adjustRightInd w:val="0"/>
                    <w:snapToGrid w:val="0"/>
                    <w:jc w:val="center"/>
                    <w:rPr>
                      <w:color w:val="0000FF"/>
                      <w:kern w:val="0"/>
                      <w:szCs w:val="21"/>
                    </w:rPr>
                  </w:pPr>
                </w:p>
              </w:tc>
              <w:tc>
                <w:tcPr>
                  <w:tcW w:w="1554" w:type="dxa"/>
                  <w:noWrap/>
                  <w:vAlign w:val="center"/>
                </w:tcPr>
                <w:p>
                  <w:pPr>
                    <w:tabs>
                      <w:tab w:val="left" w:pos="554"/>
                    </w:tabs>
                    <w:adjustRightInd w:val="0"/>
                    <w:snapToGrid w:val="0"/>
                    <w:ind w:firstLine="210" w:firstLineChars="100"/>
                    <w:jc w:val="left"/>
                    <w:rPr>
                      <w:rFonts w:hint="eastAsia"/>
                      <w:color w:val="0000FF"/>
                      <w:kern w:val="0"/>
                      <w:szCs w:val="21"/>
                    </w:rPr>
                  </w:pPr>
                  <w:r>
                    <w:rPr>
                      <w:rFonts w:hint="eastAsia"/>
                      <w:color w:val="0000FF"/>
                      <w:kern w:val="0"/>
                      <w:szCs w:val="21"/>
                    </w:rPr>
                    <w:t>洗车废水</w:t>
                  </w:r>
                </w:p>
              </w:tc>
              <w:tc>
                <w:tcPr>
                  <w:tcW w:w="1139" w:type="dxa"/>
                  <w:noWrap/>
                  <w:vAlign w:val="center"/>
                </w:tcPr>
                <w:p>
                  <w:pPr>
                    <w:jc w:val="center"/>
                    <w:rPr>
                      <w:rFonts w:hint="eastAsia"/>
                      <w:color w:val="0000FF"/>
                      <w:szCs w:val="21"/>
                    </w:rPr>
                  </w:pPr>
                  <w:r>
                    <w:rPr>
                      <w:rFonts w:hint="eastAsia"/>
                      <w:color w:val="0000FF"/>
                      <w:szCs w:val="21"/>
                    </w:rPr>
                    <w:t>SS</w:t>
                  </w:r>
                </w:p>
              </w:tc>
              <w:tc>
                <w:tcPr>
                  <w:tcW w:w="2410" w:type="dxa"/>
                  <w:vAlign w:val="center"/>
                </w:tcPr>
                <w:p>
                  <w:pPr>
                    <w:adjustRightInd w:val="0"/>
                    <w:snapToGrid w:val="0"/>
                    <w:jc w:val="center"/>
                    <w:rPr>
                      <w:rFonts w:hint="eastAsia"/>
                      <w:color w:val="0000FF"/>
                      <w:kern w:val="0"/>
                      <w:szCs w:val="21"/>
                    </w:rPr>
                  </w:pPr>
                  <w:r>
                    <w:rPr>
                      <w:rFonts w:hint="eastAsia"/>
                      <w:color w:val="0000FF"/>
                      <w:kern w:val="0"/>
                      <w:szCs w:val="21"/>
                    </w:rPr>
                    <w:t>利用施工期1座10m</w:t>
                  </w:r>
                  <w:r>
                    <w:rPr>
                      <w:rFonts w:hint="eastAsia"/>
                      <w:color w:val="0000FF"/>
                      <w:kern w:val="0"/>
                      <w:szCs w:val="21"/>
                      <w:vertAlign w:val="superscript"/>
                    </w:rPr>
                    <w:t>3</w:t>
                  </w:r>
                  <w:r>
                    <w:rPr>
                      <w:rFonts w:hint="eastAsia"/>
                      <w:color w:val="0000FF"/>
                      <w:kern w:val="0"/>
                      <w:szCs w:val="21"/>
                    </w:rPr>
                    <w:t>防渗沉淀池</w:t>
                  </w:r>
                </w:p>
              </w:tc>
              <w:tc>
                <w:tcPr>
                  <w:tcW w:w="2359" w:type="dxa"/>
                  <w:vMerge w:val="continue"/>
                  <w:vAlign w:val="center"/>
                </w:tcPr>
                <w:p>
                  <w:pPr>
                    <w:adjustRightInd w:val="0"/>
                    <w:snapToGrid w:val="0"/>
                    <w:jc w:val="center"/>
                    <w:rPr>
                      <w:rFonts w:hint="eastAsia"/>
                      <w:color w:val="FF0000"/>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743" w:type="dxa"/>
                  <w:vAlign w:val="center"/>
                </w:tcPr>
                <w:p>
                  <w:pPr>
                    <w:widowControl/>
                    <w:adjustRightInd w:val="0"/>
                    <w:snapToGrid w:val="0"/>
                    <w:jc w:val="center"/>
                    <w:rPr>
                      <w:color w:val="0000FF"/>
                      <w:kern w:val="0"/>
                      <w:szCs w:val="21"/>
                    </w:rPr>
                  </w:pPr>
                  <w:r>
                    <w:rPr>
                      <w:color w:val="0000FF"/>
                      <w:kern w:val="0"/>
                      <w:szCs w:val="21"/>
                    </w:rPr>
                    <w:t>噪声治理</w:t>
                  </w:r>
                </w:p>
              </w:tc>
              <w:tc>
                <w:tcPr>
                  <w:tcW w:w="1554" w:type="dxa"/>
                  <w:noWrap/>
                  <w:vAlign w:val="center"/>
                </w:tcPr>
                <w:p>
                  <w:pPr>
                    <w:widowControl/>
                    <w:adjustRightInd w:val="0"/>
                    <w:snapToGrid w:val="0"/>
                    <w:jc w:val="center"/>
                    <w:rPr>
                      <w:color w:val="0000FF"/>
                      <w:kern w:val="0"/>
                      <w:szCs w:val="21"/>
                    </w:rPr>
                  </w:pPr>
                  <w:r>
                    <w:rPr>
                      <w:color w:val="0000FF"/>
                      <w:szCs w:val="21"/>
                    </w:rPr>
                    <w:t>隔声、减振等</w:t>
                  </w:r>
                </w:p>
              </w:tc>
              <w:tc>
                <w:tcPr>
                  <w:tcW w:w="1139" w:type="dxa"/>
                  <w:noWrap/>
                  <w:vAlign w:val="center"/>
                </w:tcPr>
                <w:p>
                  <w:pPr>
                    <w:jc w:val="center"/>
                    <w:rPr>
                      <w:color w:val="0000FF"/>
                      <w:szCs w:val="21"/>
                    </w:rPr>
                  </w:pPr>
                  <w:r>
                    <w:rPr>
                      <w:rFonts w:hint="eastAsia"/>
                      <w:color w:val="0000FF"/>
                      <w:szCs w:val="21"/>
                    </w:rPr>
                    <w:t>等效A声级</w:t>
                  </w:r>
                </w:p>
              </w:tc>
              <w:tc>
                <w:tcPr>
                  <w:tcW w:w="2410" w:type="dxa"/>
                  <w:vAlign w:val="center"/>
                </w:tcPr>
                <w:p>
                  <w:pPr>
                    <w:widowControl/>
                    <w:adjustRightInd w:val="0"/>
                    <w:snapToGrid w:val="0"/>
                    <w:jc w:val="center"/>
                    <w:rPr>
                      <w:color w:val="0000FF"/>
                      <w:szCs w:val="21"/>
                    </w:rPr>
                  </w:pPr>
                  <w:r>
                    <w:rPr>
                      <w:rFonts w:hint="eastAsia"/>
                      <w:color w:val="0000FF"/>
                      <w:szCs w:val="21"/>
                    </w:rPr>
                    <w:t>基础减震、建筑隔声、加强设备维护保养</w:t>
                  </w:r>
                </w:p>
              </w:tc>
              <w:tc>
                <w:tcPr>
                  <w:tcW w:w="2359" w:type="dxa"/>
                  <w:vAlign w:val="center"/>
                </w:tcPr>
                <w:p>
                  <w:pPr>
                    <w:widowControl/>
                    <w:adjustRightInd w:val="0"/>
                    <w:snapToGrid w:val="0"/>
                    <w:jc w:val="center"/>
                    <w:rPr>
                      <w:color w:val="0000FF"/>
                      <w:kern w:val="0"/>
                      <w:szCs w:val="21"/>
                    </w:rPr>
                  </w:pPr>
                  <w:r>
                    <w:rPr>
                      <w:color w:val="0000FF"/>
                      <w:szCs w:val="21"/>
                    </w:rPr>
                    <w:t>厂界噪声达到《工业企业厂界环境噪声排放标准》（GB12348-2008）</w:t>
                  </w:r>
                  <w:r>
                    <w:rPr>
                      <w:rFonts w:hint="eastAsia"/>
                      <w:color w:val="0000FF"/>
                      <w:szCs w:val="21"/>
                    </w:rPr>
                    <w:t>3</w:t>
                  </w:r>
                  <w:r>
                    <w:rPr>
                      <w:color w:val="0000FF"/>
                      <w:szCs w:val="21"/>
                    </w:rPr>
                    <w:t>类区要求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43" w:type="dxa"/>
                  <w:vMerge w:val="restart"/>
                  <w:vAlign w:val="center"/>
                </w:tcPr>
                <w:p>
                  <w:pPr>
                    <w:widowControl/>
                    <w:adjustRightInd w:val="0"/>
                    <w:snapToGrid w:val="0"/>
                    <w:jc w:val="center"/>
                    <w:rPr>
                      <w:color w:val="0000FF"/>
                      <w:kern w:val="0"/>
                      <w:szCs w:val="21"/>
                    </w:rPr>
                  </w:pPr>
                  <w:r>
                    <w:rPr>
                      <w:color w:val="0000FF"/>
                      <w:kern w:val="0"/>
                      <w:szCs w:val="21"/>
                    </w:rPr>
                    <w:t>固废治理</w:t>
                  </w:r>
                </w:p>
              </w:tc>
              <w:tc>
                <w:tcPr>
                  <w:tcW w:w="1554" w:type="dxa"/>
                  <w:noWrap/>
                  <w:vAlign w:val="center"/>
                </w:tcPr>
                <w:p>
                  <w:pPr>
                    <w:pStyle w:val="105"/>
                    <w:spacing w:line="240" w:lineRule="atLeast"/>
                    <w:ind w:left="-31"/>
                    <w:rPr>
                      <w:color w:val="0000FF"/>
                      <w:sz w:val="21"/>
                      <w:szCs w:val="21"/>
                    </w:rPr>
                  </w:pPr>
                  <w:r>
                    <w:rPr>
                      <w:rFonts w:hint="eastAsia"/>
                      <w:color w:val="0000FF"/>
                      <w:sz w:val="21"/>
                      <w:szCs w:val="21"/>
                    </w:rPr>
                    <w:t>生活垃圾</w:t>
                  </w:r>
                </w:p>
              </w:tc>
              <w:tc>
                <w:tcPr>
                  <w:tcW w:w="1139" w:type="dxa"/>
                  <w:vAlign w:val="center"/>
                </w:tcPr>
                <w:p>
                  <w:pPr>
                    <w:widowControl/>
                    <w:adjustRightInd w:val="0"/>
                    <w:snapToGrid w:val="0"/>
                    <w:jc w:val="center"/>
                    <w:rPr>
                      <w:color w:val="0000FF"/>
                      <w:kern w:val="0"/>
                      <w:szCs w:val="21"/>
                    </w:rPr>
                  </w:pPr>
                  <w:r>
                    <w:rPr>
                      <w:rFonts w:hint="eastAsia"/>
                      <w:color w:val="0000FF"/>
                      <w:kern w:val="0"/>
                      <w:szCs w:val="21"/>
                    </w:rPr>
                    <w:t>--</w:t>
                  </w:r>
                </w:p>
              </w:tc>
              <w:tc>
                <w:tcPr>
                  <w:tcW w:w="2410" w:type="dxa"/>
                  <w:vAlign w:val="center"/>
                </w:tcPr>
                <w:p>
                  <w:pPr>
                    <w:adjustRightInd w:val="0"/>
                    <w:snapToGrid w:val="0"/>
                    <w:jc w:val="center"/>
                    <w:rPr>
                      <w:color w:val="0000FF"/>
                      <w:kern w:val="0"/>
                      <w:szCs w:val="21"/>
                    </w:rPr>
                  </w:pPr>
                  <w:r>
                    <w:rPr>
                      <w:rFonts w:hint="eastAsia"/>
                      <w:color w:val="0000FF"/>
                      <w:szCs w:val="21"/>
                    </w:rPr>
                    <w:t>垃圾桶收集，及时清运至当地环卫部门制定地点</w:t>
                  </w:r>
                </w:p>
              </w:tc>
              <w:tc>
                <w:tcPr>
                  <w:tcW w:w="2359" w:type="dxa"/>
                  <w:vMerge w:val="restart"/>
                  <w:noWrap/>
                  <w:vAlign w:val="center"/>
                </w:tcPr>
                <w:p>
                  <w:pPr>
                    <w:widowControl/>
                    <w:adjustRightInd w:val="0"/>
                    <w:snapToGrid w:val="0"/>
                    <w:jc w:val="center"/>
                    <w:rPr>
                      <w:color w:val="0000FF"/>
                      <w:kern w:val="0"/>
                      <w:szCs w:val="21"/>
                    </w:rPr>
                  </w:pPr>
                  <w:r>
                    <w:rPr>
                      <w:rFonts w:hint="eastAsia"/>
                      <w:color w:val="0000FF"/>
                      <w:kern w:val="0"/>
                      <w:szCs w:val="21"/>
                    </w:rPr>
                    <w:t>对外界环境影响较小</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43" w:type="dxa"/>
                  <w:vMerge w:val="continue"/>
                  <w:vAlign w:val="center"/>
                </w:tcPr>
                <w:p>
                  <w:pPr>
                    <w:widowControl/>
                    <w:adjustRightInd w:val="0"/>
                    <w:snapToGrid w:val="0"/>
                    <w:jc w:val="center"/>
                    <w:rPr>
                      <w:color w:val="FF0000"/>
                      <w:kern w:val="0"/>
                      <w:szCs w:val="21"/>
                    </w:rPr>
                  </w:pPr>
                </w:p>
              </w:tc>
              <w:tc>
                <w:tcPr>
                  <w:tcW w:w="1554" w:type="dxa"/>
                  <w:noWrap/>
                  <w:vAlign w:val="center"/>
                </w:tcPr>
                <w:p>
                  <w:pPr>
                    <w:pStyle w:val="105"/>
                    <w:spacing w:line="240" w:lineRule="atLeast"/>
                    <w:ind w:left="-31"/>
                    <w:rPr>
                      <w:rFonts w:hint="eastAsia"/>
                      <w:color w:val="0000FF"/>
                      <w:sz w:val="21"/>
                      <w:szCs w:val="21"/>
                    </w:rPr>
                  </w:pPr>
                  <w:r>
                    <w:rPr>
                      <w:rFonts w:hint="eastAsia"/>
                      <w:color w:val="0000FF"/>
                      <w:sz w:val="21"/>
                      <w:szCs w:val="21"/>
                    </w:rPr>
                    <w:t>沉淀池煤泥</w:t>
                  </w:r>
                </w:p>
              </w:tc>
              <w:tc>
                <w:tcPr>
                  <w:tcW w:w="1139" w:type="dxa"/>
                  <w:vAlign w:val="center"/>
                </w:tcPr>
                <w:p>
                  <w:pPr>
                    <w:widowControl/>
                    <w:adjustRightInd w:val="0"/>
                    <w:snapToGrid w:val="0"/>
                    <w:jc w:val="center"/>
                    <w:rPr>
                      <w:rFonts w:hint="eastAsia"/>
                      <w:color w:val="0000FF"/>
                      <w:kern w:val="0"/>
                      <w:szCs w:val="21"/>
                    </w:rPr>
                  </w:pPr>
                  <w:r>
                    <w:rPr>
                      <w:rFonts w:hint="eastAsia"/>
                      <w:color w:val="0000FF"/>
                      <w:kern w:val="0"/>
                      <w:szCs w:val="21"/>
                    </w:rPr>
                    <w:t>--</w:t>
                  </w:r>
                </w:p>
              </w:tc>
              <w:tc>
                <w:tcPr>
                  <w:tcW w:w="2410" w:type="dxa"/>
                  <w:vAlign w:val="center"/>
                </w:tcPr>
                <w:p>
                  <w:pPr>
                    <w:adjustRightInd w:val="0"/>
                    <w:snapToGrid w:val="0"/>
                    <w:jc w:val="center"/>
                    <w:rPr>
                      <w:rFonts w:hint="eastAsia"/>
                      <w:color w:val="0000FF"/>
                      <w:szCs w:val="21"/>
                    </w:rPr>
                  </w:pPr>
                  <w:r>
                    <w:rPr>
                      <w:rFonts w:hint="eastAsia"/>
                      <w:color w:val="0000FF"/>
                      <w:szCs w:val="21"/>
                    </w:rPr>
                    <w:t>收集桶收集，定期清掏外售</w:t>
                  </w:r>
                </w:p>
              </w:tc>
              <w:tc>
                <w:tcPr>
                  <w:tcW w:w="2359" w:type="dxa"/>
                  <w:vMerge w:val="continue"/>
                  <w:noWrap/>
                  <w:vAlign w:val="center"/>
                </w:tcPr>
                <w:p>
                  <w:pPr>
                    <w:widowControl/>
                    <w:adjustRightInd w:val="0"/>
                    <w:snapToGrid w:val="0"/>
                    <w:jc w:val="center"/>
                    <w:rPr>
                      <w:rFonts w:hint="eastAsia"/>
                      <w:color w:val="FF0000"/>
                      <w:kern w:val="0"/>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43" w:type="dxa"/>
                  <w:vMerge w:val="continue"/>
                  <w:vAlign w:val="center"/>
                </w:tcPr>
                <w:p>
                  <w:pPr>
                    <w:widowControl/>
                    <w:adjustRightInd w:val="0"/>
                    <w:snapToGrid w:val="0"/>
                    <w:jc w:val="center"/>
                    <w:rPr>
                      <w:color w:val="FF0000"/>
                      <w:kern w:val="0"/>
                      <w:szCs w:val="21"/>
                    </w:rPr>
                  </w:pPr>
                </w:p>
              </w:tc>
              <w:tc>
                <w:tcPr>
                  <w:tcW w:w="1554" w:type="dxa"/>
                  <w:noWrap/>
                  <w:vAlign w:val="center"/>
                </w:tcPr>
                <w:p>
                  <w:pPr>
                    <w:pStyle w:val="105"/>
                    <w:spacing w:line="240" w:lineRule="atLeast"/>
                    <w:ind w:left="-31"/>
                    <w:rPr>
                      <w:rFonts w:hint="eastAsia"/>
                      <w:color w:val="0000FF"/>
                      <w:sz w:val="21"/>
                      <w:szCs w:val="21"/>
                    </w:rPr>
                  </w:pPr>
                  <w:r>
                    <w:rPr>
                      <w:rFonts w:hint="eastAsia"/>
                      <w:color w:val="0000FF"/>
                      <w:sz w:val="21"/>
                      <w:szCs w:val="21"/>
                    </w:rPr>
                    <w:t>布袋收集灰</w:t>
                  </w:r>
                </w:p>
              </w:tc>
              <w:tc>
                <w:tcPr>
                  <w:tcW w:w="1139" w:type="dxa"/>
                  <w:vAlign w:val="center"/>
                </w:tcPr>
                <w:p>
                  <w:pPr>
                    <w:widowControl/>
                    <w:adjustRightInd w:val="0"/>
                    <w:snapToGrid w:val="0"/>
                    <w:jc w:val="center"/>
                    <w:rPr>
                      <w:color w:val="0000FF"/>
                      <w:kern w:val="0"/>
                      <w:szCs w:val="21"/>
                    </w:rPr>
                  </w:pPr>
                  <w:r>
                    <w:rPr>
                      <w:rFonts w:hint="eastAsia"/>
                      <w:color w:val="0000FF"/>
                      <w:kern w:val="0"/>
                      <w:szCs w:val="21"/>
                    </w:rPr>
                    <w:t>--</w:t>
                  </w:r>
                </w:p>
              </w:tc>
              <w:tc>
                <w:tcPr>
                  <w:tcW w:w="2410" w:type="dxa"/>
                  <w:vAlign w:val="center"/>
                </w:tcPr>
                <w:p>
                  <w:pPr>
                    <w:adjustRightInd w:val="0"/>
                    <w:snapToGrid w:val="0"/>
                    <w:jc w:val="center"/>
                    <w:rPr>
                      <w:rFonts w:hint="eastAsia"/>
                      <w:color w:val="0000FF"/>
                      <w:kern w:val="0"/>
                      <w:szCs w:val="21"/>
                    </w:rPr>
                  </w:pPr>
                  <w:r>
                    <w:rPr>
                      <w:rFonts w:hint="eastAsia"/>
                      <w:color w:val="0000FF"/>
                      <w:kern w:val="0"/>
                      <w:szCs w:val="21"/>
                    </w:rPr>
                    <w:t>收集桶收集后外售</w:t>
                  </w:r>
                </w:p>
              </w:tc>
              <w:tc>
                <w:tcPr>
                  <w:tcW w:w="2359" w:type="dxa"/>
                  <w:vMerge w:val="continue"/>
                  <w:noWrap/>
                  <w:vAlign w:val="center"/>
                </w:tcPr>
                <w:p>
                  <w:pPr>
                    <w:widowControl/>
                    <w:adjustRightInd w:val="0"/>
                    <w:snapToGrid w:val="0"/>
                    <w:jc w:val="center"/>
                    <w:rPr>
                      <w:color w:val="FF0000"/>
                      <w:kern w:val="0"/>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2297" w:type="dxa"/>
                  <w:gridSpan w:val="2"/>
                  <w:vAlign w:val="center"/>
                </w:tcPr>
                <w:p>
                  <w:pPr>
                    <w:pStyle w:val="105"/>
                    <w:spacing w:line="240" w:lineRule="atLeast"/>
                    <w:ind w:left="-31"/>
                    <w:rPr>
                      <w:rFonts w:hint="eastAsia"/>
                      <w:color w:val="0000FF"/>
                      <w:sz w:val="21"/>
                      <w:szCs w:val="21"/>
                    </w:rPr>
                  </w:pPr>
                  <w:r>
                    <w:rPr>
                      <w:rFonts w:hint="eastAsia"/>
                      <w:color w:val="0000FF"/>
                      <w:sz w:val="21"/>
                      <w:szCs w:val="21"/>
                    </w:rPr>
                    <w:t>厂区防渗</w:t>
                  </w:r>
                </w:p>
              </w:tc>
              <w:tc>
                <w:tcPr>
                  <w:tcW w:w="1139" w:type="dxa"/>
                  <w:vAlign w:val="center"/>
                </w:tcPr>
                <w:p>
                  <w:pPr>
                    <w:widowControl/>
                    <w:adjustRightInd w:val="0"/>
                    <w:snapToGrid w:val="0"/>
                    <w:jc w:val="center"/>
                    <w:rPr>
                      <w:rFonts w:hint="eastAsia"/>
                      <w:color w:val="0000FF"/>
                      <w:kern w:val="0"/>
                      <w:szCs w:val="21"/>
                    </w:rPr>
                  </w:pPr>
                  <w:r>
                    <w:rPr>
                      <w:rFonts w:hint="eastAsia"/>
                      <w:color w:val="0000FF"/>
                      <w:kern w:val="0"/>
                      <w:szCs w:val="21"/>
                    </w:rPr>
                    <w:t>--</w:t>
                  </w:r>
                </w:p>
              </w:tc>
              <w:tc>
                <w:tcPr>
                  <w:tcW w:w="2410" w:type="dxa"/>
                  <w:vAlign w:val="center"/>
                </w:tcPr>
                <w:p>
                  <w:pPr>
                    <w:adjustRightInd w:val="0"/>
                    <w:snapToGrid w:val="0"/>
                    <w:jc w:val="center"/>
                    <w:rPr>
                      <w:rFonts w:hint="eastAsia"/>
                      <w:color w:val="0000FF"/>
                      <w:kern w:val="0"/>
                      <w:szCs w:val="21"/>
                    </w:rPr>
                  </w:pPr>
                  <w:r>
                    <w:rPr>
                      <w:rFonts w:hint="eastAsia"/>
                      <w:color w:val="0000FF"/>
                      <w:kern w:val="0"/>
                      <w:szCs w:val="21"/>
                    </w:rPr>
                    <w:t>储煤库重点防渗，沉淀池一般防渗，其他区域简单防渗</w:t>
                  </w:r>
                </w:p>
              </w:tc>
              <w:tc>
                <w:tcPr>
                  <w:tcW w:w="2359" w:type="dxa"/>
                  <w:noWrap/>
                  <w:vAlign w:val="center"/>
                </w:tcPr>
                <w:p>
                  <w:pPr>
                    <w:widowControl/>
                    <w:adjustRightInd w:val="0"/>
                    <w:snapToGrid w:val="0"/>
                    <w:jc w:val="center"/>
                    <w:rPr>
                      <w:color w:val="0000FF"/>
                      <w:kern w:val="0"/>
                      <w:szCs w:val="21"/>
                    </w:rPr>
                  </w:pPr>
                  <w:r>
                    <w:rPr>
                      <w:rFonts w:hint="eastAsia"/>
                      <w:color w:val="0000FF"/>
                      <w:kern w:val="0"/>
                      <w:szCs w:val="21"/>
                    </w:rPr>
                    <w:t>对外界环境影响较小</w:t>
                  </w:r>
                </w:p>
              </w:tc>
            </w:tr>
          </w:tbl>
          <w:p>
            <w:pPr>
              <w:pStyle w:val="104"/>
              <w:spacing w:line="360" w:lineRule="auto"/>
              <w:ind w:firstLine="570" w:firstLineChars="0"/>
              <w:rPr>
                <w:szCs w:val="28"/>
              </w:rPr>
            </w:pPr>
          </w:p>
        </w:tc>
      </w:tr>
    </w:tbl>
    <w:p>
      <w:pPr>
        <w:rPr>
          <w:rFonts w:eastAsia="黑体"/>
          <w:sz w:val="32"/>
        </w:rPr>
        <w:sectPr>
          <w:footerReference r:id="rId5" w:type="default"/>
          <w:pgSz w:w="11907" w:h="16840"/>
          <w:pgMar w:top="1440" w:right="1797" w:bottom="1440" w:left="1797" w:header="851" w:footer="992" w:gutter="0"/>
          <w:cols w:space="720" w:num="1"/>
          <w:docGrid w:type="linesAndChars" w:linePitch="312" w:charSpace="0"/>
        </w:sectPr>
      </w:pPr>
    </w:p>
    <w:p>
      <w:pPr>
        <w:pStyle w:val="15"/>
        <w:adjustRightInd w:val="0"/>
        <w:snapToGrid w:val="0"/>
        <w:spacing w:after="0" w:line="360" w:lineRule="auto"/>
        <w:ind w:left="0" w:leftChars="0"/>
        <w:outlineLvl w:val="0"/>
        <w:rPr>
          <w:rFonts w:eastAsia="黑体"/>
          <w:sz w:val="30"/>
          <w:szCs w:val="30"/>
        </w:rPr>
      </w:pPr>
      <w:r>
        <w:rPr>
          <w:rFonts w:eastAsia="黑体"/>
          <w:sz w:val="30"/>
          <w:szCs w:val="30"/>
        </w:rPr>
        <w:t>结论与建议</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gridCol w:w="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2" w:hRule="atLeast"/>
        </w:trPr>
        <w:tc>
          <w:tcPr>
            <w:tcW w:w="8838" w:type="dxa"/>
            <w:gridSpan w:val="2"/>
          </w:tcPr>
          <w:p>
            <w:pPr>
              <w:pStyle w:val="94"/>
              <w:spacing w:beforeLines="50" w:line="360" w:lineRule="auto"/>
              <w:ind w:firstLine="0" w:firstLineChars="0"/>
              <w:rPr>
                <w:b/>
                <w:spacing w:val="0"/>
                <w:sz w:val="24"/>
                <w:szCs w:val="28"/>
              </w:rPr>
            </w:pPr>
            <w:r>
              <w:rPr>
                <w:b/>
                <w:spacing w:val="0"/>
                <w:sz w:val="24"/>
                <w:szCs w:val="28"/>
              </w:rPr>
              <w:t>1、结论</w:t>
            </w:r>
          </w:p>
          <w:p>
            <w:pPr>
              <w:spacing w:line="360" w:lineRule="auto"/>
              <w:ind w:firstLine="480" w:firstLineChars="200"/>
              <w:rPr>
                <w:rFonts w:hint="eastAsia"/>
                <w:kern w:val="0"/>
                <w:sz w:val="24"/>
                <w:szCs w:val="28"/>
              </w:rPr>
            </w:pPr>
            <w:r>
              <w:rPr>
                <w:kern w:val="0"/>
                <w:sz w:val="24"/>
                <w:szCs w:val="28"/>
              </w:rPr>
              <w:t>1.1</w:t>
            </w:r>
            <w:r>
              <w:rPr>
                <w:rFonts w:hint="eastAsia"/>
                <w:kern w:val="0"/>
                <w:sz w:val="24"/>
                <w:szCs w:val="28"/>
              </w:rPr>
              <w:t>项目概况</w:t>
            </w:r>
          </w:p>
          <w:p>
            <w:pPr>
              <w:spacing w:line="360" w:lineRule="auto"/>
              <w:ind w:firstLine="480" w:firstLineChars="200"/>
              <w:rPr>
                <w:rFonts w:hint="eastAsia"/>
                <w:sz w:val="24"/>
                <w:szCs w:val="22"/>
              </w:rPr>
            </w:pPr>
            <w:r>
              <w:rPr>
                <w:rFonts w:hint="eastAsia"/>
                <w:sz w:val="24"/>
                <w:szCs w:val="22"/>
              </w:rPr>
              <w:t>建设单位在详细调研的基础上，利用</w:t>
            </w:r>
            <w:r>
              <w:rPr>
                <w:rFonts w:hint="eastAsia"/>
                <w:sz w:val="24"/>
                <w:szCs w:val="28"/>
                <w:highlight w:val="yellow"/>
              </w:rPr>
              <w:t>庆阳亿信肥业有限公司</w:t>
            </w:r>
            <w:r>
              <w:rPr>
                <w:rFonts w:hint="eastAsia"/>
                <w:sz w:val="24"/>
                <w:szCs w:val="28"/>
              </w:rPr>
              <w:t>的一跨厂房和预留用地建设两座储煤库，项目全厂煤炭年流通量30万吨。</w:t>
            </w:r>
            <w:r>
              <w:rPr>
                <w:rFonts w:hint="eastAsia"/>
                <w:sz w:val="24"/>
                <w:szCs w:val="22"/>
              </w:rPr>
              <w:t>项目距离较近的新庄煤矿即将开始出煤，利用地理交通优势，建设储煤场具有优越的地理资源条件。</w:t>
            </w:r>
          </w:p>
          <w:p>
            <w:pPr>
              <w:spacing w:line="360" w:lineRule="auto"/>
              <w:ind w:firstLine="480" w:firstLineChars="200"/>
              <w:rPr>
                <w:kern w:val="0"/>
                <w:sz w:val="24"/>
                <w:szCs w:val="28"/>
              </w:rPr>
            </w:pPr>
            <w:r>
              <w:rPr>
                <w:kern w:val="0"/>
                <w:sz w:val="24"/>
                <w:szCs w:val="28"/>
              </w:rPr>
              <w:t>1.2项目区域环境现状评价</w:t>
            </w:r>
          </w:p>
          <w:p>
            <w:pPr>
              <w:spacing w:line="360" w:lineRule="auto"/>
              <w:ind w:firstLine="480" w:firstLineChars="200"/>
              <w:rPr>
                <w:kern w:val="0"/>
                <w:sz w:val="24"/>
                <w:szCs w:val="28"/>
              </w:rPr>
            </w:pPr>
            <w:r>
              <w:rPr>
                <w:kern w:val="0"/>
                <w:sz w:val="24"/>
                <w:szCs w:val="28"/>
              </w:rPr>
              <w:t>（1）大气环境</w:t>
            </w:r>
          </w:p>
          <w:p>
            <w:pPr>
              <w:spacing w:line="360" w:lineRule="auto"/>
              <w:ind w:firstLine="480" w:firstLineChars="200"/>
              <w:jc w:val="left"/>
              <w:rPr>
                <w:rFonts w:hint="eastAsia"/>
                <w:sz w:val="24"/>
              </w:rPr>
            </w:pPr>
            <w:r>
              <w:rPr>
                <w:rFonts w:hint="eastAsia"/>
                <w:sz w:val="24"/>
                <w:szCs w:val="22"/>
              </w:rPr>
              <w:t>根据监测结果，SO</w:t>
            </w:r>
            <w:r>
              <w:rPr>
                <w:rFonts w:hint="eastAsia"/>
                <w:sz w:val="24"/>
                <w:szCs w:val="22"/>
                <w:vertAlign w:val="subscript"/>
              </w:rPr>
              <w:t>2</w:t>
            </w:r>
            <w:r>
              <w:rPr>
                <w:rFonts w:hint="eastAsia"/>
                <w:sz w:val="24"/>
                <w:szCs w:val="22"/>
              </w:rPr>
              <w:t>、NO</w:t>
            </w:r>
            <w:r>
              <w:rPr>
                <w:rFonts w:hint="eastAsia"/>
                <w:sz w:val="24"/>
                <w:szCs w:val="22"/>
                <w:vertAlign w:val="subscript"/>
              </w:rPr>
              <w:t>2</w:t>
            </w:r>
            <w:r>
              <w:rPr>
                <w:rFonts w:hint="eastAsia"/>
                <w:sz w:val="24"/>
                <w:szCs w:val="22"/>
              </w:rPr>
              <w:t>、CO、O</w:t>
            </w:r>
            <w:r>
              <w:rPr>
                <w:rFonts w:hint="eastAsia"/>
                <w:sz w:val="24"/>
                <w:szCs w:val="22"/>
                <w:vertAlign w:val="subscript"/>
              </w:rPr>
              <w:t>3</w:t>
            </w:r>
            <w:r>
              <w:rPr>
                <w:rFonts w:hint="eastAsia"/>
                <w:sz w:val="24"/>
                <w:szCs w:val="22"/>
              </w:rPr>
              <w:t>的月平均浓度值符合《环境空气质量标准》(GB3095-2012)二级标准；PM</w:t>
            </w:r>
            <w:r>
              <w:rPr>
                <w:rFonts w:hint="eastAsia"/>
                <w:sz w:val="24"/>
                <w:szCs w:val="22"/>
                <w:vertAlign w:val="subscript"/>
              </w:rPr>
              <w:t>10</w:t>
            </w:r>
            <w:r>
              <w:rPr>
                <w:rFonts w:hint="eastAsia"/>
                <w:sz w:val="24"/>
                <w:szCs w:val="22"/>
              </w:rPr>
              <w:t>、PM</w:t>
            </w:r>
            <w:r>
              <w:rPr>
                <w:rFonts w:hint="eastAsia"/>
                <w:sz w:val="24"/>
                <w:szCs w:val="22"/>
                <w:vertAlign w:val="subscript"/>
              </w:rPr>
              <w:t>2.5</w:t>
            </w:r>
            <w:r>
              <w:rPr>
                <w:rFonts w:hint="eastAsia"/>
                <w:sz w:val="24"/>
                <w:szCs w:val="22"/>
              </w:rPr>
              <w:t>的月平均浓度超标，超标原因是北方天气4月份风沙较大所致</w:t>
            </w:r>
            <w:r>
              <w:rPr>
                <w:rFonts w:hint="eastAsia"/>
                <w:sz w:val="24"/>
              </w:rPr>
              <w:t>。</w:t>
            </w:r>
          </w:p>
          <w:p>
            <w:pPr>
              <w:spacing w:line="360" w:lineRule="auto"/>
              <w:ind w:firstLine="480" w:firstLineChars="200"/>
              <w:rPr>
                <w:rFonts w:hint="eastAsia"/>
                <w:kern w:val="0"/>
                <w:sz w:val="24"/>
                <w:szCs w:val="28"/>
              </w:rPr>
            </w:pPr>
            <w:r>
              <w:rPr>
                <w:kern w:val="0"/>
                <w:sz w:val="24"/>
                <w:szCs w:val="28"/>
              </w:rPr>
              <w:t>（2）</w:t>
            </w:r>
            <w:r>
              <w:rPr>
                <w:rFonts w:hint="eastAsia"/>
                <w:kern w:val="0"/>
                <w:sz w:val="24"/>
                <w:szCs w:val="28"/>
              </w:rPr>
              <w:t>地表水环境</w:t>
            </w:r>
          </w:p>
          <w:p>
            <w:pPr>
              <w:spacing w:line="360" w:lineRule="auto"/>
              <w:ind w:firstLine="480" w:firstLineChars="200"/>
              <w:jc w:val="left"/>
              <w:rPr>
                <w:rFonts w:hint="eastAsia"/>
                <w:sz w:val="24"/>
              </w:rPr>
            </w:pPr>
            <w:r>
              <w:rPr>
                <w:rFonts w:hint="eastAsia"/>
                <w:sz w:val="24"/>
              </w:rPr>
              <w:t>由监测结果可知，项目区域地表水各监测因子均满足《地表水环境质量标准》（GB3838-2002）中Ⅲ类标准要求。项目所在地泾河流域地表水环境质量现状。</w:t>
            </w:r>
          </w:p>
          <w:p>
            <w:pPr>
              <w:spacing w:line="360" w:lineRule="auto"/>
              <w:ind w:firstLine="480" w:firstLineChars="200"/>
              <w:jc w:val="left"/>
              <w:rPr>
                <w:rFonts w:hint="eastAsia"/>
                <w:sz w:val="24"/>
              </w:rPr>
            </w:pPr>
            <w:r>
              <w:rPr>
                <w:rFonts w:hint="eastAsia"/>
                <w:sz w:val="24"/>
              </w:rPr>
              <w:t>（3）地下水环境</w:t>
            </w:r>
          </w:p>
          <w:p>
            <w:pPr>
              <w:spacing w:line="360" w:lineRule="auto"/>
              <w:ind w:firstLine="480" w:firstLineChars="200"/>
              <w:jc w:val="left"/>
              <w:rPr>
                <w:rFonts w:hint="eastAsia"/>
                <w:sz w:val="24"/>
              </w:rPr>
            </w:pPr>
            <w:r>
              <w:rPr>
                <w:rFonts w:hint="eastAsia"/>
                <w:sz w:val="24"/>
              </w:rPr>
              <w:t>由监测结果可知，项目区1#地下水监测井中总硬度因地质原因出现了超标，其他监测因子监测值均能达到《地下水环境质量标准》（GB/T14848-2017）中Ⅲ类标准限值，项目区地下水环境质量总体现状较好。</w:t>
            </w:r>
          </w:p>
          <w:p>
            <w:pPr>
              <w:spacing w:line="360" w:lineRule="auto"/>
              <w:ind w:firstLine="480" w:firstLineChars="200"/>
              <w:jc w:val="left"/>
              <w:rPr>
                <w:rFonts w:hint="eastAsia"/>
                <w:sz w:val="24"/>
              </w:rPr>
            </w:pPr>
            <w:r>
              <w:rPr>
                <w:rFonts w:hint="eastAsia"/>
                <w:sz w:val="24"/>
              </w:rPr>
              <w:t>（4）声环境质量</w:t>
            </w:r>
          </w:p>
          <w:p>
            <w:pPr>
              <w:spacing w:line="360" w:lineRule="auto"/>
              <w:ind w:firstLine="480" w:firstLineChars="200"/>
              <w:jc w:val="left"/>
              <w:rPr>
                <w:rFonts w:hint="eastAsia"/>
                <w:sz w:val="24"/>
              </w:rPr>
            </w:pPr>
            <w:r>
              <w:rPr>
                <w:rFonts w:hint="eastAsia"/>
                <w:sz w:val="24"/>
              </w:rPr>
              <w:t>本项目昼间和夜间噪声均满足《声环境质量标准》（GB 3096-2008）中3类标准要求，因此，项目所在区域内声环境质量状况良好。</w:t>
            </w:r>
          </w:p>
          <w:p>
            <w:pPr>
              <w:spacing w:line="360" w:lineRule="auto"/>
              <w:ind w:firstLine="480" w:firstLineChars="200"/>
              <w:rPr>
                <w:rFonts w:hint="eastAsia"/>
                <w:kern w:val="0"/>
                <w:sz w:val="24"/>
                <w:szCs w:val="28"/>
              </w:rPr>
            </w:pPr>
            <w:r>
              <w:rPr>
                <w:kern w:val="0"/>
                <w:sz w:val="24"/>
                <w:szCs w:val="28"/>
              </w:rPr>
              <w:t>1.</w:t>
            </w:r>
            <w:r>
              <w:rPr>
                <w:rFonts w:hint="eastAsia"/>
                <w:kern w:val="0"/>
                <w:sz w:val="24"/>
                <w:szCs w:val="28"/>
              </w:rPr>
              <w:t>3运营期环境影响</w:t>
            </w:r>
          </w:p>
          <w:p>
            <w:pPr>
              <w:spacing w:line="360" w:lineRule="auto"/>
              <w:ind w:firstLine="480" w:firstLineChars="200"/>
              <w:rPr>
                <w:kern w:val="0"/>
                <w:sz w:val="24"/>
                <w:szCs w:val="28"/>
              </w:rPr>
            </w:pPr>
            <w:r>
              <w:rPr>
                <w:kern w:val="0"/>
                <w:sz w:val="24"/>
                <w:szCs w:val="28"/>
              </w:rPr>
              <w:t>该项目营运后对环境的影响主要有废气、噪声和固体废物污染。</w:t>
            </w:r>
          </w:p>
          <w:p>
            <w:pPr>
              <w:pStyle w:val="104"/>
              <w:spacing w:line="360" w:lineRule="auto"/>
              <w:ind w:firstLine="240" w:firstLineChars="100"/>
              <w:rPr>
                <w:rFonts w:eastAsia="宋体"/>
                <w:spacing w:val="0"/>
                <w:sz w:val="24"/>
                <w:szCs w:val="28"/>
              </w:rPr>
            </w:pPr>
            <w:r>
              <w:rPr>
                <w:rFonts w:hint="eastAsia" w:eastAsia="宋体"/>
                <w:spacing w:val="0"/>
                <w:sz w:val="24"/>
                <w:szCs w:val="28"/>
              </w:rPr>
              <w:t>（1）</w:t>
            </w:r>
            <w:r>
              <w:rPr>
                <w:rFonts w:eastAsia="宋体"/>
                <w:spacing w:val="0"/>
                <w:sz w:val="24"/>
                <w:szCs w:val="28"/>
              </w:rPr>
              <w:t>废气</w:t>
            </w:r>
          </w:p>
          <w:p>
            <w:pPr>
              <w:pStyle w:val="104"/>
              <w:spacing w:line="360" w:lineRule="auto"/>
              <w:ind w:firstLine="480"/>
              <w:rPr>
                <w:rFonts w:eastAsia="宋体"/>
                <w:spacing w:val="0"/>
                <w:sz w:val="24"/>
                <w:szCs w:val="28"/>
              </w:rPr>
            </w:pPr>
            <w:r>
              <w:rPr>
                <w:rFonts w:eastAsia="宋体"/>
                <w:spacing w:val="0"/>
                <w:sz w:val="24"/>
                <w:szCs w:val="28"/>
              </w:rPr>
              <w:t>本项目运营期间主要有</w:t>
            </w:r>
            <w:r>
              <w:rPr>
                <w:rFonts w:hint="eastAsia" w:eastAsia="宋体"/>
                <w:spacing w:val="0"/>
                <w:sz w:val="24"/>
                <w:szCs w:val="28"/>
              </w:rPr>
              <w:t>项目产生废气主要有煤炭堆存、装卸过程中产生的粉尘；物料皮带运输、转载产尘；筛分生产作业产生的煤尘；运输车辆进出厂扬尘；运输车辆汽车尾气。</w:t>
            </w:r>
          </w:p>
          <w:p>
            <w:pPr>
              <w:spacing w:line="360" w:lineRule="auto"/>
              <w:ind w:firstLine="480" w:firstLineChars="200"/>
              <w:jc w:val="left"/>
              <w:rPr>
                <w:sz w:val="24"/>
              </w:rPr>
            </w:pPr>
            <w:r>
              <w:rPr>
                <w:rFonts w:hint="eastAsia" w:ascii="宋体" w:hAnsi="宋体"/>
                <w:sz w:val="24"/>
                <w:szCs w:val="28"/>
              </w:rPr>
              <w:t>①</w:t>
            </w:r>
            <w:r>
              <w:rPr>
                <w:rFonts w:hint="eastAsia"/>
                <w:sz w:val="24"/>
              </w:rPr>
              <w:t>堆场及煤炭卸装产生的扬尘</w:t>
            </w:r>
          </w:p>
          <w:p>
            <w:pPr>
              <w:spacing w:line="360" w:lineRule="auto"/>
              <w:ind w:firstLine="480" w:firstLineChars="200"/>
              <w:rPr>
                <w:rFonts w:hint="eastAsia"/>
                <w:sz w:val="24"/>
                <w:szCs w:val="28"/>
              </w:rPr>
            </w:pPr>
            <w:r>
              <w:rPr>
                <w:rFonts w:hint="eastAsia"/>
                <w:sz w:val="24"/>
                <w:szCs w:val="28"/>
              </w:rPr>
              <w:t>煤炭进场堆放时，会随风产生一定的煤尘，</w:t>
            </w:r>
            <w:r>
              <w:rPr>
                <w:sz w:val="24"/>
                <w:szCs w:val="28"/>
              </w:rPr>
              <w:t>项目煤炭堆场采取封闭措施后，采取洒水降尘，降尘率可达</w:t>
            </w:r>
            <w:r>
              <w:rPr>
                <w:rFonts w:hint="eastAsia"/>
                <w:sz w:val="24"/>
                <w:szCs w:val="28"/>
              </w:rPr>
              <w:t>90</w:t>
            </w:r>
            <w:r>
              <w:rPr>
                <w:sz w:val="24"/>
                <w:szCs w:val="28"/>
              </w:rPr>
              <w:t>%，煤炭堆场煤尘排放量为</w:t>
            </w:r>
            <w:r>
              <w:rPr>
                <w:rFonts w:hint="eastAsia"/>
                <w:sz w:val="24"/>
                <w:szCs w:val="28"/>
              </w:rPr>
              <w:t>0.022</w:t>
            </w:r>
            <w:r>
              <w:rPr>
                <w:sz w:val="24"/>
                <w:szCs w:val="28"/>
              </w:rPr>
              <w:t>t/a。</w:t>
            </w:r>
          </w:p>
          <w:p>
            <w:pPr>
              <w:pStyle w:val="104"/>
              <w:spacing w:line="360" w:lineRule="auto"/>
              <w:ind w:firstLine="480"/>
              <w:rPr>
                <w:rFonts w:hint="eastAsia" w:eastAsia="宋体"/>
                <w:spacing w:val="0"/>
                <w:sz w:val="24"/>
                <w:szCs w:val="28"/>
              </w:rPr>
            </w:pPr>
            <w:r>
              <w:rPr>
                <w:rFonts w:hint="eastAsia" w:eastAsia="宋体"/>
                <w:spacing w:val="0"/>
                <w:sz w:val="24"/>
                <w:szCs w:val="28"/>
              </w:rPr>
              <w:t>煤炭装卸过程会产生一定煤尘，装卸过程初始起尘量为3.62t/a，</w:t>
            </w:r>
            <w:r>
              <w:rPr>
                <w:rFonts w:eastAsia="宋体"/>
                <w:spacing w:val="0"/>
                <w:sz w:val="24"/>
                <w:szCs w:val="28"/>
              </w:rPr>
              <w:t>项目</w:t>
            </w:r>
            <w:r>
              <w:rPr>
                <w:rFonts w:hint="eastAsia" w:eastAsia="宋体"/>
                <w:spacing w:val="0"/>
                <w:sz w:val="24"/>
                <w:szCs w:val="28"/>
              </w:rPr>
              <w:t>煤炭卸煤工作在库内进行，装煤工序在室外进行，装卸过程采取洒水降尘，则降尘效率可达80%，则通过采取以上措施后装卸粉尘量为0.72t/a。</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②</w:t>
            </w:r>
            <w:r>
              <w:rPr>
                <w:rFonts w:hint="eastAsia" w:eastAsia="宋体"/>
                <w:spacing w:val="0"/>
                <w:sz w:val="24"/>
                <w:szCs w:val="28"/>
              </w:rPr>
              <w:t>筛分粉尘</w:t>
            </w:r>
          </w:p>
          <w:p>
            <w:pPr>
              <w:spacing w:line="360" w:lineRule="auto"/>
              <w:ind w:firstLine="480" w:firstLineChars="200"/>
              <w:rPr>
                <w:sz w:val="24"/>
              </w:rPr>
            </w:pPr>
            <w:r>
              <w:rPr>
                <w:sz w:val="24"/>
              </w:rPr>
              <w:t>项目采用</w:t>
            </w:r>
            <w:r>
              <w:rPr>
                <w:rFonts w:hint="eastAsia"/>
                <w:sz w:val="24"/>
              </w:rPr>
              <w:t>分拣机</w:t>
            </w:r>
            <w:r>
              <w:rPr>
                <w:sz w:val="24"/>
              </w:rPr>
              <w:t>对煤炭进行筛分，</w:t>
            </w:r>
            <w:r>
              <w:rPr>
                <w:rFonts w:hint="eastAsia"/>
                <w:sz w:val="24"/>
              </w:rPr>
              <w:t>年筛分粉尘产生量为22.54t/a；本次环评要求</w:t>
            </w:r>
            <w:r>
              <w:rPr>
                <w:sz w:val="24"/>
              </w:rPr>
              <w:t>筛选加工设备设在轻钢结构全封闭的筛选区，将产尘设备集中布置，筛分设备及转载点要全封闭，留设吸尘口，通过吸尘管道、引风机（配备风机风量为</w:t>
            </w:r>
            <w:r>
              <w:rPr>
                <w:rFonts w:hint="eastAsia"/>
                <w:sz w:val="24"/>
              </w:rPr>
              <w:t>5</w:t>
            </w:r>
            <w:r>
              <w:rPr>
                <w:sz w:val="24"/>
              </w:rPr>
              <w:t>000m</w:t>
            </w:r>
            <w:r>
              <w:rPr>
                <w:sz w:val="24"/>
                <w:vertAlign w:val="superscript"/>
              </w:rPr>
              <w:t>3</w:t>
            </w:r>
            <w:r>
              <w:rPr>
                <w:sz w:val="24"/>
              </w:rPr>
              <w:t>/h）将逸散的煤尘引至1台布袋除尘器，处理后经一根不低于15m</w:t>
            </w:r>
            <w:r>
              <w:rPr>
                <w:rFonts w:hint="eastAsia"/>
                <w:sz w:val="24"/>
              </w:rPr>
              <w:t>高</w:t>
            </w:r>
            <w:r>
              <w:rPr>
                <w:sz w:val="24"/>
              </w:rPr>
              <w:t>排气筒排放，</w:t>
            </w:r>
            <w:r>
              <w:rPr>
                <w:rFonts w:hint="eastAsia"/>
                <w:sz w:val="24"/>
              </w:rPr>
              <w:t>布袋除尘器除尘效率按99%计，则</w:t>
            </w:r>
            <w:r>
              <w:rPr>
                <w:sz w:val="24"/>
              </w:rPr>
              <w:t>有组织煤尘排放量为</w:t>
            </w:r>
            <w:r>
              <w:rPr>
                <w:rFonts w:hint="eastAsia"/>
                <w:sz w:val="24"/>
              </w:rPr>
              <w:t>0.23</w:t>
            </w:r>
            <w:r>
              <w:rPr>
                <w:sz w:val="24"/>
              </w:rPr>
              <w:t>t/a，排放浓度为</w:t>
            </w:r>
            <w:r>
              <w:rPr>
                <w:rFonts w:hint="eastAsia"/>
                <w:sz w:val="24"/>
              </w:rPr>
              <w:t>6.39</w:t>
            </w:r>
            <w:r>
              <w:rPr>
                <w:sz w:val="24"/>
              </w:rPr>
              <w:t>mg/m</w:t>
            </w:r>
            <w:r>
              <w:rPr>
                <w:sz w:val="24"/>
                <w:vertAlign w:val="superscript"/>
              </w:rPr>
              <w:t>3</w:t>
            </w:r>
            <w:r>
              <w:rPr>
                <w:sz w:val="24"/>
              </w:rPr>
              <w:t>，满足《煤炭工业污染物排放标准》(GB 20426</w:t>
            </w:r>
            <w:r>
              <w:rPr>
                <w:rFonts w:hint="eastAsia"/>
                <w:sz w:val="24"/>
              </w:rPr>
              <w:t>-</w:t>
            </w:r>
            <w:r>
              <w:rPr>
                <w:sz w:val="24"/>
              </w:rPr>
              <w:t>2006)煤尘排放浓度≤80mg/m</w:t>
            </w:r>
            <w:r>
              <w:rPr>
                <w:sz w:val="24"/>
                <w:vertAlign w:val="superscript"/>
              </w:rPr>
              <w:t>3</w:t>
            </w:r>
            <w:r>
              <w:rPr>
                <w:sz w:val="24"/>
              </w:rPr>
              <w:t>或设备去除效率≥98%的要求。</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③</w:t>
            </w:r>
            <w:r>
              <w:rPr>
                <w:rFonts w:hint="eastAsia" w:eastAsia="宋体"/>
                <w:spacing w:val="0"/>
                <w:sz w:val="24"/>
                <w:szCs w:val="28"/>
              </w:rPr>
              <w:t>物料皮带输送粉尘</w:t>
            </w:r>
          </w:p>
          <w:p>
            <w:pPr>
              <w:pStyle w:val="104"/>
              <w:spacing w:line="360" w:lineRule="auto"/>
              <w:ind w:firstLine="480"/>
              <w:rPr>
                <w:rFonts w:hint="eastAsia" w:eastAsia="宋体"/>
                <w:spacing w:val="0"/>
                <w:sz w:val="24"/>
                <w:szCs w:val="28"/>
              </w:rPr>
            </w:pPr>
            <w:r>
              <w:rPr>
                <w:rFonts w:hint="eastAsia" w:eastAsia="宋体"/>
                <w:spacing w:val="0"/>
                <w:sz w:val="24"/>
                <w:szCs w:val="28"/>
              </w:rPr>
              <w:t>物料输送时产生的煤尘物料输送环节产尘量较大的主要是皮带输送、转载、跌落等处，输送皮带、转载点等采用轻钢结构全封闭，设计时尽量降低物料转载、跌落高度。采取上述措施后，抑尘效率可达到90%以上，产尘量为0.03t/a。</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④</w:t>
            </w:r>
            <w:r>
              <w:rPr>
                <w:rFonts w:hint="eastAsia" w:eastAsia="宋体"/>
                <w:spacing w:val="0"/>
                <w:sz w:val="24"/>
                <w:szCs w:val="28"/>
              </w:rPr>
              <w:t>运输车辆产生的运输扬尘</w:t>
            </w:r>
          </w:p>
          <w:p>
            <w:pPr>
              <w:pStyle w:val="104"/>
              <w:spacing w:line="360" w:lineRule="auto"/>
              <w:ind w:firstLine="504"/>
              <w:rPr>
                <w:rFonts w:eastAsia="宋体"/>
                <w:spacing w:val="0"/>
                <w:sz w:val="24"/>
                <w:szCs w:val="28"/>
              </w:rPr>
            </w:pPr>
            <w:r>
              <w:rPr>
                <w:rFonts w:eastAsia="宋体"/>
                <w:sz w:val="24"/>
              </w:rPr>
              <w:t>根据本项目的实际情况，要求对厂区内地面进行定时撒水，以减少道路扬尘。采取洒水抑尘等方式，汽车动力起尘量明显减少，项目汽车动力起尘量为</w:t>
            </w:r>
            <w:r>
              <w:rPr>
                <w:rFonts w:hint="eastAsia" w:eastAsia="宋体"/>
                <w:sz w:val="24"/>
              </w:rPr>
              <w:t>0.3</w:t>
            </w:r>
            <w:r>
              <w:rPr>
                <w:rFonts w:eastAsia="宋体"/>
                <w:sz w:val="24"/>
              </w:rPr>
              <w:t>t/a。</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⑤</w:t>
            </w:r>
            <w:r>
              <w:rPr>
                <w:rFonts w:hint="eastAsia" w:eastAsia="宋体"/>
                <w:spacing w:val="0"/>
                <w:sz w:val="24"/>
                <w:szCs w:val="28"/>
              </w:rPr>
              <w:t>汽车尾气</w:t>
            </w:r>
          </w:p>
          <w:p>
            <w:pPr>
              <w:pStyle w:val="104"/>
              <w:spacing w:line="360" w:lineRule="auto"/>
              <w:ind w:firstLine="480"/>
              <w:rPr>
                <w:rFonts w:hint="eastAsia" w:eastAsia="宋体"/>
                <w:spacing w:val="0"/>
                <w:sz w:val="24"/>
                <w:szCs w:val="28"/>
              </w:rPr>
            </w:pPr>
            <w:r>
              <w:rPr>
                <w:rFonts w:hint="eastAsia" w:eastAsia="宋体"/>
                <w:spacing w:val="0"/>
                <w:sz w:val="24"/>
                <w:szCs w:val="28"/>
              </w:rPr>
              <w:t>汽车尾气是本项目的大气污染之一，主要含有 NO</w:t>
            </w:r>
            <w:r>
              <w:rPr>
                <w:rFonts w:hint="eastAsia" w:eastAsia="宋体"/>
                <w:spacing w:val="0"/>
                <w:sz w:val="24"/>
                <w:szCs w:val="28"/>
                <w:vertAlign w:val="subscript"/>
              </w:rPr>
              <w:t>x</w:t>
            </w:r>
            <w:r>
              <w:rPr>
                <w:rFonts w:hint="eastAsia" w:eastAsia="宋体"/>
                <w:spacing w:val="0"/>
                <w:sz w:val="24"/>
                <w:szCs w:val="28"/>
              </w:rPr>
              <w:t>、CO、TSP 和未完全燃烧的碳氢化合物 HC。本项目车辆进出厂区较分散，汽车尾气属于无组织排放，经空气迅速扩散。</w:t>
            </w:r>
          </w:p>
          <w:p>
            <w:pPr>
              <w:pStyle w:val="104"/>
              <w:spacing w:line="360" w:lineRule="auto"/>
              <w:ind w:firstLine="480"/>
              <w:rPr>
                <w:rFonts w:hint="eastAsia" w:eastAsia="宋体"/>
                <w:spacing w:val="0"/>
                <w:sz w:val="24"/>
                <w:szCs w:val="28"/>
              </w:rPr>
            </w:pPr>
            <w:r>
              <w:rPr>
                <w:rFonts w:hint="eastAsia" w:eastAsia="宋体"/>
                <w:spacing w:val="0"/>
                <w:sz w:val="24"/>
                <w:szCs w:val="28"/>
              </w:rPr>
              <w:t>（2）废水</w:t>
            </w:r>
          </w:p>
          <w:p>
            <w:pPr>
              <w:pStyle w:val="104"/>
              <w:spacing w:line="360" w:lineRule="auto"/>
              <w:ind w:firstLine="480"/>
              <w:rPr>
                <w:rFonts w:hint="eastAsia" w:eastAsia="宋体"/>
                <w:spacing w:val="0"/>
                <w:sz w:val="24"/>
                <w:szCs w:val="28"/>
              </w:rPr>
            </w:pPr>
            <w:r>
              <w:rPr>
                <w:rFonts w:hint="eastAsia" w:eastAsia="宋体"/>
                <w:spacing w:val="0"/>
                <w:sz w:val="24"/>
                <w:szCs w:val="28"/>
              </w:rPr>
              <w:t>项目运营后产生的废水主要有生活废水和洗车废水。</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①</w:t>
            </w:r>
            <w:r>
              <w:rPr>
                <w:rFonts w:hint="eastAsia" w:eastAsia="宋体"/>
                <w:spacing w:val="0"/>
                <w:sz w:val="24"/>
                <w:szCs w:val="28"/>
              </w:rPr>
              <w:t>洗车废水</w:t>
            </w:r>
          </w:p>
          <w:p>
            <w:pPr>
              <w:pStyle w:val="104"/>
              <w:spacing w:line="360" w:lineRule="auto"/>
              <w:ind w:firstLine="480"/>
              <w:rPr>
                <w:rFonts w:hint="eastAsia" w:eastAsia="宋体"/>
                <w:spacing w:val="0"/>
                <w:sz w:val="24"/>
                <w:szCs w:val="28"/>
              </w:rPr>
            </w:pPr>
            <w:r>
              <w:rPr>
                <w:rFonts w:hint="eastAsia" w:eastAsia="宋体"/>
                <w:spacing w:val="0"/>
                <w:sz w:val="24"/>
                <w:szCs w:val="28"/>
              </w:rPr>
              <w:t>厂区设置洗车台，用于进出车辆的清洗。设置有沉淀水池（10m</w:t>
            </w:r>
            <w:r>
              <w:rPr>
                <w:rFonts w:hint="eastAsia" w:eastAsia="宋体"/>
                <w:spacing w:val="0"/>
                <w:sz w:val="24"/>
                <w:szCs w:val="28"/>
                <w:vertAlign w:val="superscript"/>
              </w:rPr>
              <w:t>3</w:t>
            </w:r>
            <w:r>
              <w:rPr>
                <w:rFonts w:hint="eastAsia" w:eastAsia="宋体"/>
                <w:spacing w:val="0"/>
                <w:sz w:val="24"/>
                <w:szCs w:val="28"/>
              </w:rPr>
              <w:t>），清洗水沉淀后循环使用不外排，项目运输车辆的清洗水量为1296m</w:t>
            </w:r>
            <w:r>
              <w:rPr>
                <w:rFonts w:hint="eastAsia" w:eastAsia="宋体"/>
                <w:spacing w:val="0"/>
                <w:sz w:val="24"/>
                <w:szCs w:val="28"/>
                <w:vertAlign w:val="superscript"/>
              </w:rPr>
              <w:t>3</w:t>
            </w:r>
            <w:r>
              <w:rPr>
                <w:rFonts w:hint="eastAsia" w:eastAsia="宋体"/>
                <w:spacing w:val="0"/>
                <w:sz w:val="24"/>
                <w:szCs w:val="28"/>
              </w:rPr>
              <w:t>/a。洗车废水中污染物主要为SS，SS浓度约为200mg/L，经沉淀后SS浓度为50mg/L，可回用于煤炭堆放场区和厂区道路泼洒抑尘。</w:t>
            </w:r>
          </w:p>
          <w:p>
            <w:pPr>
              <w:pStyle w:val="104"/>
              <w:spacing w:line="360" w:lineRule="auto"/>
              <w:ind w:firstLine="480"/>
              <w:rPr>
                <w:rFonts w:hint="eastAsia" w:eastAsia="宋体"/>
                <w:spacing w:val="0"/>
                <w:sz w:val="24"/>
                <w:szCs w:val="28"/>
              </w:rPr>
            </w:pPr>
            <w:r>
              <w:rPr>
                <w:rFonts w:hint="eastAsia" w:ascii="宋体" w:hAnsi="宋体" w:eastAsia="宋体"/>
                <w:spacing w:val="0"/>
                <w:sz w:val="24"/>
                <w:szCs w:val="28"/>
              </w:rPr>
              <w:t>②</w:t>
            </w:r>
            <w:r>
              <w:rPr>
                <w:rFonts w:hint="eastAsia" w:eastAsia="宋体"/>
                <w:spacing w:val="0"/>
                <w:sz w:val="24"/>
                <w:szCs w:val="28"/>
              </w:rPr>
              <w:t>生活废水</w:t>
            </w:r>
          </w:p>
          <w:p>
            <w:pPr>
              <w:pStyle w:val="104"/>
              <w:spacing w:line="360" w:lineRule="auto"/>
              <w:ind w:firstLine="480"/>
              <w:rPr>
                <w:rFonts w:hint="eastAsia" w:eastAsia="宋体"/>
                <w:spacing w:val="0"/>
                <w:sz w:val="24"/>
                <w:szCs w:val="28"/>
              </w:rPr>
            </w:pPr>
            <w:r>
              <w:rPr>
                <w:rFonts w:hint="eastAsia" w:eastAsia="宋体"/>
                <w:spacing w:val="0"/>
                <w:sz w:val="24"/>
                <w:szCs w:val="28"/>
              </w:rPr>
              <w:t>本项目新增2个工作人员，生活废水产生量为0.16 m</w:t>
            </w:r>
            <w:r>
              <w:rPr>
                <w:rFonts w:hint="eastAsia" w:eastAsia="宋体"/>
                <w:spacing w:val="0"/>
                <w:sz w:val="24"/>
                <w:szCs w:val="28"/>
                <w:vertAlign w:val="superscript"/>
              </w:rPr>
              <w:t>3</w:t>
            </w:r>
            <w:r>
              <w:rPr>
                <w:rFonts w:hint="eastAsia" w:eastAsia="宋体"/>
                <w:spacing w:val="0"/>
                <w:sz w:val="24"/>
                <w:szCs w:val="28"/>
              </w:rPr>
              <w:t>/d，48m</w:t>
            </w:r>
            <w:r>
              <w:rPr>
                <w:rFonts w:hint="eastAsia" w:eastAsia="宋体"/>
                <w:spacing w:val="0"/>
                <w:sz w:val="24"/>
                <w:szCs w:val="28"/>
                <w:vertAlign w:val="superscript"/>
              </w:rPr>
              <w:t>3</w:t>
            </w:r>
            <w:r>
              <w:rPr>
                <w:rFonts w:hint="eastAsia" w:eastAsia="宋体"/>
                <w:spacing w:val="0"/>
                <w:sz w:val="24"/>
                <w:szCs w:val="28"/>
              </w:rPr>
              <w:t>/a，生活废水依托庆阳亿信肥业有限公司化粪池进行处理后由庆阳亿信肥业有限公司统一采用吸污车拉至宁县污水处理厂进行处理。</w:t>
            </w:r>
          </w:p>
          <w:p>
            <w:pPr>
              <w:pStyle w:val="104"/>
              <w:spacing w:line="360" w:lineRule="auto"/>
              <w:ind w:firstLine="480"/>
              <w:rPr>
                <w:rFonts w:hint="eastAsia" w:eastAsia="宋体"/>
                <w:spacing w:val="0"/>
                <w:sz w:val="24"/>
                <w:szCs w:val="28"/>
              </w:rPr>
            </w:pPr>
            <w:r>
              <w:rPr>
                <w:rFonts w:hint="eastAsia" w:eastAsia="宋体"/>
                <w:spacing w:val="0"/>
                <w:sz w:val="24"/>
                <w:szCs w:val="28"/>
              </w:rPr>
              <w:t>（3）噪声</w:t>
            </w:r>
          </w:p>
          <w:p>
            <w:pPr>
              <w:tabs>
                <w:tab w:val="left" w:pos="1335"/>
              </w:tabs>
              <w:spacing w:line="360" w:lineRule="auto"/>
              <w:ind w:firstLine="480" w:firstLineChars="200"/>
              <w:rPr>
                <w:sz w:val="24"/>
                <w:szCs w:val="22"/>
              </w:rPr>
            </w:pPr>
            <w:r>
              <w:rPr>
                <w:sz w:val="24"/>
                <w:szCs w:val="22"/>
              </w:rPr>
              <w:t>本项目运营期的噪声污染源主要为生产</w:t>
            </w:r>
            <w:r>
              <w:rPr>
                <w:rFonts w:hint="eastAsia"/>
                <w:sz w:val="24"/>
                <w:szCs w:val="22"/>
              </w:rPr>
              <w:t>车间运转</w:t>
            </w:r>
            <w:r>
              <w:rPr>
                <w:sz w:val="24"/>
                <w:szCs w:val="22"/>
              </w:rPr>
              <w:t>设备产生的噪声，噪声源强在</w:t>
            </w:r>
            <w:r>
              <w:rPr>
                <w:rFonts w:hint="eastAsia"/>
                <w:sz w:val="24"/>
                <w:szCs w:val="22"/>
              </w:rPr>
              <w:t>80</w:t>
            </w:r>
            <w:r>
              <w:rPr>
                <w:sz w:val="24"/>
                <w:szCs w:val="22"/>
              </w:rPr>
              <w:t>~9</w:t>
            </w:r>
            <w:r>
              <w:rPr>
                <w:rFonts w:hint="eastAsia"/>
                <w:sz w:val="24"/>
                <w:szCs w:val="22"/>
              </w:rPr>
              <w:t>50</w:t>
            </w:r>
            <w:r>
              <w:rPr>
                <w:sz w:val="24"/>
                <w:szCs w:val="22"/>
              </w:rPr>
              <w:t>dB（A）之间。</w:t>
            </w:r>
          </w:p>
          <w:p>
            <w:pPr>
              <w:tabs>
                <w:tab w:val="left" w:pos="1335"/>
              </w:tabs>
              <w:spacing w:line="360" w:lineRule="auto"/>
              <w:ind w:firstLine="480" w:firstLineChars="200"/>
              <w:rPr>
                <w:sz w:val="24"/>
                <w:szCs w:val="22"/>
              </w:rPr>
            </w:pPr>
            <w:r>
              <w:rPr>
                <w:sz w:val="24"/>
                <w:szCs w:val="22"/>
              </w:rPr>
              <w:t>采取基础减震、建筑隔声、加强设备维护保养等措施后，产生的噪声</w:t>
            </w:r>
            <w:r>
              <w:rPr>
                <w:rFonts w:hint="eastAsia"/>
                <w:sz w:val="24"/>
                <w:szCs w:val="22"/>
              </w:rPr>
              <w:t>再</w:t>
            </w:r>
            <w:r>
              <w:rPr>
                <w:sz w:val="24"/>
                <w:szCs w:val="22"/>
              </w:rPr>
              <w:t>经距离衰减和厂界围墙阻隔、绿化吸收后，</w:t>
            </w:r>
            <w:r>
              <w:rPr>
                <w:rFonts w:hint="eastAsia"/>
                <w:sz w:val="24"/>
                <w:szCs w:val="22"/>
              </w:rPr>
              <w:t>厂界可达到</w:t>
            </w:r>
            <w:r>
              <w:rPr>
                <w:sz w:val="24"/>
                <w:szCs w:val="22"/>
              </w:rPr>
              <w:t>《工业企业厂界环境噪声排放标准》（GB12348-2008）中的</w:t>
            </w:r>
            <w:r>
              <w:rPr>
                <w:rFonts w:hint="eastAsia"/>
                <w:sz w:val="24"/>
                <w:szCs w:val="22"/>
              </w:rPr>
              <w:t>3</w:t>
            </w:r>
            <w:r>
              <w:rPr>
                <w:sz w:val="24"/>
                <w:szCs w:val="22"/>
              </w:rPr>
              <w:t>类标准限值的要求，</w:t>
            </w:r>
            <w:r>
              <w:rPr>
                <w:rFonts w:hint="eastAsia"/>
                <w:sz w:val="24"/>
                <w:szCs w:val="22"/>
              </w:rPr>
              <w:t>运营期噪声对厂界不会产生显著影响。</w:t>
            </w:r>
          </w:p>
          <w:p>
            <w:pPr>
              <w:pStyle w:val="104"/>
              <w:spacing w:line="360" w:lineRule="auto"/>
              <w:ind w:firstLine="0" w:firstLineChars="0"/>
              <w:rPr>
                <w:rFonts w:hint="eastAsia" w:eastAsia="宋体"/>
                <w:sz w:val="24"/>
              </w:rPr>
            </w:pPr>
            <w:r>
              <w:rPr>
                <w:rFonts w:eastAsia="宋体"/>
                <w:sz w:val="24"/>
              </w:rPr>
              <w:t>（</w:t>
            </w:r>
            <w:r>
              <w:rPr>
                <w:rFonts w:hint="eastAsia" w:eastAsia="宋体"/>
                <w:sz w:val="24"/>
              </w:rPr>
              <w:t>4</w:t>
            </w:r>
            <w:r>
              <w:rPr>
                <w:rFonts w:eastAsia="宋体"/>
                <w:sz w:val="24"/>
              </w:rPr>
              <w:t>）固体废物</w:t>
            </w:r>
          </w:p>
          <w:p>
            <w:pPr>
              <w:pStyle w:val="104"/>
              <w:spacing w:line="360" w:lineRule="auto"/>
              <w:ind w:firstLine="504"/>
              <w:rPr>
                <w:rFonts w:hint="eastAsia" w:eastAsia="宋体"/>
                <w:sz w:val="24"/>
              </w:rPr>
            </w:pPr>
            <w:r>
              <w:rPr>
                <w:rFonts w:hint="eastAsia" w:eastAsia="宋体"/>
                <w:sz w:val="24"/>
              </w:rPr>
              <w:t>主要为沉淀池煤泥、布袋除尘器收集灰和工作人员生活垃圾。</w:t>
            </w:r>
          </w:p>
          <w:p>
            <w:pPr>
              <w:pStyle w:val="104"/>
              <w:spacing w:line="360" w:lineRule="auto"/>
              <w:ind w:firstLine="504"/>
              <w:rPr>
                <w:rFonts w:eastAsia="宋体"/>
                <w:sz w:val="22"/>
              </w:rPr>
            </w:pPr>
            <w:r>
              <w:rPr>
                <w:rFonts w:eastAsia="宋体"/>
                <w:sz w:val="24"/>
                <w:szCs w:val="22"/>
              </w:rPr>
              <w:t>员工产生的生活垃圾量为</w:t>
            </w:r>
            <w:r>
              <w:rPr>
                <w:rFonts w:hint="eastAsia" w:eastAsia="宋体"/>
                <w:sz w:val="24"/>
                <w:szCs w:val="22"/>
              </w:rPr>
              <w:t>1.0</w:t>
            </w:r>
            <w:r>
              <w:rPr>
                <w:rFonts w:eastAsia="宋体"/>
                <w:sz w:val="24"/>
                <w:szCs w:val="22"/>
              </w:rPr>
              <w:t>kg/d（</w:t>
            </w:r>
            <w:r>
              <w:rPr>
                <w:rFonts w:hint="eastAsia" w:eastAsia="宋体"/>
                <w:sz w:val="24"/>
                <w:szCs w:val="22"/>
              </w:rPr>
              <w:t>0.3</w:t>
            </w:r>
            <w:r>
              <w:rPr>
                <w:rFonts w:eastAsia="宋体"/>
                <w:sz w:val="24"/>
                <w:szCs w:val="22"/>
              </w:rPr>
              <w:t>t/a），生活垃圾集中收集后统一运送到当地环卫部门指定的地点。</w:t>
            </w:r>
          </w:p>
          <w:p>
            <w:pPr>
              <w:pStyle w:val="104"/>
              <w:spacing w:line="360" w:lineRule="auto"/>
              <w:ind w:firstLine="504"/>
              <w:rPr>
                <w:rFonts w:hint="eastAsia" w:eastAsia="宋体"/>
                <w:sz w:val="24"/>
                <w:szCs w:val="22"/>
              </w:rPr>
            </w:pPr>
            <w:r>
              <w:rPr>
                <w:rFonts w:hint="eastAsia" w:eastAsia="宋体"/>
                <w:sz w:val="24"/>
                <w:szCs w:val="22"/>
              </w:rPr>
              <w:t>沉淀池煤泥产生量约3t/a，定期清掏后外售。</w:t>
            </w:r>
          </w:p>
          <w:p>
            <w:pPr>
              <w:tabs>
                <w:tab w:val="left" w:pos="351"/>
              </w:tabs>
              <w:adjustRightInd w:val="0"/>
              <w:snapToGrid w:val="0"/>
              <w:spacing w:line="360" w:lineRule="auto"/>
              <w:ind w:firstLine="480" w:firstLineChars="200"/>
              <w:rPr>
                <w:rFonts w:hint="eastAsia"/>
                <w:sz w:val="24"/>
              </w:rPr>
            </w:pPr>
            <w:r>
              <w:rPr>
                <w:rFonts w:hint="eastAsia"/>
                <w:sz w:val="24"/>
              </w:rPr>
              <w:t>布袋除尘器收集灰22.31t/a，收集后外售。</w:t>
            </w:r>
            <w:r>
              <w:rPr>
                <w:rFonts w:hint="eastAsia"/>
                <w:sz w:val="24"/>
              </w:rPr>
              <w:tab/>
            </w:r>
          </w:p>
          <w:p>
            <w:pPr>
              <w:spacing w:line="360" w:lineRule="auto"/>
              <w:ind w:firstLine="480" w:firstLineChars="200"/>
              <w:rPr>
                <w:kern w:val="0"/>
                <w:sz w:val="24"/>
                <w:szCs w:val="28"/>
              </w:rPr>
            </w:pPr>
            <w:r>
              <w:rPr>
                <w:kern w:val="0"/>
                <w:sz w:val="24"/>
                <w:szCs w:val="28"/>
              </w:rPr>
              <w:t>1.5通过治理措施及预期效果分析，建设项目治理措施可行。</w:t>
            </w:r>
          </w:p>
          <w:p>
            <w:pPr>
              <w:spacing w:line="360" w:lineRule="auto"/>
              <w:ind w:firstLine="482" w:firstLineChars="200"/>
              <w:rPr>
                <w:b/>
                <w:kern w:val="0"/>
                <w:sz w:val="24"/>
                <w:szCs w:val="28"/>
              </w:rPr>
            </w:pPr>
            <w:r>
              <w:rPr>
                <w:rFonts w:hint="eastAsia"/>
                <w:b/>
                <w:kern w:val="0"/>
                <w:sz w:val="24"/>
                <w:szCs w:val="28"/>
              </w:rPr>
              <w:t>新建煤炭粗加工生产线项目</w:t>
            </w:r>
            <w:r>
              <w:rPr>
                <w:b/>
                <w:kern w:val="0"/>
                <w:sz w:val="24"/>
                <w:szCs w:val="28"/>
              </w:rPr>
              <w:t>符合国家产业政策，在确保各项治理设施正常运行的情况下，废水、固废及噪声对环境影响较小，在建设单位严格执行“三同时”制度的情况下，该项目建设从环境保护角度衡量是可行的。</w:t>
            </w:r>
          </w:p>
          <w:p>
            <w:pPr>
              <w:pStyle w:val="94"/>
              <w:spacing w:beforeLines="50" w:line="360" w:lineRule="auto"/>
              <w:ind w:firstLine="0" w:firstLineChars="0"/>
              <w:rPr>
                <w:b/>
                <w:spacing w:val="0"/>
                <w:sz w:val="24"/>
                <w:szCs w:val="28"/>
              </w:rPr>
            </w:pPr>
            <w:r>
              <w:rPr>
                <w:b/>
                <w:spacing w:val="0"/>
                <w:sz w:val="24"/>
                <w:szCs w:val="28"/>
              </w:rPr>
              <w:t>2、建议</w:t>
            </w:r>
          </w:p>
          <w:p>
            <w:pPr>
              <w:spacing w:line="360" w:lineRule="auto"/>
              <w:ind w:firstLine="480" w:firstLineChars="200"/>
              <w:rPr>
                <w:kern w:val="0"/>
                <w:sz w:val="24"/>
                <w:szCs w:val="28"/>
              </w:rPr>
            </w:pPr>
            <w:r>
              <w:rPr>
                <w:kern w:val="0"/>
                <w:sz w:val="24"/>
                <w:szCs w:val="28"/>
              </w:rPr>
              <w:t>（1）加强环境监控，适当进行环境绿化，以减轻工程运营后对环境造成的影响。</w:t>
            </w:r>
          </w:p>
          <w:p>
            <w:pPr>
              <w:spacing w:line="360" w:lineRule="auto"/>
              <w:ind w:firstLine="480" w:firstLineChars="200"/>
              <w:rPr>
                <w:kern w:val="0"/>
                <w:sz w:val="24"/>
                <w:szCs w:val="28"/>
              </w:rPr>
            </w:pPr>
            <w:r>
              <w:rPr>
                <w:kern w:val="0"/>
                <w:sz w:val="24"/>
                <w:szCs w:val="28"/>
              </w:rPr>
              <w:t>（2）加强环境意识教育，制定环保设施操作管理规程，建立健全各项环保岗位责任制，确保环保设施正常、稳定运行。加强公司干部职工对环保工作的认识，将环境管理纳入生产管理轨道中去，最大限度的减少资源浪费和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5552" w:hRule="atLeast"/>
        </w:trPr>
        <w:tc>
          <w:tcPr>
            <w:tcW w:w="8789" w:type="dxa"/>
          </w:tcPr>
          <w:p>
            <w:pPr>
              <w:spacing w:line="580" w:lineRule="exact"/>
              <w:rPr>
                <w:sz w:val="28"/>
              </w:rPr>
            </w:pPr>
            <w:r>
              <w:rPr>
                <w:sz w:val="28"/>
              </w:rPr>
              <w:t>预审意见：</w:t>
            </w: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ind w:firstLine="7000" w:firstLineChars="2500"/>
              <w:rPr>
                <w:sz w:val="28"/>
              </w:rPr>
            </w:pPr>
            <w:r>
              <w:rPr>
                <w:sz w:val="28"/>
              </w:rPr>
              <w:t>公 章</w:t>
            </w:r>
          </w:p>
          <w:p>
            <w:pPr>
              <w:spacing w:line="580" w:lineRule="exact"/>
              <w:rPr>
                <w:sz w:val="28"/>
              </w:rPr>
            </w:pPr>
          </w:p>
          <w:p>
            <w:pPr>
              <w:spacing w:line="580" w:lineRule="exact"/>
              <w:rPr>
                <w:sz w:val="28"/>
              </w:rPr>
            </w:pPr>
            <w:r>
              <w:rPr>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5552" w:hRule="atLeast"/>
        </w:trPr>
        <w:tc>
          <w:tcPr>
            <w:tcW w:w="8789" w:type="dxa"/>
          </w:tcPr>
          <w:p>
            <w:pPr>
              <w:spacing w:line="580" w:lineRule="exact"/>
              <w:rPr>
                <w:sz w:val="28"/>
              </w:rPr>
            </w:pPr>
            <w:r>
              <w:rPr>
                <w:sz w:val="28"/>
              </w:rPr>
              <w:t>下一级环境保护行政主管部门审查意见：</w:t>
            </w: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ind w:firstLine="7000" w:firstLineChars="2500"/>
              <w:rPr>
                <w:sz w:val="28"/>
              </w:rPr>
            </w:pPr>
            <w:r>
              <w:rPr>
                <w:sz w:val="28"/>
              </w:rPr>
              <w:t>公 章</w:t>
            </w:r>
          </w:p>
          <w:p>
            <w:pPr>
              <w:spacing w:line="580" w:lineRule="exact"/>
              <w:ind w:firstLine="7000" w:firstLineChars="2500"/>
              <w:rPr>
                <w:sz w:val="28"/>
              </w:rPr>
            </w:pPr>
          </w:p>
          <w:p>
            <w:pPr>
              <w:spacing w:line="580" w:lineRule="exact"/>
              <w:rPr>
                <w:sz w:val="28"/>
              </w:rPr>
            </w:pPr>
            <w:r>
              <w:rPr>
                <w:sz w:val="28"/>
              </w:rPr>
              <w:t>经办人：                                       年   月   日</w:t>
            </w:r>
          </w:p>
          <w:p>
            <w:pPr>
              <w:spacing w:line="240" w:lineRule="atLeast"/>
              <w:rPr>
                <w:sz w:val="10"/>
              </w:rPr>
            </w:pPr>
          </w:p>
          <w:p>
            <w:pPr>
              <w:spacing w:line="240" w:lineRule="atLeast"/>
              <w:rPr>
                <w:sz w:val="10"/>
              </w:rPr>
            </w:pPr>
          </w:p>
          <w:p>
            <w:pPr>
              <w:spacing w:line="240" w:lineRule="atLeast"/>
              <w:rPr>
                <w:sz w:val="10"/>
              </w:rPr>
            </w:pPr>
          </w:p>
          <w:p>
            <w:pPr>
              <w:spacing w:line="580" w:lineRule="exact"/>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13269" w:hRule="atLeast"/>
        </w:trPr>
        <w:tc>
          <w:tcPr>
            <w:tcW w:w="8789" w:type="dxa"/>
          </w:tcPr>
          <w:p>
            <w:pPr>
              <w:spacing w:line="580" w:lineRule="exact"/>
              <w:rPr>
                <w:b/>
                <w:sz w:val="28"/>
              </w:rPr>
            </w:pPr>
            <w:r>
              <w:rPr>
                <w:b/>
                <w:sz w:val="28"/>
              </w:rPr>
              <w:t>审批意见：</w:t>
            </w: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ind w:firstLine="7000" w:firstLineChars="2500"/>
              <w:rPr>
                <w:sz w:val="28"/>
              </w:rPr>
            </w:pPr>
            <w:r>
              <w:rPr>
                <w:sz w:val="28"/>
              </w:rPr>
              <w:t>公 章</w:t>
            </w:r>
          </w:p>
          <w:p>
            <w:pPr>
              <w:spacing w:line="580" w:lineRule="exact"/>
              <w:rPr>
                <w:sz w:val="28"/>
              </w:rPr>
            </w:pPr>
          </w:p>
          <w:p>
            <w:pPr>
              <w:spacing w:line="580" w:lineRule="exact"/>
              <w:rPr>
                <w:sz w:val="28"/>
              </w:rPr>
            </w:pPr>
            <w:r>
              <w:rPr>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13269" w:hRule="atLeast"/>
        </w:trPr>
        <w:tc>
          <w:tcPr>
            <w:tcW w:w="8789" w:type="dxa"/>
            <w:tcBorders>
              <w:top w:val="single" w:color="auto" w:sz="4" w:space="0"/>
              <w:left w:val="single" w:color="auto" w:sz="4" w:space="0"/>
              <w:bottom w:val="single" w:color="auto" w:sz="4" w:space="0"/>
              <w:right w:val="single" w:color="auto" w:sz="4" w:space="0"/>
            </w:tcBorders>
          </w:tcPr>
          <w:p>
            <w:pPr>
              <w:spacing w:line="580" w:lineRule="exact"/>
              <w:jc w:val="center"/>
              <w:rPr>
                <w:sz w:val="28"/>
              </w:rPr>
            </w:pPr>
            <w:r>
              <w:rPr>
                <w:sz w:val="28"/>
              </w:rPr>
              <w:t>注    释</w:t>
            </w:r>
          </w:p>
          <w:p>
            <w:pPr>
              <w:spacing w:line="580" w:lineRule="exact"/>
              <w:rPr>
                <w:sz w:val="28"/>
              </w:rPr>
            </w:pPr>
            <w:r>
              <w:rPr>
                <w:sz w:val="28"/>
              </w:rPr>
              <w:t>一、本报告表应附以下附件：</w:t>
            </w:r>
          </w:p>
          <w:p>
            <w:pPr>
              <w:spacing w:line="580" w:lineRule="exact"/>
              <w:rPr>
                <w:sz w:val="28"/>
              </w:rPr>
            </w:pPr>
            <w:r>
              <w:rPr>
                <w:sz w:val="28"/>
              </w:rPr>
              <w:t>附件1  委托书</w:t>
            </w:r>
          </w:p>
          <w:p>
            <w:pPr>
              <w:spacing w:line="580" w:lineRule="exact"/>
              <w:rPr>
                <w:rFonts w:hint="eastAsia"/>
                <w:sz w:val="28"/>
              </w:rPr>
            </w:pPr>
            <w:r>
              <w:rPr>
                <w:sz w:val="28"/>
              </w:rPr>
              <w:t xml:space="preserve">附件2  </w:t>
            </w:r>
            <w:r>
              <w:rPr>
                <w:rFonts w:hint="eastAsia"/>
                <w:sz w:val="28"/>
              </w:rPr>
              <w:t>监测报告</w:t>
            </w:r>
          </w:p>
          <w:p>
            <w:pPr>
              <w:spacing w:line="580" w:lineRule="exact"/>
              <w:rPr>
                <w:sz w:val="28"/>
              </w:rPr>
            </w:pPr>
            <w:r>
              <w:rPr>
                <w:rFonts w:hint="eastAsia"/>
                <w:sz w:val="28"/>
              </w:rPr>
              <w:t>附件3  租赁协议</w:t>
            </w:r>
          </w:p>
          <w:p>
            <w:pPr>
              <w:spacing w:line="580" w:lineRule="exact"/>
              <w:rPr>
                <w:sz w:val="28"/>
              </w:rPr>
            </w:pPr>
          </w:p>
          <w:p>
            <w:pPr>
              <w:spacing w:line="580" w:lineRule="exact"/>
              <w:rPr>
                <w:sz w:val="28"/>
              </w:rPr>
            </w:pPr>
            <w:r>
              <w:rPr>
                <w:sz w:val="28"/>
              </w:rPr>
              <w:t>二、如果本报告不能说明项目产生的污染及对环境造成的影响，应进行专项评价。根据建设项目的特点和当地环境特征，应选下列1-2项进行专项评价。</w:t>
            </w:r>
          </w:p>
          <w:p>
            <w:pPr>
              <w:spacing w:line="580" w:lineRule="exact"/>
              <w:rPr>
                <w:sz w:val="28"/>
              </w:rPr>
            </w:pPr>
            <w:r>
              <w:rPr>
                <w:sz w:val="28"/>
              </w:rPr>
              <w:t>1、大气环境影响专项评价。</w:t>
            </w:r>
          </w:p>
          <w:p>
            <w:pPr>
              <w:spacing w:line="580" w:lineRule="exact"/>
              <w:rPr>
                <w:sz w:val="28"/>
              </w:rPr>
            </w:pPr>
            <w:r>
              <w:rPr>
                <w:sz w:val="28"/>
              </w:rPr>
              <w:t>2、水环境影响专项评价（包括地表水和地下水）</w:t>
            </w:r>
          </w:p>
          <w:p>
            <w:pPr>
              <w:spacing w:line="580" w:lineRule="exact"/>
              <w:rPr>
                <w:sz w:val="28"/>
              </w:rPr>
            </w:pPr>
            <w:r>
              <w:rPr>
                <w:sz w:val="28"/>
              </w:rPr>
              <w:t>3、生态影响专项评价</w:t>
            </w:r>
          </w:p>
          <w:p>
            <w:pPr>
              <w:spacing w:line="580" w:lineRule="exact"/>
              <w:rPr>
                <w:sz w:val="28"/>
              </w:rPr>
            </w:pPr>
            <w:r>
              <w:rPr>
                <w:sz w:val="28"/>
              </w:rPr>
              <w:t>4、声影响专项评价</w:t>
            </w:r>
          </w:p>
          <w:p>
            <w:pPr>
              <w:spacing w:line="580" w:lineRule="exact"/>
              <w:rPr>
                <w:sz w:val="28"/>
              </w:rPr>
            </w:pPr>
            <w:r>
              <w:rPr>
                <w:sz w:val="28"/>
              </w:rPr>
              <w:t>5、土壤影响专项评价</w:t>
            </w:r>
          </w:p>
          <w:p>
            <w:pPr>
              <w:spacing w:line="580" w:lineRule="exact"/>
              <w:rPr>
                <w:sz w:val="28"/>
              </w:rPr>
            </w:pPr>
            <w:r>
              <w:rPr>
                <w:sz w:val="28"/>
              </w:rPr>
              <w:t>6、固体废弃物影响专项评价</w:t>
            </w:r>
          </w:p>
          <w:p>
            <w:pPr>
              <w:spacing w:line="580" w:lineRule="exact"/>
              <w:rPr>
                <w:sz w:val="28"/>
              </w:rPr>
            </w:pPr>
            <w:r>
              <w:rPr>
                <w:sz w:val="28"/>
              </w:rPr>
              <w:t>以上专项评未包括的可另列专项，专项评价按照《环境影响评价技术导则》中的要求进行。</w:t>
            </w: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sz w:val="28"/>
              </w:rPr>
            </w:pPr>
          </w:p>
          <w:p>
            <w:pPr>
              <w:spacing w:line="580" w:lineRule="exact"/>
              <w:rPr>
                <w:b/>
                <w:sz w:val="28"/>
              </w:rPr>
            </w:pPr>
          </w:p>
        </w:tc>
      </w:tr>
    </w:tbl>
    <w:p>
      <w:pPr>
        <w:tabs>
          <w:tab w:val="left" w:pos="626"/>
        </w:tabs>
      </w:pPr>
    </w:p>
    <w:sectPr>
      <w:pgSz w:w="11907" w:h="16840"/>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entury">
    <w:panose1 w:val="02040604050505020304"/>
    <w:charset w:val="00"/>
    <w:family w:val="roman"/>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2"/>
      </w:rPr>
    </w:pPr>
    <w:r>
      <w:rPr>
        <w:sz w:val="24"/>
      </w:rPr>
      <w:fldChar w:fldCharType="begin"/>
    </w:r>
    <w:r>
      <w:rPr>
        <w:sz w:val="24"/>
      </w:rPr>
      <w:instrText xml:space="preserve"> PAGE   \* MERGEFORMAT </w:instrText>
    </w:r>
    <w:r>
      <w:rPr>
        <w:sz w:val="24"/>
      </w:rPr>
      <w:fldChar w:fldCharType="separate"/>
    </w:r>
    <w:r>
      <w:rPr>
        <w:lang w:val="en-US" w:eastAsia="zh-CN"/>
      </w:rPr>
      <w:t>20</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lang w:val="en-US" w:eastAsia="zh-CN"/>
      </w:rPr>
      <w:t>52</w:t>
    </w:r>
    <w:r>
      <w:rPr>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multilevel"/>
    <w:tmpl w:val="0000000E"/>
    <w:lvl w:ilvl="0" w:tentative="0">
      <w:start w:val="1"/>
      <w:numFmt w:val="none"/>
      <w:pStyle w:val="99"/>
      <w:suff w:val="nothing"/>
      <w:lvlText w:val="%1"/>
      <w:lvlJc w:val="left"/>
      <w:pPr>
        <w:ind w:left="0" w:firstLine="0"/>
      </w:pPr>
      <w:rPr>
        <w:rFonts w:hint="default" w:ascii="Times New Roman" w:hAnsi="Times New Roman"/>
        <w:b/>
        <w:i w:val="0"/>
        <w:sz w:val="21"/>
      </w:rPr>
    </w:lvl>
    <w:lvl w:ilvl="1" w:tentative="0">
      <w:start w:val="1"/>
      <w:numFmt w:val="decimal"/>
      <w:pStyle w:val="90"/>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suff w:val="nothing"/>
      <w:lvlText w:val="%1%2.%3.%4　"/>
      <w:lvlJc w:val="left"/>
      <w:pPr>
        <w:ind w:left="315"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14148AD"/>
    <w:multiLevelType w:val="multilevel"/>
    <w:tmpl w:val="614148AD"/>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adjustLineHeightInTable/>
    <w:useFELayout/>
    <w:compatSetting w:name="compatibilityMode" w:uri="http://schemas.microsoft.com/office/word" w:val="12"/>
  </w:compat>
  <w:docVars>
    <w:docVar w:name="commondata" w:val="eyJoZGlkIjoiYjA4YmI4YjM4YmZiOGQ2ZTMxZWNhMzA3ZDA0ZjY1OGQifQ=="/>
  </w:docVars>
  <w:rsids>
    <w:rsidRoot w:val="00172A27"/>
    <w:rsid w:val="00000B50"/>
    <w:rsid w:val="000019B5"/>
    <w:rsid w:val="00001E11"/>
    <w:rsid w:val="000049E3"/>
    <w:rsid w:val="000051BB"/>
    <w:rsid w:val="000073EC"/>
    <w:rsid w:val="00007B0B"/>
    <w:rsid w:val="000115F9"/>
    <w:rsid w:val="00011C86"/>
    <w:rsid w:val="0001466A"/>
    <w:rsid w:val="00014D1A"/>
    <w:rsid w:val="0001604A"/>
    <w:rsid w:val="00016CB0"/>
    <w:rsid w:val="0001726C"/>
    <w:rsid w:val="0002199E"/>
    <w:rsid w:val="00021E83"/>
    <w:rsid w:val="000236E7"/>
    <w:rsid w:val="00025282"/>
    <w:rsid w:val="00026053"/>
    <w:rsid w:val="0002709F"/>
    <w:rsid w:val="00030E66"/>
    <w:rsid w:val="00030F86"/>
    <w:rsid w:val="00032D8D"/>
    <w:rsid w:val="0003304D"/>
    <w:rsid w:val="00034C22"/>
    <w:rsid w:val="00035E98"/>
    <w:rsid w:val="000378F7"/>
    <w:rsid w:val="00037A98"/>
    <w:rsid w:val="00040F86"/>
    <w:rsid w:val="00041ED6"/>
    <w:rsid w:val="0004317B"/>
    <w:rsid w:val="000453AD"/>
    <w:rsid w:val="00047823"/>
    <w:rsid w:val="00047AFE"/>
    <w:rsid w:val="00050826"/>
    <w:rsid w:val="00050B30"/>
    <w:rsid w:val="00051BBF"/>
    <w:rsid w:val="00052E4A"/>
    <w:rsid w:val="000536D1"/>
    <w:rsid w:val="000619FD"/>
    <w:rsid w:val="000628F7"/>
    <w:rsid w:val="00064127"/>
    <w:rsid w:val="000649BE"/>
    <w:rsid w:val="00064A19"/>
    <w:rsid w:val="0006541B"/>
    <w:rsid w:val="00065DA3"/>
    <w:rsid w:val="00066058"/>
    <w:rsid w:val="00066066"/>
    <w:rsid w:val="00070E08"/>
    <w:rsid w:val="00071BFF"/>
    <w:rsid w:val="00077F0E"/>
    <w:rsid w:val="00081AB2"/>
    <w:rsid w:val="00082328"/>
    <w:rsid w:val="000837C0"/>
    <w:rsid w:val="00084E11"/>
    <w:rsid w:val="000864FE"/>
    <w:rsid w:val="00086BAD"/>
    <w:rsid w:val="0009077C"/>
    <w:rsid w:val="00090B75"/>
    <w:rsid w:val="00091C71"/>
    <w:rsid w:val="0009350A"/>
    <w:rsid w:val="00094823"/>
    <w:rsid w:val="00094C82"/>
    <w:rsid w:val="000962D7"/>
    <w:rsid w:val="00096692"/>
    <w:rsid w:val="000976D5"/>
    <w:rsid w:val="00097E2D"/>
    <w:rsid w:val="00097EFF"/>
    <w:rsid w:val="000A173F"/>
    <w:rsid w:val="000A3D33"/>
    <w:rsid w:val="000A3E2D"/>
    <w:rsid w:val="000A4838"/>
    <w:rsid w:val="000A57CA"/>
    <w:rsid w:val="000A64B3"/>
    <w:rsid w:val="000A6EE9"/>
    <w:rsid w:val="000A7AAC"/>
    <w:rsid w:val="000A7BDF"/>
    <w:rsid w:val="000B26D2"/>
    <w:rsid w:val="000B2BC5"/>
    <w:rsid w:val="000B3A83"/>
    <w:rsid w:val="000B713A"/>
    <w:rsid w:val="000C03FF"/>
    <w:rsid w:val="000C2DFE"/>
    <w:rsid w:val="000C465F"/>
    <w:rsid w:val="000C642D"/>
    <w:rsid w:val="000C6C53"/>
    <w:rsid w:val="000C72F1"/>
    <w:rsid w:val="000D134C"/>
    <w:rsid w:val="000D19BA"/>
    <w:rsid w:val="000D3210"/>
    <w:rsid w:val="000D47BE"/>
    <w:rsid w:val="000D5097"/>
    <w:rsid w:val="000D52BF"/>
    <w:rsid w:val="000D7C11"/>
    <w:rsid w:val="000E2710"/>
    <w:rsid w:val="000E4472"/>
    <w:rsid w:val="000E67FE"/>
    <w:rsid w:val="000E6C08"/>
    <w:rsid w:val="000F067F"/>
    <w:rsid w:val="000F0F02"/>
    <w:rsid w:val="000F1492"/>
    <w:rsid w:val="000F16BE"/>
    <w:rsid w:val="000F2DA4"/>
    <w:rsid w:val="000F2F60"/>
    <w:rsid w:val="000F40FD"/>
    <w:rsid w:val="000F5B80"/>
    <w:rsid w:val="000F63E1"/>
    <w:rsid w:val="000F709F"/>
    <w:rsid w:val="00100CB3"/>
    <w:rsid w:val="0010520C"/>
    <w:rsid w:val="00106F12"/>
    <w:rsid w:val="00107840"/>
    <w:rsid w:val="00112D2A"/>
    <w:rsid w:val="00113C5D"/>
    <w:rsid w:val="00114CE2"/>
    <w:rsid w:val="00116D7F"/>
    <w:rsid w:val="0012135F"/>
    <w:rsid w:val="00126A58"/>
    <w:rsid w:val="001276F8"/>
    <w:rsid w:val="00127B72"/>
    <w:rsid w:val="0013059D"/>
    <w:rsid w:val="00132253"/>
    <w:rsid w:val="00132D31"/>
    <w:rsid w:val="001331E8"/>
    <w:rsid w:val="0013691D"/>
    <w:rsid w:val="001372EC"/>
    <w:rsid w:val="0014056C"/>
    <w:rsid w:val="0014217D"/>
    <w:rsid w:val="00142CFB"/>
    <w:rsid w:val="00145082"/>
    <w:rsid w:val="00145FCA"/>
    <w:rsid w:val="001465EF"/>
    <w:rsid w:val="001475AC"/>
    <w:rsid w:val="00151899"/>
    <w:rsid w:val="00152198"/>
    <w:rsid w:val="00154995"/>
    <w:rsid w:val="00160DA2"/>
    <w:rsid w:val="001623A5"/>
    <w:rsid w:val="00162511"/>
    <w:rsid w:val="0016395C"/>
    <w:rsid w:val="00164A79"/>
    <w:rsid w:val="001700A0"/>
    <w:rsid w:val="0017148E"/>
    <w:rsid w:val="00171C9B"/>
    <w:rsid w:val="00172582"/>
    <w:rsid w:val="00172B73"/>
    <w:rsid w:val="00172C8C"/>
    <w:rsid w:val="0017486B"/>
    <w:rsid w:val="00174BC5"/>
    <w:rsid w:val="00175273"/>
    <w:rsid w:val="0017658D"/>
    <w:rsid w:val="001779FA"/>
    <w:rsid w:val="00180BC1"/>
    <w:rsid w:val="00180C9F"/>
    <w:rsid w:val="00182606"/>
    <w:rsid w:val="001848CA"/>
    <w:rsid w:val="001850AA"/>
    <w:rsid w:val="0018647E"/>
    <w:rsid w:val="00194E46"/>
    <w:rsid w:val="00194FD7"/>
    <w:rsid w:val="0019768E"/>
    <w:rsid w:val="001A09AC"/>
    <w:rsid w:val="001A0CE3"/>
    <w:rsid w:val="001A0E6C"/>
    <w:rsid w:val="001A1792"/>
    <w:rsid w:val="001A36C8"/>
    <w:rsid w:val="001A6838"/>
    <w:rsid w:val="001A79EA"/>
    <w:rsid w:val="001B00E2"/>
    <w:rsid w:val="001B1662"/>
    <w:rsid w:val="001B293F"/>
    <w:rsid w:val="001B32CD"/>
    <w:rsid w:val="001B4207"/>
    <w:rsid w:val="001B517E"/>
    <w:rsid w:val="001B5DDE"/>
    <w:rsid w:val="001B6302"/>
    <w:rsid w:val="001B6BF9"/>
    <w:rsid w:val="001B7D16"/>
    <w:rsid w:val="001C1703"/>
    <w:rsid w:val="001C247E"/>
    <w:rsid w:val="001C78CF"/>
    <w:rsid w:val="001D148A"/>
    <w:rsid w:val="001D3633"/>
    <w:rsid w:val="001D5D49"/>
    <w:rsid w:val="001D6598"/>
    <w:rsid w:val="001E10FF"/>
    <w:rsid w:val="001E1D0C"/>
    <w:rsid w:val="001E3607"/>
    <w:rsid w:val="001E3C7B"/>
    <w:rsid w:val="001E4889"/>
    <w:rsid w:val="001E4D1A"/>
    <w:rsid w:val="001E5189"/>
    <w:rsid w:val="001E7A9E"/>
    <w:rsid w:val="001E7B2E"/>
    <w:rsid w:val="001F0E29"/>
    <w:rsid w:val="001F117C"/>
    <w:rsid w:val="001F11F0"/>
    <w:rsid w:val="001F2658"/>
    <w:rsid w:val="001F28D9"/>
    <w:rsid w:val="001F3B0A"/>
    <w:rsid w:val="001F447E"/>
    <w:rsid w:val="001F458B"/>
    <w:rsid w:val="001F4D4B"/>
    <w:rsid w:val="001F5DA6"/>
    <w:rsid w:val="001F610A"/>
    <w:rsid w:val="001F7A3F"/>
    <w:rsid w:val="001F7C9C"/>
    <w:rsid w:val="00201940"/>
    <w:rsid w:val="0020249F"/>
    <w:rsid w:val="0020272B"/>
    <w:rsid w:val="00202881"/>
    <w:rsid w:val="002030BC"/>
    <w:rsid w:val="002032CA"/>
    <w:rsid w:val="002033DA"/>
    <w:rsid w:val="0020346D"/>
    <w:rsid w:val="00203821"/>
    <w:rsid w:val="0020521E"/>
    <w:rsid w:val="002052FB"/>
    <w:rsid w:val="002052FD"/>
    <w:rsid w:val="00206154"/>
    <w:rsid w:val="002065FE"/>
    <w:rsid w:val="002068EE"/>
    <w:rsid w:val="00206F5F"/>
    <w:rsid w:val="00207014"/>
    <w:rsid w:val="002108E0"/>
    <w:rsid w:val="002114AD"/>
    <w:rsid w:val="00213C55"/>
    <w:rsid w:val="00214DA2"/>
    <w:rsid w:val="002151CB"/>
    <w:rsid w:val="00216CF9"/>
    <w:rsid w:val="0022007D"/>
    <w:rsid w:val="002215FB"/>
    <w:rsid w:val="00221675"/>
    <w:rsid w:val="00222604"/>
    <w:rsid w:val="0022297A"/>
    <w:rsid w:val="00222D0E"/>
    <w:rsid w:val="002230ED"/>
    <w:rsid w:val="00223891"/>
    <w:rsid w:val="00223B10"/>
    <w:rsid w:val="00224BAB"/>
    <w:rsid w:val="00225273"/>
    <w:rsid w:val="00225934"/>
    <w:rsid w:val="002261F7"/>
    <w:rsid w:val="002279A7"/>
    <w:rsid w:val="002313B4"/>
    <w:rsid w:val="00231A35"/>
    <w:rsid w:val="002324C6"/>
    <w:rsid w:val="00233895"/>
    <w:rsid w:val="00235F36"/>
    <w:rsid w:val="00236109"/>
    <w:rsid w:val="00236CDD"/>
    <w:rsid w:val="00236D95"/>
    <w:rsid w:val="00237EF7"/>
    <w:rsid w:val="0024512C"/>
    <w:rsid w:val="00245157"/>
    <w:rsid w:val="00245683"/>
    <w:rsid w:val="00245CE9"/>
    <w:rsid w:val="00246CDF"/>
    <w:rsid w:val="00250C1E"/>
    <w:rsid w:val="00251345"/>
    <w:rsid w:val="00251A86"/>
    <w:rsid w:val="00252B27"/>
    <w:rsid w:val="00252C41"/>
    <w:rsid w:val="002578E7"/>
    <w:rsid w:val="002609DC"/>
    <w:rsid w:val="0026227E"/>
    <w:rsid w:val="0026286F"/>
    <w:rsid w:val="00262EEC"/>
    <w:rsid w:val="002634BB"/>
    <w:rsid w:val="00263879"/>
    <w:rsid w:val="00264EEC"/>
    <w:rsid w:val="0026513F"/>
    <w:rsid w:val="002659C0"/>
    <w:rsid w:val="00265C72"/>
    <w:rsid w:val="00266505"/>
    <w:rsid w:val="00266B03"/>
    <w:rsid w:val="00267070"/>
    <w:rsid w:val="00272947"/>
    <w:rsid w:val="002729CB"/>
    <w:rsid w:val="0027523A"/>
    <w:rsid w:val="0027620B"/>
    <w:rsid w:val="00281697"/>
    <w:rsid w:val="00281762"/>
    <w:rsid w:val="0028224F"/>
    <w:rsid w:val="00283A51"/>
    <w:rsid w:val="00284C8E"/>
    <w:rsid w:val="002862EF"/>
    <w:rsid w:val="0028725D"/>
    <w:rsid w:val="0029263A"/>
    <w:rsid w:val="0029528C"/>
    <w:rsid w:val="002952C2"/>
    <w:rsid w:val="00295452"/>
    <w:rsid w:val="002967DD"/>
    <w:rsid w:val="002A11DB"/>
    <w:rsid w:val="002A1F1A"/>
    <w:rsid w:val="002A23F9"/>
    <w:rsid w:val="002A2A7B"/>
    <w:rsid w:val="002A2CAC"/>
    <w:rsid w:val="002A3126"/>
    <w:rsid w:val="002A3347"/>
    <w:rsid w:val="002A38CF"/>
    <w:rsid w:val="002A51FB"/>
    <w:rsid w:val="002A5FD0"/>
    <w:rsid w:val="002A7A02"/>
    <w:rsid w:val="002B1AA1"/>
    <w:rsid w:val="002B398B"/>
    <w:rsid w:val="002B4754"/>
    <w:rsid w:val="002B51D8"/>
    <w:rsid w:val="002B76CF"/>
    <w:rsid w:val="002B7B10"/>
    <w:rsid w:val="002C03ED"/>
    <w:rsid w:val="002C168D"/>
    <w:rsid w:val="002C300A"/>
    <w:rsid w:val="002C4F33"/>
    <w:rsid w:val="002C7E33"/>
    <w:rsid w:val="002D2AD8"/>
    <w:rsid w:val="002D3241"/>
    <w:rsid w:val="002D3FC1"/>
    <w:rsid w:val="002D5270"/>
    <w:rsid w:val="002D5408"/>
    <w:rsid w:val="002D5D2A"/>
    <w:rsid w:val="002D6763"/>
    <w:rsid w:val="002D6C4F"/>
    <w:rsid w:val="002D6C96"/>
    <w:rsid w:val="002D7EAA"/>
    <w:rsid w:val="002E1563"/>
    <w:rsid w:val="002E1D18"/>
    <w:rsid w:val="002E1D67"/>
    <w:rsid w:val="002E2F56"/>
    <w:rsid w:val="002E33BC"/>
    <w:rsid w:val="002E3A47"/>
    <w:rsid w:val="002F38C8"/>
    <w:rsid w:val="002F3CD6"/>
    <w:rsid w:val="002F4F5E"/>
    <w:rsid w:val="002F6020"/>
    <w:rsid w:val="002F6BD7"/>
    <w:rsid w:val="002F7962"/>
    <w:rsid w:val="002F7CCB"/>
    <w:rsid w:val="003017D7"/>
    <w:rsid w:val="00301EAE"/>
    <w:rsid w:val="00304CBB"/>
    <w:rsid w:val="00304E1D"/>
    <w:rsid w:val="00305587"/>
    <w:rsid w:val="003062F9"/>
    <w:rsid w:val="00306CCA"/>
    <w:rsid w:val="00307B77"/>
    <w:rsid w:val="0031102D"/>
    <w:rsid w:val="00312A5A"/>
    <w:rsid w:val="0031454A"/>
    <w:rsid w:val="00315171"/>
    <w:rsid w:val="00315DBD"/>
    <w:rsid w:val="00315E59"/>
    <w:rsid w:val="00320410"/>
    <w:rsid w:val="00320D58"/>
    <w:rsid w:val="00322178"/>
    <w:rsid w:val="003221BB"/>
    <w:rsid w:val="0032233C"/>
    <w:rsid w:val="00323FCF"/>
    <w:rsid w:val="00324536"/>
    <w:rsid w:val="00324CF3"/>
    <w:rsid w:val="00327CDE"/>
    <w:rsid w:val="00331062"/>
    <w:rsid w:val="0033174F"/>
    <w:rsid w:val="003323DB"/>
    <w:rsid w:val="00332779"/>
    <w:rsid w:val="003328E0"/>
    <w:rsid w:val="003343D5"/>
    <w:rsid w:val="00334473"/>
    <w:rsid w:val="00335225"/>
    <w:rsid w:val="0033533A"/>
    <w:rsid w:val="0033619B"/>
    <w:rsid w:val="0033646D"/>
    <w:rsid w:val="00336BD1"/>
    <w:rsid w:val="00341AE2"/>
    <w:rsid w:val="00343799"/>
    <w:rsid w:val="00344CBF"/>
    <w:rsid w:val="00344EA3"/>
    <w:rsid w:val="00345DC7"/>
    <w:rsid w:val="00347ED4"/>
    <w:rsid w:val="003501C1"/>
    <w:rsid w:val="003507D3"/>
    <w:rsid w:val="00350B8D"/>
    <w:rsid w:val="003510E5"/>
    <w:rsid w:val="0035139C"/>
    <w:rsid w:val="00351CF6"/>
    <w:rsid w:val="003551D4"/>
    <w:rsid w:val="00355EC2"/>
    <w:rsid w:val="003561C1"/>
    <w:rsid w:val="003562E7"/>
    <w:rsid w:val="00356D1C"/>
    <w:rsid w:val="003632E7"/>
    <w:rsid w:val="003636AD"/>
    <w:rsid w:val="00363F53"/>
    <w:rsid w:val="00364907"/>
    <w:rsid w:val="00364D56"/>
    <w:rsid w:val="0036557C"/>
    <w:rsid w:val="00370C3B"/>
    <w:rsid w:val="00370CB2"/>
    <w:rsid w:val="00370FC3"/>
    <w:rsid w:val="00372B53"/>
    <w:rsid w:val="00372C2E"/>
    <w:rsid w:val="00374D92"/>
    <w:rsid w:val="00375898"/>
    <w:rsid w:val="00376ED5"/>
    <w:rsid w:val="003775C7"/>
    <w:rsid w:val="00384AFA"/>
    <w:rsid w:val="00387A62"/>
    <w:rsid w:val="00392791"/>
    <w:rsid w:val="00392F71"/>
    <w:rsid w:val="003960F0"/>
    <w:rsid w:val="0039668A"/>
    <w:rsid w:val="003971AE"/>
    <w:rsid w:val="003A31D6"/>
    <w:rsid w:val="003A4264"/>
    <w:rsid w:val="003A6CBF"/>
    <w:rsid w:val="003A7788"/>
    <w:rsid w:val="003B0832"/>
    <w:rsid w:val="003B12E8"/>
    <w:rsid w:val="003B166C"/>
    <w:rsid w:val="003B1BD8"/>
    <w:rsid w:val="003B3089"/>
    <w:rsid w:val="003B33F3"/>
    <w:rsid w:val="003B38A8"/>
    <w:rsid w:val="003B79CA"/>
    <w:rsid w:val="003C1000"/>
    <w:rsid w:val="003C1292"/>
    <w:rsid w:val="003C745E"/>
    <w:rsid w:val="003D380B"/>
    <w:rsid w:val="003E0671"/>
    <w:rsid w:val="003E0977"/>
    <w:rsid w:val="003E3D60"/>
    <w:rsid w:val="003E4B8F"/>
    <w:rsid w:val="003E7648"/>
    <w:rsid w:val="003F1B60"/>
    <w:rsid w:val="003F2219"/>
    <w:rsid w:val="003F43C8"/>
    <w:rsid w:val="003F490F"/>
    <w:rsid w:val="003F55D8"/>
    <w:rsid w:val="003F5FFC"/>
    <w:rsid w:val="003F6E09"/>
    <w:rsid w:val="004006CA"/>
    <w:rsid w:val="00400C45"/>
    <w:rsid w:val="00400E18"/>
    <w:rsid w:val="0040264A"/>
    <w:rsid w:val="004027C8"/>
    <w:rsid w:val="00403DDB"/>
    <w:rsid w:val="00404A88"/>
    <w:rsid w:val="00406B82"/>
    <w:rsid w:val="004070A1"/>
    <w:rsid w:val="004079EE"/>
    <w:rsid w:val="004117BE"/>
    <w:rsid w:val="00411F91"/>
    <w:rsid w:val="00412BFD"/>
    <w:rsid w:val="00414DAE"/>
    <w:rsid w:val="0041596E"/>
    <w:rsid w:val="00415FC7"/>
    <w:rsid w:val="00416D01"/>
    <w:rsid w:val="00421D47"/>
    <w:rsid w:val="00425379"/>
    <w:rsid w:val="00425AA2"/>
    <w:rsid w:val="00425D68"/>
    <w:rsid w:val="00426B65"/>
    <w:rsid w:val="00427083"/>
    <w:rsid w:val="004273CB"/>
    <w:rsid w:val="004301B3"/>
    <w:rsid w:val="00430FFE"/>
    <w:rsid w:val="004315A0"/>
    <w:rsid w:val="00431A87"/>
    <w:rsid w:val="00435601"/>
    <w:rsid w:val="00435EA1"/>
    <w:rsid w:val="0043601B"/>
    <w:rsid w:val="0043629F"/>
    <w:rsid w:val="00436F98"/>
    <w:rsid w:val="00437181"/>
    <w:rsid w:val="0043771E"/>
    <w:rsid w:val="00440208"/>
    <w:rsid w:val="00440A70"/>
    <w:rsid w:val="0044312D"/>
    <w:rsid w:val="004434DA"/>
    <w:rsid w:val="004453D1"/>
    <w:rsid w:val="00445D68"/>
    <w:rsid w:val="00447071"/>
    <w:rsid w:val="004478F2"/>
    <w:rsid w:val="00447C4B"/>
    <w:rsid w:val="00450ED7"/>
    <w:rsid w:val="00454090"/>
    <w:rsid w:val="00455198"/>
    <w:rsid w:val="00455E13"/>
    <w:rsid w:val="0046021E"/>
    <w:rsid w:val="00462153"/>
    <w:rsid w:val="00462AEB"/>
    <w:rsid w:val="00463515"/>
    <w:rsid w:val="004678E6"/>
    <w:rsid w:val="00470068"/>
    <w:rsid w:val="004709BF"/>
    <w:rsid w:val="00470D3C"/>
    <w:rsid w:val="004712EF"/>
    <w:rsid w:val="004713DF"/>
    <w:rsid w:val="00471C2C"/>
    <w:rsid w:val="00472B0A"/>
    <w:rsid w:val="00472ED8"/>
    <w:rsid w:val="004743B3"/>
    <w:rsid w:val="004746B5"/>
    <w:rsid w:val="00476561"/>
    <w:rsid w:val="00477044"/>
    <w:rsid w:val="00477423"/>
    <w:rsid w:val="004804E8"/>
    <w:rsid w:val="00482826"/>
    <w:rsid w:val="00484DE1"/>
    <w:rsid w:val="00485251"/>
    <w:rsid w:val="004854DB"/>
    <w:rsid w:val="004855AA"/>
    <w:rsid w:val="0048580C"/>
    <w:rsid w:val="00486EB4"/>
    <w:rsid w:val="004919B4"/>
    <w:rsid w:val="00491F93"/>
    <w:rsid w:val="00493A7B"/>
    <w:rsid w:val="00494F38"/>
    <w:rsid w:val="004A3562"/>
    <w:rsid w:val="004A4DC6"/>
    <w:rsid w:val="004A50F2"/>
    <w:rsid w:val="004A5759"/>
    <w:rsid w:val="004A7FCA"/>
    <w:rsid w:val="004B16E1"/>
    <w:rsid w:val="004B28B1"/>
    <w:rsid w:val="004B3214"/>
    <w:rsid w:val="004B695C"/>
    <w:rsid w:val="004B719D"/>
    <w:rsid w:val="004C04E4"/>
    <w:rsid w:val="004C07F1"/>
    <w:rsid w:val="004C1DE5"/>
    <w:rsid w:val="004C21EB"/>
    <w:rsid w:val="004C2587"/>
    <w:rsid w:val="004C26AD"/>
    <w:rsid w:val="004C3DE5"/>
    <w:rsid w:val="004D02F4"/>
    <w:rsid w:val="004D0BB8"/>
    <w:rsid w:val="004D3053"/>
    <w:rsid w:val="004D316C"/>
    <w:rsid w:val="004D3631"/>
    <w:rsid w:val="004D5ABE"/>
    <w:rsid w:val="004D682B"/>
    <w:rsid w:val="004D703F"/>
    <w:rsid w:val="004D7D92"/>
    <w:rsid w:val="004E199B"/>
    <w:rsid w:val="004E1FE1"/>
    <w:rsid w:val="004E6F9E"/>
    <w:rsid w:val="004E73C5"/>
    <w:rsid w:val="004E7781"/>
    <w:rsid w:val="004F0857"/>
    <w:rsid w:val="004F18E5"/>
    <w:rsid w:val="004F27DA"/>
    <w:rsid w:val="004F4BDF"/>
    <w:rsid w:val="004F68DD"/>
    <w:rsid w:val="004F7F7D"/>
    <w:rsid w:val="0050026D"/>
    <w:rsid w:val="00502271"/>
    <w:rsid w:val="00502D87"/>
    <w:rsid w:val="00504C83"/>
    <w:rsid w:val="00505F47"/>
    <w:rsid w:val="00506649"/>
    <w:rsid w:val="00507D50"/>
    <w:rsid w:val="00510316"/>
    <w:rsid w:val="00510D3A"/>
    <w:rsid w:val="00511142"/>
    <w:rsid w:val="00511D19"/>
    <w:rsid w:val="0051364E"/>
    <w:rsid w:val="0051401C"/>
    <w:rsid w:val="00515C18"/>
    <w:rsid w:val="005166A3"/>
    <w:rsid w:val="00516763"/>
    <w:rsid w:val="0051677E"/>
    <w:rsid w:val="00516A10"/>
    <w:rsid w:val="005201DC"/>
    <w:rsid w:val="00522E86"/>
    <w:rsid w:val="005235A1"/>
    <w:rsid w:val="00524E8A"/>
    <w:rsid w:val="00524FBB"/>
    <w:rsid w:val="005263AF"/>
    <w:rsid w:val="005270BC"/>
    <w:rsid w:val="0052744F"/>
    <w:rsid w:val="00527F9A"/>
    <w:rsid w:val="00530F7B"/>
    <w:rsid w:val="0053161D"/>
    <w:rsid w:val="005316A1"/>
    <w:rsid w:val="00533BAD"/>
    <w:rsid w:val="00534F46"/>
    <w:rsid w:val="00536933"/>
    <w:rsid w:val="00537A48"/>
    <w:rsid w:val="005401D3"/>
    <w:rsid w:val="00540245"/>
    <w:rsid w:val="00541536"/>
    <w:rsid w:val="00542319"/>
    <w:rsid w:val="00542CD8"/>
    <w:rsid w:val="005442EE"/>
    <w:rsid w:val="005443AE"/>
    <w:rsid w:val="0054510F"/>
    <w:rsid w:val="005455D8"/>
    <w:rsid w:val="005455ED"/>
    <w:rsid w:val="005455F7"/>
    <w:rsid w:val="005459A0"/>
    <w:rsid w:val="00545F30"/>
    <w:rsid w:val="00547300"/>
    <w:rsid w:val="005508C9"/>
    <w:rsid w:val="0055126F"/>
    <w:rsid w:val="00552CB1"/>
    <w:rsid w:val="00553F7C"/>
    <w:rsid w:val="0055471A"/>
    <w:rsid w:val="00554F21"/>
    <w:rsid w:val="005550BE"/>
    <w:rsid w:val="0055654E"/>
    <w:rsid w:val="00557A71"/>
    <w:rsid w:val="00563313"/>
    <w:rsid w:val="00563AE6"/>
    <w:rsid w:val="00564941"/>
    <w:rsid w:val="0057047E"/>
    <w:rsid w:val="0057147D"/>
    <w:rsid w:val="005718BE"/>
    <w:rsid w:val="005728B3"/>
    <w:rsid w:val="0057366D"/>
    <w:rsid w:val="00574691"/>
    <w:rsid w:val="00575479"/>
    <w:rsid w:val="00577678"/>
    <w:rsid w:val="005776C4"/>
    <w:rsid w:val="00580813"/>
    <w:rsid w:val="00582051"/>
    <w:rsid w:val="00583D6F"/>
    <w:rsid w:val="00583E29"/>
    <w:rsid w:val="00590132"/>
    <w:rsid w:val="005910F6"/>
    <w:rsid w:val="005914AB"/>
    <w:rsid w:val="0059173C"/>
    <w:rsid w:val="005925ED"/>
    <w:rsid w:val="005938C7"/>
    <w:rsid w:val="0059406A"/>
    <w:rsid w:val="00594ED3"/>
    <w:rsid w:val="00594F5F"/>
    <w:rsid w:val="00595861"/>
    <w:rsid w:val="00596827"/>
    <w:rsid w:val="00596D92"/>
    <w:rsid w:val="005A2E9E"/>
    <w:rsid w:val="005A3B1A"/>
    <w:rsid w:val="005A4904"/>
    <w:rsid w:val="005A4BC2"/>
    <w:rsid w:val="005B0CC1"/>
    <w:rsid w:val="005B1830"/>
    <w:rsid w:val="005B1949"/>
    <w:rsid w:val="005B2565"/>
    <w:rsid w:val="005B2F3F"/>
    <w:rsid w:val="005B5B7E"/>
    <w:rsid w:val="005B65E1"/>
    <w:rsid w:val="005B6A3E"/>
    <w:rsid w:val="005C0CE5"/>
    <w:rsid w:val="005C0EBE"/>
    <w:rsid w:val="005C4E20"/>
    <w:rsid w:val="005C59DB"/>
    <w:rsid w:val="005C6AE3"/>
    <w:rsid w:val="005C70DC"/>
    <w:rsid w:val="005D0D8F"/>
    <w:rsid w:val="005D144B"/>
    <w:rsid w:val="005D1579"/>
    <w:rsid w:val="005D1ED0"/>
    <w:rsid w:val="005D2076"/>
    <w:rsid w:val="005D3BD8"/>
    <w:rsid w:val="005D4945"/>
    <w:rsid w:val="005D5A14"/>
    <w:rsid w:val="005D5A72"/>
    <w:rsid w:val="005D5C3F"/>
    <w:rsid w:val="005E24F0"/>
    <w:rsid w:val="005E343D"/>
    <w:rsid w:val="005E421A"/>
    <w:rsid w:val="005E636D"/>
    <w:rsid w:val="005E7D65"/>
    <w:rsid w:val="005E7F00"/>
    <w:rsid w:val="005F157B"/>
    <w:rsid w:val="005F1646"/>
    <w:rsid w:val="005F2C1F"/>
    <w:rsid w:val="005F4302"/>
    <w:rsid w:val="005F49FB"/>
    <w:rsid w:val="005F4C3A"/>
    <w:rsid w:val="005F4D91"/>
    <w:rsid w:val="005F68B2"/>
    <w:rsid w:val="005F6EAC"/>
    <w:rsid w:val="005F72F9"/>
    <w:rsid w:val="005F7B4C"/>
    <w:rsid w:val="005F7F90"/>
    <w:rsid w:val="006011C0"/>
    <w:rsid w:val="0060146D"/>
    <w:rsid w:val="00601A9E"/>
    <w:rsid w:val="00602898"/>
    <w:rsid w:val="006028CD"/>
    <w:rsid w:val="00603132"/>
    <w:rsid w:val="00605552"/>
    <w:rsid w:val="00605DA0"/>
    <w:rsid w:val="006069A9"/>
    <w:rsid w:val="00610A5E"/>
    <w:rsid w:val="00610D3A"/>
    <w:rsid w:val="00611F06"/>
    <w:rsid w:val="0061260D"/>
    <w:rsid w:val="00613C43"/>
    <w:rsid w:val="00613F50"/>
    <w:rsid w:val="006145A6"/>
    <w:rsid w:val="006148D4"/>
    <w:rsid w:val="00614A6D"/>
    <w:rsid w:val="006172A3"/>
    <w:rsid w:val="00621F6D"/>
    <w:rsid w:val="00623F2D"/>
    <w:rsid w:val="006240D6"/>
    <w:rsid w:val="00624C2C"/>
    <w:rsid w:val="00625704"/>
    <w:rsid w:val="00625C7B"/>
    <w:rsid w:val="00625D79"/>
    <w:rsid w:val="006262C3"/>
    <w:rsid w:val="00633E13"/>
    <w:rsid w:val="00634FD8"/>
    <w:rsid w:val="006368F7"/>
    <w:rsid w:val="006369F5"/>
    <w:rsid w:val="00637FCD"/>
    <w:rsid w:val="006431A3"/>
    <w:rsid w:val="00645227"/>
    <w:rsid w:val="0065024D"/>
    <w:rsid w:val="006510D3"/>
    <w:rsid w:val="00654DD3"/>
    <w:rsid w:val="00657346"/>
    <w:rsid w:val="00660806"/>
    <w:rsid w:val="00660B2B"/>
    <w:rsid w:val="00660B4D"/>
    <w:rsid w:val="00660D81"/>
    <w:rsid w:val="00661404"/>
    <w:rsid w:val="00662272"/>
    <w:rsid w:val="00662B48"/>
    <w:rsid w:val="0066355C"/>
    <w:rsid w:val="00664DF6"/>
    <w:rsid w:val="0066560C"/>
    <w:rsid w:val="006711A6"/>
    <w:rsid w:val="0067247A"/>
    <w:rsid w:val="00673BF6"/>
    <w:rsid w:val="00680208"/>
    <w:rsid w:val="00681906"/>
    <w:rsid w:val="00681B9A"/>
    <w:rsid w:val="006825F4"/>
    <w:rsid w:val="006834E7"/>
    <w:rsid w:val="00684AC4"/>
    <w:rsid w:val="00685667"/>
    <w:rsid w:val="00685C4F"/>
    <w:rsid w:val="00690EC0"/>
    <w:rsid w:val="00693151"/>
    <w:rsid w:val="006931B4"/>
    <w:rsid w:val="006931E3"/>
    <w:rsid w:val="00693D50"/>
    <w:rsid w:val="00693EDD"/>
    <w:rsid w:val="00694D23"/>
    <w:rsid w:val="00695C1B"/>
    <w:rsid w:val="0069606C"/>
    <w:rsid w:val="006963DD"/>
    <w:rsid w:val="0069690B"/>
    <w:rsid w:val="006A0D68"/>
    <w:rsid w:val="006A1012"/>
    <w:rsid w:val="006A2824"/>
    <w:rsid w:val="006A3BD1"/>
    <w:rsid w:val="006A4278"/>
    <w:rsid w:val="006A465C"/>
    <w:rsid w:val="006A555A"/>
    <w:rsid w:val="006A621B"/>
    <w:rsid w:val="006A75CF"/>
    <w:rsid w:val="006B119D"/>
    <w:rsid w:val="006B29D2"/>
    <w:rsid w:val="006B58BA"/>
    <w:rsid w:val="006B6EB3"/>
    <w:rsid w:val="006C0855"/>
    <w:rsid w:val="006C1227"/>
    <w:rsid w:val="006C160B"/>
    <w:rsid w:val="006C1AC8"/>
    <w:rsid w:val="006C2515"/>
    <w:rsid w:val="006C2E3C"/>
    <w:rsid w:val="006C4728"/>
    <w:rsid w:val="006C58D5"/>
    <w:rsid w:val="006C7BF7"/>
    <w:rsid w:val="006D3630"/>
    <w:rsid w:val="006D5D8A"/>
    <w:rsid w:val="006D5E3E"/>
    <w:rsid w:val="006E30B5"/>
    <w:rsid w:val="006E3CBE"/>
    <w:rsid w:val="006E418C"/>
    <w:rsid w:val="006E5387"/>
    <w:rsid w:val="006E61E3"/>
    <w:rsid w:val="006F1BE0"/>
    <w:rsid w:val="006F28D4"/>
    <w:rsid w:val="006F3440"/>
    <w:rsid w:val="006F4F24"/>
    <w:rsid w:val="006F62C5"/>
    <w:rsid w:val="006F6427"/>
    <w:rsid w:val="006F68D6"/>
    <w:rsid w:val="006F69CE"/>
    <w:rsid w:val="006F6A7B"/>
    <w:rsid w:val="00700C32"/>
    <w:rsid w:val="00702E62"/>
    <w:rsid w:val="00704D82"/>
    <w:rsid w:val="007071D4"/>
    <w:rsid w:val="00707722"/>
    <w:rsid w:val="00710A6C"/>
    <w:rsid w:val="0071176C"/>
    <w:rsid w:val="00712761"/>
    <w:rsid w:val="007139BE"/>
    <w:rsid w:val="00715970"/>
    <w:rsid w:val="00715AFD"/>
    <w:rsid w:val="0072048F"/>
    <w:rsid w:val="00720837"/>
    <w:rsid w:val="007211A0"/>
    <w:rsid w:val="00721B56"/>
    <w:rsid w:val="00722197"/>
    <w:rsid w:val="0072355D"/>
    <w:rsid w:val="00723D2F"/>
    <w:rsid w:val="007251B8"/>
    <w:rsid w:val="00725D87"/>
    <w:rsid w:val="007266F6"/>
    <w:rsid w:val="007302B4"/>
    <w:rsid w:val="00732CD9"/>
    <w:rsid w:val="00732E40"/>
    <w:rsid w:val="0073302F"/>
    <w:rsid w:val="00734AE3"/>
    <w:rsid w:val="00736C8C"/>
    <w:rsid w:val="00736E61"/>
    <w:rsid w:val="00737C85"/>
    <w:rsid w:val="0074107F"/>
    <w:rsid w:val="007442D4"/>
    <w:rsid w:val="00745FEE"/>
    <w:rsid w:val="0074711D"/>
    <w:rsid w:val="00747204"/>
    <w:rsid w:val="00747A53"/>
    <w:rsid w:val="00747E3A"/>
    <w:rsid w:val="00747FA1"/>
    <w:rsid w:val="00751793"/>
    <w:rsid w:val="00753B51"/>
    <w:rsid w:val="00753DB3"/>
    <w:rsid w:val="00753FBA"/>
    <w:rsid w:val="00754AAF"/>
    <w:rsid w:val="007565C0"/>
    <w:rsid w:val="00757441"/>
    <w:rsid w:val="007610EC"/>
    <w:rsid w:val="00761FB4"/>
    <w:rsid w:val="00762680"/>
    <w:rsid w:val="00767AB9"/>
    <w:rsid w:val="007710A4"/>
    <w:rsid w:val="00775691"/>
    <w:rsid w:val="007838BB"/>
    <w:rsid w:val="00784463"/>
    <w:rsid w:val="00785400"/>
    <w:rsid w:val="00785717"/>
    <w:rsid w:val="00786655"/>
    <w:rsid w:val="00786E2A"/>
    <w:rsid w:val="00787A04"/>
    <w:rsid w:val="00792B03"/>
    <w:rsid w:val="0079356D"/>
    <w:rsid w:val="007962AB"/>
    <w:rsid w:val="00797DE9"/>
    <w:rsid w:val="007A0631"/>
    <w:rsid w:val="007A2AA2"/>
    <w:rsid w:val="007A32CE"/>
    <w:rsid w:val="007A3413"/>
    <w:rsid w:val="007A57B6"/>
    <w:rsid w:val="007A615E"/>
    <w:rsid w:val="007B0528"/>
    <w:rsid w:val="007B07BB"/>
    <w:rsid w:val="007B15E6"/>
    <w:rsid w:val="007B1954"/>
    <w:rsid w:val="007B2C20"/>
    <w:rsid w:val="007B2DBC"/>
    <w:rsid w:val="007B3648"/>
    <w:rsid w:val="007B4013"/>
    <w:rsid w:val="007B48AC"/>
    <w:rsid w:val="007B52C6"/>
    <w:rsid w:val="007B6421"/>
    <w:rsid w:val="007B6A94"/>
    <w:rsid w:val="007B7302"/>
    <w:rsid w:val="007B7DE3"/>
    <w:rsid w:val="007C2D1F"/>
    <w:rsid w:val="007C37AB"/>
    <w:rsid w:val="007C3D9A"/>
    <w:rsid w:val="007C3E35"/>
    <w:rsid w:val="007C41FB"/>
    <w:rsid w:val="007C52F4"/>
    <w:rsid w:val="007C6D73"/>
    <w:rsid w:val="007C7AB0"/>
    <w:rsid w:val="007D0967"/>
    <w:rsid w:val="007D0D6D"/>
    <w:rsid w:val="007D1E9C"/>
    <w:rsid w:val="007D4CB9"/>
    <w:rsid w:val="007D4DF4"/>
    <w:rsid w:val="007D63CB"/>
    <w:rsid w:val="007D6FE7"/>
    <w:rsid w:val="007D74E3"/>
    <w:rsid w:val="007D7C87"/>
    <w:rsid w:val="007E052B"/>
    <w:rsid w:val="007E0939"/>
    <w:rsid w:val="007E16E5"/>
    <w:rsid w:val="007E1CB8"/>
    <w:rsid w:val="007E2272"/>
    <w:rsid w:val="007E35C2"/>
    <w:rsid w:val="007E576D"/>
    <w:rsid w:val="007E5F53"/>
    <w:rsid w:val="007E6B1C"/>
    <w:rsid w:val="007F00B7"/>
    <w:rsid w:val="007F09A1"/>
    <w:rsid w:val="007F1615"/>
    <w:rsid w:val="007F2789"/>
    <w:rsid w:val="00800BA8"/>
    <w:rsid w:val="0080135F"/>
    <w:rsid w:val="00803EF7"/>
    <w:rsid w:val="00804398"/>
    <w:rsid w:val="00807C62"/>
    <w:rsid w:val="00811674"/>
    <w:rsid w:val="00811835"/>
    <w:rsid w:val="008138C5"/>
    <w:rsid w:val="00816B62"/>
    <w:rsid w:val="00816D9C"/>
    <w:rsid w:val="00816E64"/>
    <w:rsid w:val="00817C7E"/>
    <w:rsid w:val="00817FD6"/>
    <w:rsid w:val="008200B7"/>
    <w:rsid w:val="0082028A"/>
    <w:rsid w:val="00826315"/>
    <w:rsid w:val="00826FCD"/>
    <w:rsid w:val="00827C7B"/>
    <w:rsid w:val="008307A8"/>
    <w:rsid w:val="00830F3E"/>
    <w:rsid w:val="0083130F"/>
    <w:rsid w:val="00831CFC"/>
    <w:rsid w:val="0083308B"/>
    <w:rsid w:val="00833DD4"/>
    <w:rsid w:val="00834225"/>
    <w:rsid w:val="00835169"/>
    <w:rsid w:val="00835E81"/>
    <w:rsid w:val="0083719E"/>
    <w:rsid w:val="00840D27"/>
    <w:rsid w:val="0084161E"/>
    <w:rsid w:val="00841B15"/>
    <w:rsid w:val="008426B5"/>
    <w:rsid w:val="008445CB"/>
    <w:rsid w:val="00846446"/>
    <w:rsid w:val="00846AD8"/>
    <w:rsid w:val="00846FF3"/>
    <w:rsid w:val="008478B7"/>
    <w:rsid w:val="00850722"/>
    <w:rsid w:val="00850D5A"/>
    <w:rsid w:val="0085267E"/>
    <w:rsid w:val="00852CD4"/>
    <w:rsid w:val="0085515D"/>
    <w:rsid w:val="00855FF7"/>
    <w:rsid w:val="0086265E"/>
    <w:rsid w:val="008628BC"/>
    <w:rsid w:val="008637FB"/>
    <w:rsid w:val="00866C66"/>
    <w:rsid w:val="008676CB"/>
    <w:rsid w:val="008676D8"/>
    <w:rsid w:val="00870EB7"/>
    <w:rsid w:val="0087271D"/>
    <w:rsid w:val="00872A97"/>
    <w:rsid w:val="00872B1C"/>
    <w:rsid w:val="00875860"/>
    <w:rsid w:val="00875A88"/>
    <w:rsid w:val="00875CD1"/>
    <w:rsid w:val="00875DA3"/>
    <w:rsid w:val="00876254"/>
    <w:rsid w:val="00876AD7"/>
    <w:rsid w:val="00877655"/>
    <w:rsid w:val="008779A8"/>
    <w:rsid w:val="00880252"/>
    <w:rsid w:val="00881DEF"/>
    <w:rsid w:val="008829E3"/>
    <w:rsid w:val="0088314D"/>
    <w:rsid w:val="00884815"/>
    <w:rsid w:val="008862F7"/>
    <w:rsid w:val="00886D73"/>
    <w:rsid w:val="008916E5"/>
    <w:rsid w:val="008959D9"/>
    <w:rsid w:val="008A20D8"/>
    <w:rsid w:val="008A3886"/>
    <w:rsid w:val="008A4901"/>
    <w:rsid w:val="008A6738"/>
    <w:rsid w:val="008A74B3"/>
    <w:rsid w:val="008A75FF"/>
    <w:rsid w:val="008A7B0C"/>
    <w:rsid w:val="008B21A6"/>
    <w:rsid w:val="008B32DB"/>
    <w:rsid w:val="008B3885"/>
    <w:rsid w:val="008B4EF4"/>
    <w:rsid w:val="008B5024"/>
    <w:rsid w:val="008C0047"/>
    <w:rsid w:val="008C0F62"/>
    <w:rsid w:val="008C1972"/>
    <w:rsid w:val="008C2189"/>
    <w:rsid w:val="008C2FA8"/>
    <w:rsid w:val="008C59B1"/>
    <w:rsid w:val="008C5C82"/>
    <w:rsid w:val="008C6424"/>
    <w:rsid w:val="008C6872"/>
    <w:rsid w:val="008D199D"/>
    <w:rsid w:val="008D2837"/>
    <w:rsid w:val="008D3715"/>
    <w:rsid w:val="008D3F36"/>
    <w:rsid w:val="008D460E"/>
    <w:rsid w:val="008D4ADA"/>
    <w:rsid w:val="008D55CE"/>
    <w:rsid w:val="008D5AE7"/>
    <w:rsid w:val="008D736E"/>
    <w:rsid w:val="008D76B4"/>
    <w:rsid w:val="008E0F27"/>
    <w:rsid w:val="008E0F3A"/>
    <w:rsid w:val="008E1862"/>
    <w:rsid w:val="008E3346"/>
    <w:rsid w:val="008E3FF1"/>
    <w:rsid w:val="008E5E24"/>
    <w:rsid w:val="008E606F"/>
    <w:rsid w:val="008E6514"/>
    <w:rsid w:val="008E6633"/>
    <w:rsid w:val="008E79E9"/>
    <w:rsid w:val="008E7FF0"/>
    <w:rsid w:val="008F2433"/>
    <w:rsid w:val="008F507A"/>
    <w:rsid w:val="008F5866"/>
    <w:rsid w:val="008F7793"/>
    <w:rsid w:val="009005C8"/>
    <w:rsid w:val="00900C0F"/>
    <w:rsid w:val="009017BD"/>
    <w:rsid w:val="00901EED"/>
    <w:rsid w:val="00904110"/>
    <w:rsid w:val="009048D4"/>
    <w:rsid w:val="009054B3"/>
    <w:rsid w:val="0090731F"/>
    <w:rsid w:val="00910C20"/>
    <w:rsid w:val="009141D0"/>
    <w:rsid w:val="00915581"/>
    <w:rsid w:val="00916849"/>
    <w:rsid w:val="009171B6"/>
    <w:rsid w:val="009208DE"/>
    <w:rsid w:val="0092167F"/>
    <w:rsid w:val="0092180B"/>
    <w:rsid w:val="00923656"/>
    <w:rsid w:val="00923E99"/>
    <w:rsid w:val="00926BDC"/>
    <w:rsid w:val="009317FF"/>
    <w:rsid w:val="00932C43"/>
    <w:rsid w:val="00932C48"/>
    <w:rsid w:val="00933CB2"/>
    <w:rsid w:val="00937118"/>
    <w:rsid w:val="009415E8"/>
    <w:rsid w:val="00941F34"/>
    <w:rsid w:val="00943DF6"/>
    <w:rsid w:val="00945F3C"/>
    <w:rsid w:val="0094676F"/>
    <w:rsid w:val="00947C31"/>
    <w:rsid w:val="00950E0D"/>
    <w:rsid w:val="009524F9"/>
    <w:rsid w:val="00954CE0"/>
    <w:rsid w:val="009556F2"/>
    <w:rsid w:val="009558BA"/>
    <w:rsid w:val="00956981"/>
    <w:rsid w:val="00957416"/>
    <w:rsid w:val="00957DFD"/>
    <w:rsid w:val="00957FB1"/>
    <w:rsid w:val="00960C48"/>
    <w:rsid w:val="00961D9A"/>
    <w:rsid w:val="0096253A"/>
    <w:rsid w:val="00965180"/>
    <w:rsid w:val="00965AF0"/>
    <w:rsid w:val="009663D4"/>
    <w:rsid w:val="00971570"/>
    <w:rsid w:val="00971FCD"/>
    <w:rsid w:val="00972165"/>
    <w:rsid w:val="009723D6"/>
    <w:rsid w:val="009724C6"/>
    <w:rsid w:val="00973F04"/>
    <w:rsid w:val="00975960"/>
    <w:rsid w:val="00977562"/>
    <w:rsid w:val="009809EF"/>
    <w:rsid w:val="00983784"/>
    <w:rsid w:val="00987953"/>
    <w:rsid w:val="00990D1E"/>
    <w:rsid w:val="00990DFF"/>
    <w:rsid w:val="0099165E"/>
    <w:rsid w:val="00991C64"/>
    <w:rsid w:val="00992941"/>
    <w:rsid w:val="00995097"/>
    <w:rsid w:val="00997DAB"/>
    <w:rsid w:val="009A2078"/>
    <w:rsid w:val="009A348E"/>
    <w:rsid w:val="009A78AB"/>
    <w:rsid w:val="009B024D"/>
    <w:rsid w:val="009B2319"/>
    <w:rsid w:val="009B2A5C"/>
    <w:rsid w:val="009B322C"/>
    <w:rsid w:val="009B34DC"/>
    <w:rsid w:val="009B4105"/>
    <w:rsid w:val="009B42DC"/>
    <w:rsid w:val="009B4F04"/>
    <w:rsid w:val="009B6B0A"/>
    <w:rsid w:val="009B7302"/>
    <w:rsid w:val="009B7A9E"/>
    <w:rsid w:val="009C0B77"/>
    <w:rsid w:val="009C19B3"/>
    <w:rsid w:val="009C1C48"/>
    <w:rsid w:val="009C2B20"/>
    <w:rsid w:val="009C2B72"/>
    <w:rsid w:val="009C5413"/>
    <w:rsid w:val="009C6BE7"/>
    <w:rsid w:val="009C77FA"/>
    <w:rsid w:val="009D141A"/>
    <w:rsid w:val="009D24CD"/>
    <w:rsid w:val="009D304A"/>
    <w:rsid w:val="009D4ECA"/>
    <w:rsid w:val="009D554A"/>
    <w:rsid w:val="009D5609"/>
    <w:rsid w:val="009D6095"/>
    <w:rsid w:val="009E233D"/>
    <w:rsid w:val="009E2CB1"/>
    <w:rsid w:val="009E498B"/>
    <w:rsid w:val="009E4A8E"/>
    <w:rsid w:val="009F19DE"/>
    <w:rsid w:val="009F307B"/>
    <w:rsid w:val="009F4E6C"/>
    <w:rsid w:val="009F5710"/>
    <w:rsid w:val="009F770C"/>
    <w:rsid w:val="00A01D35"/>
    <w:rsid w:val="00A022BC"/>
    <w:rsid w:val="00A026DF"/>
    <w:rsid w:val="00A034DD"/>
    <w:rsid w:val="00A04300"/>
    <w:rsid w:val="00A05B74"/>
    <w:rsid w:val="00A1153C"/>
    <w:rsid w:val="00A118AD"/>
    <w:rsid w:val="00A11BF3"/>
    <w:rsid w:val="00A12250"/>
    <w:rsid w:val="00A1245C"/>
    <w:rsid w:val="00A12595"/>
    <w:rsid w:val="00A1511E"/>
    <w:rsid w:val="00A15968"/>
    <w:rsid w:val="00A1626A"/>
    <w:rsid w:val="00A1773F"/>
    <w:rsid w:val="00A20418"/>
    <w:rsid w:val="00A217D9"/>
    <w:rsid w:val="00A21ABF"/>
    <w:rsid w:val="00A225F4"/>
    <w:rsid w:val="00A2276D"/>
    <w:rsid w:val="00A22A37"/>
    <w:rsid w:val="00A245BF"/>
    <w:rsid w:val="00A257F6"/>
    <w:rsid w:val="00A25A3F"/>
    <w:rsid w:val="00A262C8"/>
    <w:rsid w:val="00A30C09"/>
    <w:rsid w:val="00A32E02"/>
    <w:rsid w:val="00A33F1E"/>
    <w:rsid w:val="00A34451"/>
    <w:rsid w:val="00A35131"/>
    <w:rsid w:val="00A3585A"/>
    <w:rsid w:val="00A35A9C"/>
    <w:rsid w:val="00A36F74"/>
    <w:rsid w:val="00A401A6"/>
    <w:rsid w:val="00A41602"/>
    <w:rsid w:val="00A4264A"/>
    <w:rsid w:val="00A43468"/>
    <w:rsid w:val="00A47E7A"/>
    <w:rsid w:val="00A51AFE"/>
    <w:rsid w:val="00A52DD4"/>
    <w:rsid w:val="00A545C0"/>
    <w:rsid w:val="00A54DA6"/>
    <w:rsid w:val="00A55C15"/>
    <w:rsid w:val="00A57801"/>
    <w:rsid w:val="00A604AD"/>
    <w:rsid w:val="00A610F4"/>
    <w:rsid w:val="00A6217A"/>
    <w:rsid w:val="00A63174"/>
    <w:rsid w:val="00A64D4F"/>
    <w:rsid w:val="00A6550F"/>
    <w:rsid w:val="00A65DCA"/>
    <w:rsid w:val="00A66B47"/>
    <w:rsid w:val="00A66D39"/>
    <w:rsid w:val="00A67D19"/>
    <w:rsid w:val="00A67DA4"/>
    <w:rsid w:val="00A70948"/>
    <w:rsid w:val="00A739AF"/>
    <w:rsid w:val="00A7442C"/>
    <w:rsid w:val="00A745D8"/>
    <w:rsid w:val="00A74994"/>
    <w:rsid w:val="00A75FC7"/>
    <w:rsid w:val="00A76B77"/>
    <w:rsid w:val="00A807F9"/>
    <w:rsid w:val="00A81266"/>
    <w:rsid w:val="00A8416C"/>
    <w:rsid w:val="00A90D49"/>
    <w:rsid w:val="00A9278C"/>
    <w:rsid w:val="00A97AE0"/>
    <w:rsid w:val="00A97D86"/>
    <w:rsid w:val="00AA0776"/>
    <w:rsid w:val="00AA2FF7"/>
    <w:rsid w:val="00AA3C34"/>
    <w:rsid w:val="00AB27AB"/>
    <w:rsid w:val="00AB34A7"/>
    <w:rsid w:val="00AB4D5F"/>
    <w:rsid w:val="00AB4D93"/>
    <w:rsid w:val="00AB5CF0"/>
    <w:rsid w:val="00AB5D35"/>
    <w:rsid w:val="00AB6A64"/>
    <w:rsid w:val="00AC1362"/>
    <w:rsid w:val="00AC1536"/>
    <w:rsid w:val="00AC2403"/>
    <w:rsid w:val="00AC27DE"/>
    <w:rsid w:val="00AC2EED"/>
    <w:rsid w:val="00AC4DCA"/>
    <w:rsid w:val="00AC5A23"/>
    <w:rsid w:val="00AC7389"/>
    <w:rsid w:val="00AD02B5"/>
    <w:rsid w:val="00AD0F7D"/>
    <w:rsid w:val="00AD3A8D"/>
    <w:rsid w:val="00AD52D4"/>
    <w:rsid w:val="00AD54D3"/>
    <w:rsid w:val="00AD57C3"/>
    <w:rsid w:val="00AD7533"/>
    <w:rsid w:val="00AE0F48"/>
    <w:rsid w:val="00AE2D6B"/>
    <w:rsid w:val="00AE300B"/>
    <w:rsid w:val="00AE6693"/>
    <w:rsid w:val="00AF13CF"/>
    <w:rsid w:val="00AF4736"/>
    <w:rsid w:val="00AF47D0"/>
    <w:rsid w:val="00AF5483"/>
    <w:rsid w:val="00AF5C33"/>
    <w:rsid w:val="00AF620D"/>
    <w:rsid w:val="00AF73B1"/>
    <w:rsid w:val="00B01463"/>
    <w:rsid w:val="00B0184A"/>
    <w:rsid w:val="00B01AFF"/>
    <w:rsid w:val="00B01C71"/>
    <w:rsid w:val="00B068E5"/>
    <w:rsid w:val="00B12E7B"/>
    <w:rsid w:val="00B12FBB"/>
    <w:rsid w:val="00B1449D"/>
    <w:rsid w:val="00B147DC"/>
    <w:rsid w:val="00B15B76"/>
    <w:rsid w:val="00B16618"/>
    <w:rsid w:val="00B208DD"/>
    <w:rsid w:val="00B212EF"/>
    <w:rsid w:val="00B21680"/>
    <w:rsid w:val="00B21903"/>
    <w:rsid w:val="00B248B8"/>
    <w:rsid w:val="00B25E19"/>
    <w:rsid w:val="00B2657B"/>
    <w:rsid w:val="00B2722C"/>
    <w:rsid w:val="00B277E2"/>
    <w:rsid w:val="00B30210"/>
    <w:rsid w:val="00B305E7"/>
    <w:rsid w:val="00B35129"/>
    <w:rsid w:val="00B36034"/>
    <w:rsid w:val="00B36420"/>
    <w:rsid w:val="00B3747D"/>
    <w:rsid w:val="00B37E5B"/>
    <w:rsid w:val="00B37FC8"/>
    <w:rsid w:val="00B40453"/>
    <w:rsid w:val="00B412E5"/>
    <w:rsid w:val="00B4153F"/>
    <w:rsid w:val="00B418A6"/>
    <w:rsid w:val="00B425B0"/>
    <w:rsid w:val="00B44FC2"/>
    <w:rsid w:val="00B454D9"/>
    <w:rsid w:val="00B4703D"/>
    <w:rsid w:val="00B47A36"/>
    <w:rsid w:val="00B47D30"/>
    <w:rsid w:val="00B47F35"/>
    <w:rsid w:val="00B5101A"/>
    <w:rsid w:val="00B531F5"/>
    <w:rsid w:val="00B5478E"/>
    <w:rsid w:val="00B566C3"/>
    <w:rsid w:val="00B57194"/>
    <w:rsid w:val="00B57A3F"/>
    <w:rsid w:val="00B6254F"/>
    <w:rsid w:val="00B62828"/>
    <w:rsid w:val="00B632AC"/>
    <w:rsid w:val="00B64E9B"/>
    <w:rsid w:val="00B659DA"/>
    <w:rsid w:val="00B66195"/>
    <w:rsid w:val="00B67F10"/>
    <w:rsid w:val="00B70BAC"/>
    <w:rsid w:val="00B73088"/>
    <w:rsid w:val="00B734C2"/>
    <w:rsid w:val="00B765F0"/>
    <w:rsid w:val="00B76C2D"/>
    <w:rsid w:val="00B8083C"/>
    <w:rsid w:val="00B83BEE"/>
    <w:rsid w:val="00B845AB"/>
    <w:rsid w:val="00B85239"/>
    <w:rsid w:val="00B85818"/>
    <w:rsid w:val="00B85F63"/>
    <w:rsid w:val="00B8770C"/>
    <w:rsid w:val="00B90BB8"/>
    <w:rsid w:val="00B9279E"/>
    <w:rsid w:val="00B93475"/>
    <w:rsid w:val="00B97039"/>
    <w:rsid w:val="00B9728E"/>
    <w:rsid w:val="00BA018B"/>
    <w:rsid w:val="00BA2577"/>
    <w:rsid w:val="00BA4D2B"/>
    <w:rsid w:val="00BA5F0F"/>
    <w:rsid w:val="00BA72EA"/>
    <w:rsid w:val="00BA7741"/>
    <w:rsid w:val="00BB0541"/>
    <w:rsid w:val="00BB30A3"/>
    <w:rsid w:val="00BB60C0"/>
    <w:rsid w:val="00BB6741"/>
    <w:rsid w:val="00BB79D7"/>
    <w:rsid w:val="00BC1636"/>
    <w:rsid w:val="00BC177D"/>
    <w:rsid w:val="00BC1896"/>
    <w:rsid w:val="00BC4B43"/>
    <w:rsid w:val="00BC4BB9"/>
    <w:rsid w:val="00BC63F6"/>
    <w:rsid w:val="00BD2B9B"/>
    <w:rsid w:val="00BD2D14"/>
    <w:rsid w:val="00BD405D"/>
    <w:rsid w:val="00BD52B5"/>
    <w:rsid w:val="00BD5F9F"/>
    <w:rsid w:val="00BE084D"/>
    <w:rsid w:val="00BE172F"/>
    <w:rsid w:val="00BE205E"/>
    <w:rsid w:val="00BE347C"/>
    <w:rsid w:val="00BE3E75"/>
    <w:rsid w:val="00BE71B2"/>
    <w:rsid w:val="00BE7791"/>
    <w:rsid w:val="00BF097F"/>
    <w:rsid w:val="00BF1139"/>
    <w:rsid w:val="00BF2C4B"/>
    <w:rsid w:val="00BF3AF3"/>
    <w:rsid w:val="00BF455B"/>
    <w:rsid w:val="00BF56CF"/>
    <w:rsid w:val="00BF6439"/>
    <w:rsid w:val="00BF7666"/>
    <w:rsid w:val="00C004B9"/>
    <w:rsid w:val="00C02D19"/>
    <w:rsid w:val="00C03DD5"/>
    <w:rsid w:val="00C05AA6"/>
    <w:rsid w:val="00C07A38"/>
    <w:rsid w:val="00C10ABC"/>
    <w:rsid w:val="00C12761"/>
    <w:rsid w:val="00C12EFB"/>
    <w:rsid w:val="00C138DA"/>
    <w:rsid w:val="00C14BB8"/>
    <w:rsid w:val="00C15B94"/>
    <w:rsid w:val="00C16212"/>
    <w:rsid w:val="00C16580"/>
    <w:rsid w:val="00C24182"/>
    <w:rsid w:val="00C24F25"/>
    <w:rsid w:val="00C266EE"/>
    <w:rsid w:val="00C274F6"/>
    <w:rsid w:val="00C30A05"/>
    <w:rsid w:val="00C347AB"/>
    <w:rsid w:val="00C36F24"/>
    <w:rsid w:val="00C371B7"/>
    <w:rsid w:val="00C37976"/>
    <w:rsid w:val="00C403B3"/>
    <w:rsid w:val="00C40855"/>
    <w:rsid w:val="00C40E26"/>
    <w:rsid w:val="00C41473"/>
    <w:rsid w:val="00C42B52"/>
    <w:rsid w:val="00C45D42"/>
    <w:rsid w:val="00C46AFE"/>
    <w:rsid w:val="00C5028B"/>
    <w:rsid w:val="00C514F8"/>
    <w:rsid w:val="00C52A2B"/>
    <w:rsid w:val="00C53DE4"/>
    <w:rsid w:val="00C55B56"/>
    <w:rsid w:val="00C57397"/>
    <w:rsid w:val="00C60582"/>
    <w:rsid w:val="00C66CD3"/>
    <w:rsid w:val="00C670D2"/>
    <w:rsid w:val="00C70237"/>
    <w:rsid w:val="00C72810"/>
    <w:rsid w:val="00C749B1"/>
    <w:rsid w:val="00C74CF6"/>
    <w:rsid w:val="00C75052"/>
    <w:rsid w:val="00C75BA1"/>
    <w:rsid w:val="00C77B1A"/>
    <w:rsid w:val="00C826BB"/>
    <w:rsid w:val="00C826DB"/>
    <w:rsid w:val="00C86380"/>
    <w:rsid w:val="00C87C05"/>
    <w:rsid w:val="00C905EF"/>
    <w:rsid w:val="00C91CC3"/>
    <w:rsid w:val="00C92981"/>
    <w:rsid w:val="00C92AF7"/>
    <w:rsid w:val="00C93E59"/>
    <w:rsid w:val="00C95512"/>
    <w:rsid w:val="00C95602"/>
    <w:rsid w:val="00C95783"/>
    <w:rsid w:val="00C95CAE"/>
    <w:rsid w:val="00C9609B"/>
    <w:rsid w:val="00C96BFE"/>
    <w:rsid w:val="00C97B26"/>
    <w:rsid w:val="00C97E70"/>
    <w:rsid w:val="00CA0971"/>
    <w:rsid w:val="00CA1F3C"/>
    <w:rsid w:val="00CA27A7"/>
    <w:rsid w:val="00CA2ADA"/>
    <w:rsid w:val="00CA2D27"/>
    <w:rsid w:val="00CA3245"/>
    <w:rsid w:val="00CA3DE6"/>
    <w:rsid w:val="00CA4258"/>
    <w:rsid w:val="00CA4DD9"/>
    <w:rsid w:val="00CA5588"/>
    <w:rsid w:val="00CA7DF0"/>
    <w:rsid w:val="00CA7EBC"/>
    <w:rsid w:val="00CB168F"/>
    <w:rsid w:val="00CB1ED6"/>
    <w:rsid w:val="00CB3649"/>
    <w:rsid w:val="00CB78B3"/>
    <w:rsid w:val="00CB7EC4"/>
    <w:rsid w:val="00CC2AFE"/>
    <w:rsid w:val="00CC3D18"/>
    <w:rsid w:val="00CC5872"/>
    <w:rsid w:val="00CC77E8"/>
    <w:rsid w:val="00CD0DDA"/>
    <w:rsid w:val="00CD179F"/>
    <w:rsid w:val="00CD2679"/>
    <w:rsid w:val="00CD37C3"/>
    <w:rsid w:val="00CD3BA3"/>
    <w:rsid w:val="00CD5D33"/>
    <w:rsid w:val="00CD5DDA"/>
    <w:rsid w:val="00CD6C85"/>
    <w:rsid w:val="00CE1305"/>
    <w:rsid w:val="00CE16DB"/>
    <w:rsid w:val="00CE2327"/>
    <w:rsid w:val="00CE2A93"/>
    <w:rsid w:val="00CE3371"/>
    <w:rsid w:val="00CE3FE0"/>
    <w:rsid w:val="00CE53BE"/>
    <w:rsid w:val="00CF143B"/>
    <w:rsid w:val="00CF18A4"/>
    <w:rsid w:val="00CF35F9"/>
    <w:rsid w:val="00CF376A"/>
    <w:rsid w:val="00CF402B"/>
    <w:rsid w:val="00CF476B"/>
    <w:rsid w:val="00CF4ACF"/>
    <w:rsid w:val="00CF57E5"/>
    <w:rsid w:val="00CF5804"/>
    <w:rsid w:val="00CF619B"/>
    <w:rsid w:val="00CF6B20"/>
    <w:rsid w:val="00CF6D5C"/>
    <w:rsid w:val="00CF6E34"/>
    <w:rsid w:val="00CF73B0"/>
    <w:rsid w:val="00D002D3"/>
    <w:rsid w:val="00D014D3"/>
    <w:rsid w:val="00D017CC"/>
    <w:rsid w:val="00D025F0"/>
    <w:rsid w:val="00D02FF4"/>
    <w:rsid w:val="00D031E1"/>
    <w:rsid w:val="00D032D6"/>
    <w:rsid w:val="00D03F80"/>
    <w:rsid w:val="00D04F8B"/>
    <w:rsid w:val="00D0508E"/>
    <w:rsid w:val="00D05DC2"/>
    <w:rsid w:val="00D06C99"/>
    <w:rsid w:val="00D07AF1"/>
    <w:rsid w:val="00D1057C"/>
    <w:rsid w:val="00D11E73"/>
    <w:rsid w:val="00D122D8"/>
    <w:rsid w:val="00D12AC7"/>
    <w:rsid w:val="00D12EA2"/>
    <w:rsid w:val="00D13790"/>
    <w:rsid w:val="00D14F71"/>
    <w:rsid w:val="00D152C9"/>
    <w:rsid w:val="00D16456"/>
    <w:rsid w:val="00D164AF"/>
    <w:rsid w:val="00D167C3"/>
    <w:rsid w:val="00D16E65"/>
    <w:rsid w:val="00D17092"/>
    <w:rsid w:val="00D21818"/>
    <w:rsid w:val="00D223CC"/>
    <w:rsid w:val="00D240ED"/>
    <w:rsid w:val="00D24B1C"/>
    <w:rsid w:val="00D25AAA"/>
    <w:rsid w:val="00D26A78"/>
    <w:rsid w:val="00D27DC8"/>
    <w:rsid w:val="00D301ED"/>
    <w:rsid w:val="00D312E6"/>
    <w:rsid w:val="00D31B79"/>
    <w:rsid w:val="00D33444"/>
    <w:rsid w:val="00D347A8"/>
    <w:rsid w:val="00D347F8"/>
    <w:rsid w:val="00D34A14"/>
    <w:rsid w:val="00D362CC"/>
    <w:rsid w:val="00D37835"/>
    <w:rsid w:val="00D406B0"/>
    <w:rsid w:val="00D429AB"/>
    <w:rsid w:val="00D43988"/>
    <w:rsid w:val="00D451CE"/>
    <w:rsid w:val="00D452B9"/>
    <w:rsid w:val="00D46CA6"/>
    <w:rsid w:val="00D521CA"/>
    <w:rsid w:val="00D524E4"/>
    <w:rsid w:val="00D530C8"/>
    <w:rsid w:val="00D534B1"/>
    <w:rsid w:val="00D53573"/>
    <w:rsid w:val="00D53BB1"/>
    <w:rsid w:val="00D5524F"/>
    <w:rsid w:val="00D56802"/>
    <w:rsid w:val="00D60E99"/>
    <w:rsid w:val="00D617A3"/>
    <w:rsid w:val="00D6230C"/>
    <w:rsid w:val="00D62900"/>
    <w:rsid w:val="00D6338B"/>
    <w:rsid w:val="00D6411B"/>
    <w:rsid w:val="00D66612"/>
    <w:rsid w:val="00D718CB"/>
    <w:rsid w:val="00D71C2C"/>
    <w:rsid w:val="00D72206"/>
    <w:rsid w:val="00D735FC"/>
    <w:rsid w:val="00D73D15"/>
    <w:rsid w:val="00D74097"/>
    <w:rsid w:val="00D7474A"/>
    <w:rsid w:val="00D76891"/>
    <w:rsid w:val="00D774BF"/>
    <w:rsid w:val="00D7774A"/>
    <w:rsid w:val="00D77EA4"/>
    <w:rsid w:val="00D825C0"/>
    <w:rsid w:val="00D83761"/>
    <w:rsid w:val="00D83A17"/>
    <w:rsid w:val="00D84EA4"/>
    <w:rsid w:val="00D85BC2"/>
    <w:rsid w:val="00D8672A"/>
    <w:rsid w:val="00D90A6F"/>
    <w:rsid w:val="00D91ECF"/>
    <w:rsid w:val="00D92C6C"/>
    <w:rsid w:val="00D933BF"/>
    <w:rsid w:val="00D9365D"/>
    <w:rsid w:val="00D936F2"/>
    <w:rsid w:val="00D94CB2"/>
    <w:rsid w:val="00D96449"/>
    <w:rsid w:val="00D96F6E"/>
    <w:rsid w:val="00DA4CB0"/>
    <w:rsid w:val="00DA532A"/>
    <w:rsid w:val="00DA58B1"/>
    <w:rsid w:val="00DA675B"/>
    <w:rsid w:val="00DA6EAF"/>
    <w:rsid w:val="00DB08FC"/>
    <w:rsid w:val="00DB1445"/>
    <w:rsid w:val="00DB1563"/>
    <w:rsid w:val="00DB1E8E"/>
    <w:rsid w:val="00DB639C"/>
    <w:rsid w:val="00DB7B4B"/>
    <w:rsid w:val="00DC1405"/>
    <w:rsid w:val="00DC1A85"/>
    <w:rsid w:val="00DC2544"/>
    <w:rsid w:val="00DC2863"/>
    <w:rsid w:val="00DC32D4"/>
    <w:rsid w:val="00DC4486"/>
    <w:rsid w:val="00DC4EDC"/>
    <w:rsid w:val="00DC590E"/>
    <w:rsid w:val="00DC6763"/>
    <w:rsid w:val="00DC6892"/>
    <w:rsid w:val="00DC6C04"/>
    <w:rsid w:val="00DC7FBD"/>
    <w:rsid w:val="00DD0FA5"/>
    <w:rsid w:val="00DD117C"/>
    <w:rsid w:val="00DD1F04"/>
    <w:rsid w:val="00DD2E66"/>
    <w:rsid w:val="00DD3BF1"/>
    <w:rsid w:val="00DD3CCA"/>
    <w:rsid w:val="00DD3E0B"/>
    <w:rsid w:val="00DD5032"/>
    <w:rsid w:val="00DD55AE"/>
    <w:rsid w:val="00DD624F"/>
    <w:rsid w:val="00DE00AD"/>
    <w:rsid w:val="00DE088F"/>
    <w:rsid w:val="00DE11CD"/>
    <w:rsid w:val="00DE1C7A"/>
    <w:rsid w:val="00DE49DB"/>
    <w:rsid w:val="00DE652D"/>
    <w:rsid w:val="00DF19C8"/>
    <w:rsid w:val="00DF3CCD"/>
    <w:rsid w:val="00DF7F4D"/>
    <w:rsid w:val="00E0023E"/>
    <w:rsid w:val="00E03FE5"/>
    <w:rsid w:val="00E045C8"/>
    <w:rsid w:val="00E12730"/>
    <w:rsid w:val="00E13604"/>
    <w:rsid w:val="00E14CA7"/>
    <w:rsid w:val="00E15A94"/>
    <w:rsid w:val="00E15E4B"/>
    <w:rsid w:val="00E201D6"/>
    <w:rsid w:val="00E203DC"/>
    <w:rsid w:val="00E23DF7"/>
    <w:rsid w:val="00E23F43"/>
    <w:rsid w:val="00E243A5"/>
    <w:rsid w:val="00E2470D"/>
    <w:rsid w:val="00E26887"/>
    <w:rsid w:val="00E30FF3"/>
    <w:rsid w:val="00E326CD"/>
    <w:rsid w:val="00E327DB"/>
    <w:rsid w:val="00E331B8"/>
    <w:rsid w:val="00E33377"/>
    <w:rsid w:val="00E3338D"/>
    <w:rsid w:val="00E35D5A"/>
    <w:rsid w:val="00E36B09"/>
    <w:rsid w:val="00E4042D"/>
    <w:rsid w:val="00E4117F"/>
    <w:rsid w:val="00E41B11"/>
    <w:rsid w:val="00E44350"/>
    <w:rsid w:val="00E45EC4"/>
    <w:rsid w:val="00E4624E"/>
    <w:rsid w:val="00E465F0"/>
    <w:rsid w:val="00E4739B"/>
    <w:rsid w:val="00E507BD"/>
    <w:rsid w:val="00E51A94"/>
    <w:rsid w:val="00E53179"/>
    <w:rsid w:val="00E54E02"/>
    <w:rsid w:val="00E6025C"/>
    <w:rsid w:val="00E6147D"/>
    <w:rsid w:val="00E614EA"/>
    <w:rsid w:val="00E615C4"/>
    <w:rsid w:val="00E6470B"/>
    <w:rsid w:val="00E64751"/>
    <w:rsid w:val="00E64DE5"/>
    <w:rsid w:val="00E6509F"/>
    <w:rsid w:val="00E6718E"/>
    <w:rsid w:val="00E70BF3"/>
    <w:rsid w:val="00E71C52"/>
    <w:rsid w:val="00E72F3F"/>
    <w:rsid w:val="00E73485"/>
    <w:rsid w:val="00E757B8"/>
    <w:rsid w:val="00E7586D"/>
    <w:rsid w:val="00E76A10"/>
    <w:rsid w:val="00E76A7C"/>
    <w:rsid w:val="00E81A28"/>
    <w:rsid w:val="00E838D7"/>
    <w:rsid w:val="00E83FD1"/>
    <w:rsid w:val="00E86F09"/>
    <w:rsid w:val="00E8701B"/>
    <w:rsid w:val="00E90C6A"/>
    <w:rsid w:val="00E920BD"/>
    <w:rsid w:val="00E92BC6"/>
    <w:rsid w:val="00E93679"/>
    <w:rsid w:val="00E945E6"/>
    <w:rsid w:val="00E94E77"/>
    <w:rsid w:val="00E96163"/>
    <w:rsid w:val="00E96321"/>
    <w:rsid w:val="00E96515"/>
    <w:rsid w:val="00E96D8E"/>
    <w:rsid w:val="00E97F73"/>
    <w:rsid w:val="00EA06C3"/>
    <w:rsid w:val="00EA0C49"/>
    <w:rsid w:val="00EA1782"/>
    <w:rsid w:val="00EA41FD"/>
    <w:rsid w:val="00EB0439"/>
    <w:rsid w:val="00EB057F"/>
    <w:rsid w:val="00EB1A21"/>
    <w:rsid w:val="00EB1BF3"/>
    <w:rsid w:val="00EB1D88"/>
    <w:rsid w:val="00EB218E"/>
    <w:rsid w:val="00EB3B71"/>
    <w:rsid w:val="00EB6570"/>
    <w:rsid w:val="00EB7BC9"/>
    <w:rsid w:val="00EC2B15"/>
    <w:rsid w:val="00EC31C0"/>
    <w:rsid w:val="00EC6CE2"/>
    <w:rsid w:val="00EC7D77"/>
    <w:rsid w:val="00ED0916"/>
    <w:rsid w:val="00ED1349"/>
    <w:rsid w:val="00ED1D13"/>
    <w:rsid w:val="00ED1D4A"/>
    <w:rsid w:val="00ED2204"/>
    <w:rsid w:val="00ED2CA2"/>
    <w:rsid w:val="00ED3290"/>
    <w:rsid w:val="00ED466C"/>
    <w:rsid w:val="00ED66AC"/>
    <w:rsid w:val="00ED77A4"/>
    <w:rsid w:val="00ED7B53"/>
    <w:rsid w:val="00EE2910"/>
    <w:rsid w:val="00EE2954"/>
    <w:rsid w:val="00EE3BC3"/>
    <w:rsid w:val="00EE4A6A"/>
    <w:rsid w:val="00EE4C0B"/>
    <w:rsid w:val="00EE5919"/>
    <w:rsid w:val="00EF22E7"/>
    <w:rsid w:val="00EF2D9E"/>
    <w:rsid w:val="00EF367E"/>
    <w:rsid w:val="00EF4B52"/>
    <w:rsid w:val="00EF542E"/>
    <w:rsid w:val="00EF68AD"/>
    <w:rsid w:val="00EF6960"/>
    <w:rsid w:val="00F0048B"/>
    <w:rsid w:val="00F010FE"/>
    <w:rsid w:val="00F02CED"/>
    <w:rsid w:val="00F049BF"/>
    <w:rsid w:val="00F05F2F"/>
    <w:rsid w:val="00F0662A"/>
    <w:rsid w:val="00F07848"/>
    <w:rsid w:val="00F12377"/>
    <w:rsid w:val="00F13809"/>
    <w:rsid w:val="00F143B4"/>
    <w:rsid w:val="00F14B85"/>
    <w:rsid w:val="00F17A0D"/>
    <w:rsid w:val="00F17EDD"/>
    <w:rsid w:val="00F20649"/>
    <w:rsid w:val="00F22253"/>
    <w:rsid w:val="00F22A1E"/>
    <w:rsid w:val="00F22EED"/>
    <w:rsid w:val="00F23059"/>
    <w:rsid w:val="00F23219"/>
    <w:rsid w:val="00F238A7"/>
    <w:rsid w:val="00F239CD"/>
    <w:rsid w:val="00F251EC"/>
    <w:rsid w:val="00F25D58"/>
    <w:rsid w:val="00F27602"/>
    <w:rsid w:val="00F3006F"/>
    <w:rsid w:val="00F31CB2"/>
    <w:rsid w:val="00F32854"/>
    <w:rsid w:val="00F33412"/>
    <w:rsid w:val="00F34DEC"/>
    <w:rsid w:val="00F361DA"/>
    <w:rsid w:val="00F3665A"/>
    <w:rsid w:val="00F36B69"/>
    <w:rsid w:val="00F406AD"/>
    <w:rsid w:val="00F41040"/>
    <w:rsid w:val="00F434EE"/>
    <w:rsid w:val="00F4354C"/>
    <w:rsid w:val="00F4634C"/>
    <w:rsid w:val="00F50586"/>
    <w:rsid w:val="00F51385"/>
    <w:rsid w:val="00F514DE"/>
    <w:rsid w:val="00F52DF3"/>
    <w:rsid w:val="00F538E7"/>
    <w:rsid w:val="00F5396C"/>
    <w:rsid w:val="00F53FD0"/>
    <w:rsid w:val="00F54671"/>
    <w:rsid w:val="00F559AD"/>
    <w:rsid w:val="00F55FA9"/>
    <w:rsid w:val="00F61075"/>
    <w:rsid w:val="00F61B89"/>
    <w:rsid w:val="00F62CE3"/>
    <w:rsid w:val="00F64D8E"/>
    <w:rsid w:val="00F65C5E"/>
    <w:rsid w:val="00F679B9"/>
    <w:rsid w:val="00F67B3A"/>
    <w:rsid w:val="00F70330"/>
    <w:rsid w:val="00F712F2"/>
    <w:rsid w:val="00F71B4A"/>
    <w:rsid w:val="00F71FFA"/>
    <w:rsid w:val="00F732DD"/>
    <w:rsid w:val="00F75C83"/>
    <w:rsid w:val="00F75D8A"/>
    <w:rsid w:val="00F76CA4"/>
    <w:rsid w:val="00F77A31"/>
    <w:rsid w:val="00F77BDE"/>
    <w:rsid w:val="00F80E85"/>
    <w:rsid w:val="00F8206F"/>
    <w:rsid w:val="00F820E8"/>
    <w:rsid w:val="00F85853"/>
    <w:rsid w:val="00F85874"/>
    <w:rsid w:val="00F85CCE"/>
    <w:rsid w:val="00F86200"/>
    <w:rsid w:val="00F86EFD"/>
    <w:rsid w:val="00F87AED"/>
    <w:rsid w:val="00F94DD9"/>
    <w:rsid w:val="00F958A5"/>
    <w:rsid w:val="00F96083"/>
    <w:rsid w:val="00F9764B"/>
    <w:rsid w:val="00FA1151"/>
    <w:rsid w:val="00FA1302"/>
    <w:rsid w:val="00FA1851"/>
    <w:rsid w:val="00FA3D24"/>
    <w:rsid w:val="00FA3D9D"/>
    <w:rsid w:val="00FA3DEF"/>
    <w:rsid w:val="00FA615C"/>
    <w:rsid w:val="00FB165A"/>
    <w:rsid w:val="00FC3096"/>
    <w:rsid w:val="00FC3515"/>
    <w:rsid w:val="00FC391B"/>
    <w:rsid w:val="00FC3F2A"/>
    <w:rsid w:val="00FC3FE9"/>
    <w:rsid w:val="00FC40C0"/>
    <w:rsid w:val="00FC4453"/>
    <w:rsid w:val="00FC48E8"/>
    <w:rsid w:val="00FC613E"/>
    <w:rsid w:val="00FC6981"/>
    <w:rsid w:val="00FC6CC4"/>
    <w:rsid w:val="00FC78CD"/>
    <w:rsid w:val="00FD1315"/>
    <w:rsid w:val="00FD1C30"/>
    <w:rsid w:val="00FD1F6A"/>
    <w:rsid w:val="00FD24CF"/>
    <w:rsid w:val="00FD39B4"/>
    <w:rsid w:val="00FD610F"/>
    <w:rsid w:val="00FD6466"/>
    <w:rsid w:val="00FD69F8"/>
    <w:rsid w:val="00FD6E1E"/>
    <w:rsid w:val="00FD70A6"/>
    <w:rsid w:val="00FD7E99"/>
    <w:rsid w:val="00FE049A"/>
    <w:rsid w:val="00FE1B62"/>
    <w:rsid w:val="00FE25F6"/>
    <w:rsid w:val="00FE3E95"/>
    <w:rsid w:val="00FE46A4"/>
    <w:rsid w:val="00FE5642"/>
    <w:rsid w:val="00FE742E"/>
    <w:rsid w:val="00FF02B2"/>
    <w:rsid w:val="00FF2E4D"/>
    <w:rsid w:val="00FF4E86"/>
    <w:rsid w:val="17FA43D0"/>
    <w:rsid w:val="19172D1E"/>
    <w:rsid w:val="2BA4543C"/>
    <w:rsid w:val="3E573D4E"/>
    <w:rsid w:val="75DD4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67"/>
        <o:r id="V:Rule2" type="connector" idref="#_x0000_s111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5"/>
    <w:qFormat/>
    <w:uiPriority w:val="0"/>
    <w:pPr>
      <w:keepLines/>
      <w:ind w:left="510" w:hanging="510"/>
      <w:jc w:val="center"/>
      <w:outlineLvl w:val="0"/>
    </w:pPr>
    <w:rPr>
      <w:kern w:val="44"/>
      <w:sz w:val="32"/>
    </w:rPr>
  </w:style>
  <w:style w:type="paragraph" w:styleId="3">
    <w:name w:val="heading 2"/>
    <w:basedOn w:val="4"/>
    <w:next w:val="1"/>
    <w:link w:val="40"/>
    <w:qFormat/>
    <w:uiPriority w:val="0"/>
    <w:pPr>
      <w:ind w:left="680" w:hanging="680"/>
      <w:outlineLvl w:val="1"/>
    </w:pPr>
    <w:rPr>
      <w:sz w:val="28"/>
    </w:rPr>
  </w:style>
  <w:style w:type="paragraph" w:styleId="4">
    <w:name w:val="heading 3"/>
    <w:basedOn w:val="1"/>
    <w:next w:val="1"/>
    <w:link w:val="60"/>
    <w:qFormat/>
    <w:uiPriority w:val="0"/>
    <w:pPr>
      <w:widowControl/>
      <w:topLinePunct/>
      <w:adjustRightInd w:val="0"/>
      <w:snapToGrid w:val="0"/>
      <w:spacing w:before="120" w:after="120" w:line="360" w:lineRule="auto"/>
      <w:ind w:left="907" w:hanging="907"/>
      <w:outlineLvl w:val="2"/>
    </w:pPr>
    <w:rPr>
      <w:b/>
      <w:snapToGrid w:val="0"/>
      <w:kern w:val="0"/>
      <w:sz w:val="24"/>
      <w:szCs w:val="20"/>
    </w:rPr>
  </w:style>
  <w:style w:type="paragraph" w:styleId="5">
    <w:name w:val="heading 4"/>
    <w:basedOn w:val="1"/>
    <w:next w:val="6"/>
    <w:link w:val="64"/>
    <w:qFormat/>
    <w:uiPriority w:val="0"/>
    <w:pPr>
      <w:widowControl/>
      <w:topLinePunct/>
      <w:adjustRightInd w:val="0"/>
      <w:snapToGrid w:val="0"/>
      <w:spacing w:before="120" w:after="120" w:line="360" w:lineRule="auto"/>
      <w:ind w:left="1021" w:hanging="1021"/>
      <w:outlineLvl w:val="3"/>
    </w:pPr>
    <w:rPr>
      <w:rFonts w:ascii="宋体"/>
      <w:b/>
      <w:snapToGrid w:val="0"/>
      <w:kern w:val="0"/>
      <w:sz w:val="24"/>
      <w:szCs w:val="20"/>
    </w:rPr>
  </w:style>
  <w:style w:type="paragraph" w:styleId="7">
    <w:name w:val="heading 5"/>
    <w:basedOn w:val="1"/>
    <w:next w:val="6"/>
    <w:link w:val="70"/>
    <w:qFormat/>
    <w:uiPriority w:val="0"/>
    <w:pPr>
      <w:keepNext/>
      <w:topLinePunct/>
      <w:adjustRightInd w:val="0"/>
      <w:snapToGrid w:val="0"/>
      <w:spacing w:before="120" w:after="120" w:line="360" w:lineRule="auto"/>
      <w:ind w:left="1077" w:hanging="1077"/>
      <w:outlineLvl w:val="4"/>
    </w:pPr>
    <w:rPr>
      <w:rFonts w:ascii="宋体"/>
      <w:b/>
      <w:snapToGrid w:val="0"/>
      <w:kern w:val="0"/>
      <w:sz w:val="24"/>
      <w:szCs w:val="20"/>
    </w:rPr>
  </w:style>
  <w:style w:type="paragraph" w:styleId="8">
    <w:name w:val="heading 6"/>
    <w:basedOn w:val="1"/>
    <w:next w:val="6"/>
    <w:link w:val="41"/>
    <w:qFormat/>
    <w:uiPriority w:val="0"/>
    <w:pPr>
      <w:keepNext/>
      <w:keepLines/>
      <w:topLinePunct/>
      <w:adjustRightInd w:val="0"/>
      <w:snapToGrid w:val="0"/>
      <w:spacing w:before="240" w:after="64" w:line="319" w:lineRule="auto"/>
      <w:ind w:left="1152" w:hanging="1152"/>
      <w:outlineLvl w:val="5"/>
    </w:pPr>
    <w:rPr>
      <w:rFonts w:ascii="Arial" w:hAnsi="Arial" w:eastAsia="黑体"/>
      <w:b/>
      <w:snapToGrid w:val="0"/>
      <w:kern w:val="0"/>
      <w:sz w:val="24"/>
      <w:szCs w:val="20"/>
    </w:rPr>
  </w:style>
  <w:style w:type="paragraph" w:styleId="9">
    <w:name w:val="heading 7"/>
    <w:basedOn w:val="1"/>
    <w:next w:val="6"/>
    <w:link w:val="66"/>
    <w:qFormat/>
    <w:uiPriority w:val="0"/>
    <w:pPr>
      <w:keepNext/>
      <w:keepLines/>
      <w:topLinePunct/>
      <w:adjustRightInd w:val="0"/>
      <w:snapToGrid w:val="0"/>
      <w:spacing w:before="240" w:after="64" w:line="319" w:lineRule="auto"/>
      <w:ind w:left="1296" w:hanging="1296"/>
      <w:outlineLvl w:val="6"/>
    </w:pPr>
    <w:rPr>
      <w:rFonts w:ascii="宋体"/>
      <w:b/>
      <w:snapToGrid w:val="0"/>
      <w:kern w:val="0"/>
      <w:sz w:val="24"/>
      <w:szCs w:val="20"/>
    </w:rPr>
  </w:style>
  <w:style w:type="paragraph" w:styleId="10">
    <w:name w:val="heading 8"/>
    <w:basedOn w:val="1"/>
    <w:next w:val="6"/>
    <w:link w:val="58"/>
    <w:qFormat/>
    <w:uiPriority w:val="0"/>
    <w:pPr>
      <w:keepNext/>
      <w:keepLines/>
      <w:topLinePunct/>
      <w:adjustRightInd w:val="0"/>
      <w:snapToGrid w:val="0"/>
      <w:spacing w:before="240" w:after="64" w:line="319" w:lineRule="auto"/>
      <w:ind w:left="1440" w:hanging="1440"/>
      <w:outlineLvl w:val="7"/>
    </w:pPr>
    <w:rPr>
      <w:rFonts w:ascii="Arial" w:hAnsi="Arial" w:eastAsia="黑体"/>
      <w:snapToGrid w:val="0"/>
      <w:kern w:val="0"/>
      <w:sz w:val="24"/>
      <w:szCs w:val="20"/>
    </w:rPr>
  </w:style>
  <w:style w:type="paragraph" w:styleId="11">
    <w:name w:val="heading 9"/>
    <w:basedOn w:val="1"/>
    <w:next w:val="6"/>
    <w:link w:val="63"/>
    <w:qFormat/>
    <w:uiPriority w:val="0"/>
    <w:pPr>
      <w:keepNext/>
      <w:keepLines/>
      <w:topLinePunct/>
      <w:adjustRightInd w:val="0"/>
      <w:snapToGrid w:val="0"/>
      <w:spacing w:before="240" w:after="64" w:line="319" w:lineRule="auto"/>
      <w:ind w:left="1584" w:hanging="1584"/>
      <w:outlineLvl w:val="8"/>
    </w:pPr>
    <w:rPr>
      <w:rFonts w:ascii="Arial" w:hAnsi="Arial" w:eastAsia="黑体"/>
      <w:snapToGrid w:val="0"/>
      <w:kern w:val="0"/>
      <w:sz w:val="20"/>
      <w:szCs w:val="20"/>
    </w:rPr>
  </w:style>
  <w:style w:type="character" w:default="1" w:styleId="26">
    <w:name w:val="Default Paragraph Font"/>
    <w:qFormat/>
    <w:uiPriority w:val="0"/>
  </w:style>
  <w:style w:type="table" w:default="1" w:styleId="24">
    <w:name w:val="Normal Table"/>
    <w:unhideWhenUsed/>
    <w:qFormat/>
    <w:uiPriority w:val="99"/>
    <w:tblPr>
      <w:tblCellMar>
        <w:top w:w="0" w:type="dxa"/>
        <w:left w:w="108" w:type="dxa"/>
        <w:bottom w:w="0" w:type="dxa"/>
        <w:right w:w="108" w:type="dxa"/>
      </w:tblCellMar>
    </w:tblPr>
  </w:style>
  <w:style w:type="paragraph" w:customStyle="1" w:styleId="6">
    <w:name w:val="Normal Indent1"/>
    <w:basedOn w:val="1"/>
    <w:qFormat/>
    <w:uiPriority w:val="0"/>
    <w:pPr>
      <w:ind w:firstLine="420"/>
    </w:pPr>
  </w:style>
  <w:style w:type="paragraph" w:styleId="12">
    <w:name w:val="Document Map"/>
    <w:basedOn w:val="1"/>
    <w:semiHidden/>
    <w:qFormat/>
    <w:uiPriority w:val="0"/>
    <w:pPr>
      <w:shd w:val="clear" w:color="auto" w:fill="000080"/>
    </w:pPr>
  </w:style>
  <w:style w:type="paragraph" w:styleId="13">
    <w:name w:val="annotation text"/>
    <w:basedOn w:val="1"/>
    <w:link w:val="62"/>
    <w:qFormat/>
    <w:uiPriority w:val="0"/>
    <w:pPr>
      <w:jc w:val="left"/>
    </w:pPr>
    <w:rPr>
      <w:kern w:val="0"/>
      <w:sz w:val="20"/>
    </w:rPr>
  </w:style>
  <w:style w:type="paragraph" w:styleId="14">
    <w:name w:val="Body Text"/>
    <w:basedOn w:val="1"/>
    <w:link w:val="34"/>
    <w:qFormat/>
    <w:uiPriority w:val="99"/>
    <w:pPr>
      <w:spacing w:after="120"/>
    </w:pPr>
    <w:rPr>
      <w:kern w:val="0"/>
      <w:sz w:val="20"/>
    </w:rPr>
  </w:style>
  <w:style w:type="paragraph" w:styleId="15">
    <w:name w:val="Body Text Indent"/>
    <w:basedOn w:val="1"/>
    <w:link w:val="75"/>
    <w:unhideWhenUsed/>
    <w:qFormat/>
    <w:uiPriority w:val="99"/>
    <w:pPr>
      <w:spacing w:after="120"/>
      <w:ind w:left="420" w:leftChars="200"/>
    </w:pPr>
  </w:style>
  <w:style w:type="paragraph" w:styleId="16">
    <w:name w:val="Plain Text"/>
    <w:basedOn w:val="1"/>
    <w:link w:val="72"/>
    <w:qFormat/>
    <w:uiPriority w:val="0"/>
    <w:rPr>
      <w:rFonts w:ascii="宋体" w:hAnsi="Courier New"/>
      <w:szCs w:val="21"/>
    </w:rPr>
  </w:style>
  <w:style w:type="paragraph" w:styleId="17">
    <w:name w:val="Body Text Indent 2"/>
    <w:basedOn w:val="1"/>
    <w:link w:val="61"/>
    <w:qFormat/>
    <w:uiPriority w:val="0"/>
    <w:pPr>
      <w:spacing w:after="120" w:line="480" w:lineRule="auto"/>
      <w:ind w:left="420" w:leftChars="200"/>
    </w:pPr>
  </w:style>
  <w:style w:type="paragraph" w:styleId="18">
    <w:name w:val="Balloon Text"/>
    <w:basedOn w:val="1"/>
    <w:link w:val="59"/>
    <w:qFormat/>
    <w:uiPriority w:val="0"/>
    <w:rPr>
      <w:kern w:val="0"/>
      <w:sz w:val="18"/>
      <w:szCs w:val="18"/>
    </w:rPr>
  </w:style>
  <w:style w:type="paragraph" w:styleId="19">
    <w:name w:val="footer"/>
    <w:basedOn w:val="1"/>
    <w:link w:val="46"/>
    <w:qFormat/>
    <w:uiPriority w:val="0"/>
    <w:pPr>
      <w:tabs>
        <w:tab w:val="center" w:pos="4153"/>
        <w:tab w:val="right" w:pos="8306"/>
      </w:tabs>
      <w:snapToGrid w:val="0"/>
      <w:jc w:val="left"/>
    </w:pPr>
    <w:rPr>
      <w:kern w:val="0"/>
      <w:sz w:val="18"/>
      <w:szCs w:val="18"/>
    </w:rPr>
  </w:style>
  <w:style w:type="paragraph" w:styleId="20">
    <w:name w:val="header"/>
    <w:basedOn w:val="1"/>
    <w:link w:val="36"/>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HTML Preformatted"/>
    <w:basedOn w:val="1"/>
    <w:link w:val="74"/>
    <w:unhideWhenUsed/>
    <w:qFormat/>
    <w:uiPriority w:val="99"/>
    <w:rPr>
      <w:rFonts w:ascii="Courier New" w:hAnsi="Courier New"/>
      <w:sz w:val="20"/>
      <w:szCs w:val="20"/>
    </w:r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3">
    <w:name w:val="annotation subject"/>
    <w:basedOn w:val="13"/>
    <w:next w:val="13"/>
    <w:link w:val="39"/>
    <w:qFormat/>
    <w:uiPriority w:val="0"/>
    <w:rPr>
      <w:b/>
      <w:bCs/>
      <w:kern w:val="2"/>
      <w:sz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bCs/>
    </w:rPr>
  </w:style>
  <w:style w:type="character" w:styleId="28">
    <w:name w:val="page number"/>
    <w:basedOn w:val="26"/>
    <w:qFormat/>
    <w:uiPriority w:val="0"/>
  </w:style>
  <w:style w:type="character" w:styleId="29">
    <w:name w:val="Hyperlink"/>
    <w:qFormat/>
    <w:uiPriority w:val="0"/>
    <w:rPr>
      <w:color w:val="3366CC"/>
      <w:u w:val="single"/>
    </w:rPr>
  </w:style>
  <w:style w:type="character" w:styleId="30">
    <w:name w:val="annotation reference"/>
    <w:qFormat/>
    <w:uiPriority w:val="0"/>
    <w:rPr>
      <w:sz w:val="21"/>
      <w:szCs w:val="21"/>
    </w:rPr>
  </w:style>
  <w:style w:type="character" w:customStyle="1" w:styleId="31">
    <w:name w:val="纯文本 Char"/>
    <w:link w:val="32"/>
    <w:qFormat/>
    <w:uiPriority w:val="99"/>
    <w:rPr>
      <w:rFonts w:ascii="宋体" w:hAnsi="Times New Roman" w:eastAsia="宋体" w:cs="Times New Roman"/>
      <w:snapToGrid w:val="0"/>
      <w:szCs w:val="24"/>
    </w:rPr>
  </w:style>
  <w:style w:type="paragraph" w:customStyle="1" w:styleId="32">
    <w:name w:val="Plain Text"/>
    <w:basedOn w:val="1"/>
    <w:link w:val="31"/>
    <w:qFormat/>
    <w:uiPriority w:val="99"/>
    <w:pPr>
      <w:topLinePunct/>
      <w:adjustRightInd w:val="0"/>
      <w:snapToGrid w:val="0"/>
    </w:pPr>
    <w:rPr>
      <w:rFonts w:ascii="宋体"/>
      <w:snapToGrid w:val="0"/>
      <w:kern w:val="0"/>
      <w:sz w:val="20"/>
    </w:rPr>
  </w:style>
  <w:style w:type="character" w:customStyle="1" w:styleId="33">
    <w:name w:val="正文首行缩进 Char"/>
    <w:basedOn w:val="34"/>
    <w:link w:val="35"/>
    <w:qFormat/>
    <w:uiPriority w:val="0"/>
  </w:style>
  <w:style w:type="character" w:customStyle="1" w:styleId="34">
    <w:name w:val="正文文本 Char"/>
    <w:link w:val="14"/>
    <w:qFormat/>
    <w:uiPriority w:val="99"/>
    <w:rPr>
      <w:rFonts w:ascii="Times New Roman" w:hAnsi="Times New Roman" w:eastAsia="宋体" w:cs="Times New Roman"/>
      <w:szCs w:val="24"/>
    </w:rPr>
  </w:style>
  <w:style w:type="paragraph" w:customStyle="1" w:styleId="35">
    <w:name w:val="Body Text First Indent"/>
    <w:basedOn w:val="14"/>
    <w:link w:val="33"/>
    <w:qFormat/>
    <w:uiPriority w:val="0"/>
    <w:pPr>
      <w:ind w:firstLine="100" w:firstLineChars="100"/>
    </w:pPr>
  </w:style>
  <w:style w:type="character" w:customStyle="1" w:styleId="36">
    <w:name w:val="页眉 Char"/>
    <w:link w:val="20"/>
    <w:qFormat/>
    <w:uiPriority w:val="0"/>
    <w:rPr>
      <w:sz w:val="18"/>
      <w:szCs w:val="18"/>
    </w:rPr>
  </w:style>
  <w:style w:type="character" w:customStyle="1" w:styleId="37">
    <w:name w:val="正文文本 2 Char"/>
    <w:link w:val="38"/>
    <w:qFormat/>
    <w:uiPriority w:val="0"/>
    <w:rPr>
      <w:rFonts w:ascii="Times New Roman" w:hAnsi="Times New Roman" w:eastAsia="宋体" w:cs="Times New Roman"/>
      <w:sz w:val="28"/>
      <w:szCs w:val="24"/>
    </w:rPr>
  </w:style>
  <w:style w:type="paragraph" w:customStyle="1" w:styleId="38">
    <w:name w:val="Body Text 2"/>
    <w:basedOn w:val="1"/>
    <w:link w:val="37"/>
    <w:qFormat/>
    <w:uiPriority w:val="0"/>
    <w:rPr>
      <w:kern w:val="0"/>
      <w:sz w:val="28"/>
    </w:rPr>
  </w:style>
  <w:style w:type="character" w:customStyle="1" w:styleId="39">
    <w:name w:val="批注主题 Char"/>
    <w:link w:val="23"/>
    <w:qFormat/>
    <w:uiPriority w:val="0"/>
    <w:rPr>
      <w:rFonts w:ascii="Times New Roman" w:hAnsi="Times New Roman" w:eastAsia="宋体" w:cs="Times New Roman"/>
      <w:b/>
      <w:bCs/>
      <w:kern w:val="2"/>
      <w:sz w:val="21"/>
      <w:szCs w:val="24"/>
    </w:rPr>
  </w:style>
  <w:style w:type="character" w:customStyle="1" w:styleId="40">
    <w:name w:val="标题 2 Char"/>
    <w:link w:val="3"/>
    <w:qFormat/>
    <w:uiPriority w:val="0"/>
    <w:rPr>
      <w:rFonts w:ascii="Times New Roman" w:hAnsi="Times New Roman" w:eastAsia="宋体" w:cs="Times New Roman"/>
      <w:b/>
      <w:snapToGrid w:val="0"/>
      <w:kern w:val="0"/>
      <w:sz w:val="28"/>
      <w:szCs w:val="20"/>
    </w:rPr>
  </w:style>
  <w:style w:type="character" w:customStyle="1" w:styleId="41">
    <w:name w:val="标题 6 Char"/>
    <w:link w:val="8"/>
    <w:qFormat/>
    <w:uiPriority w:val="0"/>
    <w:rPr>
      <w:rFonts w:ascii="Arial" w:hAnsi="Arial" w:eastAsia="黑体" w:cs="Times New Roman"/>
      <w:b/>
      <w:snapToGrid w:val="0"/>
      <w:kern w:val="0"/>
      <w:sz w:val="24"/>
      <w:szCs w:val="20"/>
    </w:rPr>
  </w:style>
  <w:style w:type="character" w:customStyle="1" w:styleId="42">
    <w:name w:val="Char Char1"/>
    <w:qFormat/>
    <w:uiPriority w:val="0"/>
    <w:rPr>
      <w:rFonts w:ascii="宋体" w:eastAsia="宋体"/>
      <w:snapToGrid w:val="0"/>
      <w:sz w:val="21"/>
      <w:lang w:val="en-US" w:eastAsia="zh-CN"/>
    </w:rPr>
  </w:style>
  <w:style w:type="character" w:customStyle="1" w:styleId="43">
    <w:name w:val="表格文字2 Char Char"/>
    <w:link w:val="44"/>
    <w:qFormat/>
    <w:uiPriority w:val="0"/>
    <w:rPr>
      <w:rFonts w:ascii="Times New Roman" w:hAnsi="Times New Roman" w:eastAsia="宋体" w:cs="Times New Roman"/>
      <w:kern w:val="0"/>
      <w:szCs w:val="21"/>
    </w:rPr>
  </w:style>
  <w:style w:type="paragraph" w:customStyle="1" w:styleId="44">
    <w:name w:val="表格文字2"/>
    <w:basedOn w:val="1"/>
    <w:link w:val="43"/>
    <w:qFormat/>
    <w:uiPriority w:val="0"/>
    <w:pPr>
      <w:widowControl/>
      <w:tabs>
        <w:tab w:val="left" w:pos="277"/>
        <w:tab w:val="left" w:pos="600"/>
        <w:tab w:val="left" w:pos="780"/>
        <w:tab w:val="left" w:pos="2517"/>
      </w:tabs>
      <w:adjustRightInd w:val="0"/>
      <w:jc w:val="center"/>
      <w:textAlignment w:val="baseline"/>
    </w:pPr>
    <w:rPr>
      <w:kern w:val="0"/>
      <w:sz w:val="20"/>
      <w:szCs w:val="21"/>
    </w:rPr>
  </w:style>
  <w:style w:type="character" w:customStyle="1" w:styleId="45">
    <w:name w:val="标题 1 Char"/>
    <w:link w:val="2"/>
    <w:qFormat/>
    <w:uiPriority w:val="0"/>
    <w:rPr>
      <w:rFonts w:ascii="Times New Roman" w:hAnsi="Times New Roman" w:eastAsia="宋体" w:cs="Times New Roman"/>
      <w:b/>
      <w:snapToGrid w:val="0"/>
      <w:kern w:val="44"/>
      <w:sz w:val="32"/>
      <w:szCs w:val="20"/>
    </w:rPr>
  </w:style>
  <w:style w:type="character" w:customStyle="1" w:styleId="46">
    <w:name w:val="页脚 Char"/>
    <w:link w:val="19"/>
    <w:qFormat/>
    <w:uiPriority w:val="0"/>
    <w:rPr>
      <w:sz w:val="18"/>
      <w:szCs w:val="18"/>
    </w:rPr>
  </w:style>
  <w:style w:type="character" w:customStyle="1" w:styleId="47">
    <w:name w:val="普通(网站) Char"/>
    <w:link w:val="48"/>
    <w:qFormat/>
    <w:uiPriority w:val="99"/>
    <w:rPr>
      <w:rFonts w:ascii="宋体" w:hAnsi="Times New Roman" w:eastAsia="宋体" w:cs="Times New Roman"/>
      <w:kern w:val="0"/>
      <w:sz w:val="24"/>
      <w:szCs w:val="24"/>
    </w:rPr>
  </w:style>
  <w:style w:type="paragraph" w:customStyle="1" w:styleId="48">
    <w:name w:val="Normal (Web)"/>
    <w:basedOn w:val="1"/>
    <w:link w:val="47"/>
    <w:qFormat/>
    <w:uiPriority w:val="99"/>
    <w:pPr>
      <w:widowControl/>
      <w:spacing w:before="100" w:beforeAutospacing="1" w:after="100" w:afterAutospacing="1"/>
      <w:jc w:val="left"/>
    </w:pPr>
    <w:rPr>
      <w:rFonts w:ascii="宋体"/>
      <w:kern w:val="0"/>
      <w:sz w:val="24"/>
    </w:rPr>
  </w:style>
  <w:style w:type="character" w:customStyle="1" w:styleId="49">
    <w:name w:val="文档结构图 Char"/>
    <w:link w:val="50"/>
    <w:qFormat/>
    <w:uiPriority w:val="0"/>
    <w:rPr>
      <w:rFonts w:ascii="Times New Roman" w:hAnsi="Times New Roman" w:eastAsia="宋体" w:cs="Times New Roman"/>
      <w:szCs w:val="24"/>
      <w:shd w:val="clear" w:color="auto" w:fill="000080"/>
    </w:rPr>
  </w:style>
  <w:style w:type="paragraph" w:customStyle="1" w:styleId="50">
    <w:name w:val="Document Map"/>
    <w:basedOn w:val="1"/>
    <w:link w:val="49"/>
    <w:qFormat/>
    <w:uiPriority w:val="0"/>
    <w:pPr>
      <w:shd w:val="clear" w:color="auto" w:fill="000080"/>
    </w:pPr>
    <w:rPr>
      <w:kern w:val="0"/>
      <w:sz w:val="20"/>
      <w:shd w:val="clear" w:color="auto" w:fill="000080"/>
    </w:rPr>
  </w:style>
  <w:style w:type="character" w:customStyle="1" w:styleId="51">
    <w:name w:val="正文文本缩进 3 Char"/>
    <w:link w:val="52"/>
    <w:qFormat/>
    <w:uiPriority w:val="0"/>
    <w:rPr>
      <w:rFonts w:ascii="Times New Roman" w:hAnsi="Times New Roman" w:eastAsia="宋体" w:cs="Times New Roman"/>
      <w:sz w:val="28"/>
      <w:szCs w:val="24"/>
    </w:rPr>
  </w:style>
  <w:style w:type="paragraph" w:customStyle="1" w:styleId="52">
    <w:name w:val="Body Text Indent 3"/>
    <w:basedOn w:val="1"/>
    <w:link w:val="51"/>
    <w:qFormat/>
    <w:uiPriority w:val="0"/>
    <w:pPr>
      <w:spacing w:line="580" w:lineRule="exact"/>
      <w:ind w:firstLine="573"/>
    </w:pPr>
    <w:rPr>
      <w:kern w:val="0"/>
      <w:sz w:val="28"/>
    </w:rPr>
  </w:style>
  <w:style w:type="character" w:customStyle="1" w:styleId="53">
    <w:name w:val="HTML 预设格式 Char"/>
    <w:link w:val="54"/>
    <w:qFormat/>
    <w:uiPriority w:val="0"/>
    <w:rPr>
      <w:rFonts w:ascii="宋体" w:hAnsi="宋体" w:eastAsia="宋体" w:cs="宋体"/>
      <w:kern w:val="0"/>
      <w:sz w:val="24"/>
      <w:szCs w:val="24"/>
    </w:rPr>
  </w:style>
  <w:style w:type="paragraph" w:customStyle="1" w:styleId="54">
    <w:name w:val="HTML Preformatted"/>
    <w:basedOn w:val="1"/>
    <w:link w:val="5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55">
    <w:name w:val="正文文本缩进 Char"/>
    <w:link w:val="56"/>
    <w:qFormat/>
    <w:uiPriority w:val="0"/>
    <w:rPr>
      <w:sz w:val="28"/>
      <w:szCs w:val="24"/>
      <w:lang w:val="en-US" w:eastAsia="zh-CN" w:bidi="ar-SA"/>
    </w:rPr>
  </w:style>
  <w:style w:type="paragraph" w:customStyle="1" w:styleId="56">
    <w:name w:val="Body Text Indent"/>
    <w:link w:val="55"/>
    <w:qFormat/>
    <w:uiPriority w:val="0"/>
    <w:pPr>
      <w:widowControl w:val="0"/>
      <w:spacing w:line="560" w:lineRule="exact"/>
      <w:ind w:firstLine="200" w:firstLineChars="200"/>
      <w:jc w:val="both"/>
    </w:pPr>
    <w:rPr>
      <w:rFonts w:ascii="Times New Roman" w:hAnsi="Times New Roman" w:eastAsia="宋体" w:cs="Times New Roman"/>
      <w:sz w:val="28"/>
      <w:szCs w:val="24"/>
      <w:lang w:val="en-US" w:eastAsia="zh-CN" w:bidi="ar-SA"/>
    </w:rPr>
  </w:style>
  <w:style w:type="character" w:customStyle="1" w:styleId="57">
    <w:name w:val="apple-style-span"/>
    <w:basedOn w:val="26"/>
    <w:qFormat/>
    <w:uiPriority w:val="0"/>
  </w:style>
  <w:style w:type="character" w:customStyle="1" w:styleId="58">
    <w:name w:val="标题 8 Char"/>
    <w:link w:val="10"/>
    <w:uiPriority w:val="0"/>
    <w:rPr>
      <w:rFonts w:ascii="Arial" w:hAnsi="Arial" w:eastAsia="黑体" w:cs="Times New Roman"/>
      <w:snapToGrid w:val="0"/>
      <w:kern w:val="0"/>
      <w:sz w:val="24"/>
      <w:szCs w:val="20"/>
    </w:rPr>
  </w:style>
  <w:style w:type="character" w:customStyle="1" w:styleId="59">
    <w:name w:val="批注框文本 Char"/>
    <w:link w:val="18"/>
    <w:qFormat/>
    <w:uiPriority w:val="0"/>
    <w:rPr>
      <w:rFonts w:ascii="Times New Roman" w:hAnsi="Times New Roman" w:eastAsia="宋体" w:cs="Times New Roman"/>
      <w:sz w:val="18"/>
      <w:szCs w:val="18"/>
    </w:rPr>
  </w:style>
  <w:style w:type="character" w:customStyle="1" w:styleId="60">
    <w:name w:val="标题 3 Char"/>
    <w:link w:val="4"/>
    <w:qFormat/>
    <w:uiPriority w:val="0"/>
    <w:rPr>
      <w:rFonts w:ascii="Times New Roman" w:hAnsi="Times New Roman" w:eastAsia="宋体" w:cs="Times New Roman"/>
      <w:b/>
      <w:snapToGrid w:val="0"/>
      <w:kern w:val="0"/>
      <w:sz w:val="24"/>
      <w:szCs w:val="20"/>
    </w:rPr>
  </w:style>
  <w:style w:type="character" w:customStyle="1" w:styleId="61">
    <w:name w:val="正文文本缩进 2 Char"/>
    <w:link w:val="17"/>
    <w:qFormat/>
    <w:uiPriority w:val="0"/>
  </w:style>
  <w:style w:type="character" w:customStyle="1" w:styleId="62">
    <w:name w:val="批注文字 Char"/>
    <w:link w:val="13"/>
    <w:qFormat/>
    <w:uiPriority w:val="0"/>
    <w:rPr>
      <w:rFonts w:ascii="Times New Roman" w:hAnsi="Times New Roman" w:eastAsia="宋体" w:cs="Times New Roman"/>
      <w:szCs w:val="24"/>
    </w:rPr>
  </w:style>
  <w:style w:type="character" w:customStyle="1" w:styleId="63">
    <w:name w:val="标题 9 Char"/>
    <w:link w:val="11"/>
    <w:qFormat/>
    <w:uiPriority w:val="0"/>
    <w:rPr>
      <w:rFonts w:ascii="Arial" w:hAnsi="Arial" w:eastAsia="黑体" w:cs="Times New Roman"/>
      <w:snapToGrid w:val="0"/>
      <w:kern w:val="0"/>
      <w:szCs w:val="20"/>
    </w:rPr>
  </w:style>
  <w:style w:type="character" w:customStyle="1" w:styleId="64">
    <w:name w:val="标题 4 Char"/>
    <w:link w:val="5"/>
    <w:qFormat/>
    <w:uiPriority w:val="0"/>
    <w:rPr>
      <w:rFonts w:ascii="宋体" w:hAnsi="Times New Roman" w:eastAsia="宋体" w:cs="Times New Roman"/>
      <w:b/>
      <w:snapToGrid w:val="0"/>
      <w:kern w:val="0"/>
      <w:sz w:val="24"/>
      <w:szCs w:val="20"/>
    </w:rPr>
  </w:style>
  <w:style w:type="character" w:customStyle="1" w:styleId="65">
    <w:name w:val="正文文字缩进 21 Char Char"/>
    <w:qFormat/>
    <w:uiPriority w:val="0"/>
    <w:rPr>
      <w:kern w:val="2"/>
      <w:sz w:val="24"/>
      <w:szCs w:val="24"/>
    </w:rPr>
  </w:style>
  <w:style w:type="character" w:customStyle="1" w:styleId="66">
    <w:name w:val="标题 7 Char"/>
    <w:link w:val="9"/>
    <w:qFormat/>
    <w:uiPriority w:val="0"/>
    <w:rPr>
      <w:rFonts w:ascii="宋体" w:hAnsi="Times New Roman" w:eastAsia="宋体" w:cs="Times New Roman"/>
      <w:b/>
      <w:snapToGrid w:val="0"/>
      <w:kern w:val="0"/>
      <w:sz w:val="24"/>
      <w:szCs w:val="20"/>
    </w:rPr>
  </w:style>
  <w:style w:type="character" w:customStyle="1" w:styleId="67">
    <w:name w:val="批注主题 Char Char"/>
    <w:link w:val="68"/>
    <w:qFormat/>
    <w:uiPriority w:val="0"/>
    <w:rPr>
      <w:rFonts w:ascii="Times New Roman" w:hAnsi="Times New Roman" w:eastAsia="宋体" w:cs="Times New Roman"/>
      <w:b/>
      <w:bCs/>
      <w:szCs w:val="24"/>
    </w:rPr>
  </w:style>
  <w:style w:type="paragraph" w:customStyle="1" w:styleId="68">
    <w:name w:val="annotation subject"/>
    <w:basedOn w:val="13"/>
    <w:next w:val="13"/>
    <w:link w:val="67"/>
    <w:uiPriority w:val="0"/>
    <w:rPr>
      <w:b/>
      <w:bCs/>
    </w:rPr>
  </w:style>
  <w:style w:type="character" w:customStyle="1" w:styleId="69">
    <w:name w:val="page number"/>
    <w:basedOn w:val="26"/>
    <w:qFormat/>
    <w:uiPriority w:val="0"/>
  </w:style>
  <w:style w:type="character" w:customStyle="1" w:styleId="70">
    <w:name w:val="标题 5 Char"/>
    <w:link w:val="7"/>
    <w:qFormat/>
    <w:uiPriority w:val="0"/>
    <w:rPr>
      <w:rFonts w:ascii="宋体" w:hAnsi="Times New Roman" w:eastAsia="宋体" w:cs="Times New Roman"/>
      <w:b/>
      <w:snapToGrid w:val="0"/>
      <w:kern w:val="0"/>
      <w:sz w:val="24"/>
      <w:szCs w:val="20"/>
    </w:rPr>
  </w:style>
  <w:style w:type="character" w:customStyle="1" w:styleId="71">
    <w:name w:val="annotation reference"/>
    <w:qFormat/>
    <w:uiPriority w:val="0"/>
    <w:rPr>
      <w:sz w:val="21"/>
      <w:szCs w:val="21"/>
    </w:rPr>
  </w:style>
  <w:style w:type="character" w:customStyle="1" w:styleId="72">
    <w:name w:val="纯文本 Char1"/>
    <w:link w:val="16"/>
    <w:qFormat/>
    <w:uiPriority w:val="0"/>
    <w:rPr>
      <w:rFonts w:ascii="宋体" w:hAnsi="Courier New" w:cs="Courier New"/>
      <w:kern w:val="2"/>
      <w:sz w:val="21"/>
      <w:szCs w:val="21"/>
    </w:rPr>
  </w:style>
  <w:style w:type="character" w:customStyle="1" w:styleId="73">
    <w:name w:val="批注文字 Char1"/>
    <w:qFormat/>
    <w:uiPriority w:val="0"/>
    <w:rPr>
      <w:kern w:val="2"/>
      <w:sz w:val="24"/>
      <w:szCs w:val="22"/>
    </w:rPr>
  </w:style>
  <w:style w:type="character" w:customStyle="1" w:styleId="74">
    <w:name w:val="HTML 预设格式 Char1"/>
    <w:link w:val="21"/>
    <w:semiHidden/>
    <w:qFormat/>
    <w:uiPriority w:val="99"/>
    <w:rPr>
      <w:rFonts w:ascii="Courier New" w:hAnsi="Courier New" w:cs="Courier New"/>
      <w:kern w:val="2"/>
    </w:rPr>
  </w:style>
  <w:style w:type="character" w:customStyle="1" w:styleId="75">
    <w:name w:val="正文文本缩进 Char1"/>
    <w:link w:val="15"/>
    <w:semiHidden/>
    <w:qFormat/>
    <w:uiPriority w:val="99"/>
    <w:rPr>
      <w:kern w:val="2"/>
      <w:sz w:val="21"/>
      <w:szCs w:val="24"/>
    </w:rPr>
  </w:style>
  <w:style w:type="character" w:customStyle="1" w:styleId="76">
    <w:name w:val="表 正文 Char"/>
    <w:link w:val="77"/>
    <w:qFormat/>
    <w:uiPriority w:val="0"/>
    <w:rPr>
      <w:kern w:val="2"/>
      <w:sz w:val="24"/>
      <w:szCs w:val="24"/>
    </w:rPr>
  </w:style>
  <w:style w:type="paragraph" w:customStyle="1" w:styleId="77">
    <w:name w:val="表 正文"/>
    <w:basedOn w:val="1"/>
    <w:link w:val="76"/>
    <w:qFormat/>
    <w:uiPriority w:val="0"/>
    <w:pPr>
      <w:spacing w:line="360" w:lineRule="auto"/>
      <w:ind w:firstLine="200" w:firstLineChars="200"/>
    </w:pPr>
    <w:rPr>
      <w:sz w:val="24"/>
    </w:rPr>
  </w:style>
  <w:style w:type="character" w:customStyle="1" w:styleId="78">
    <w:name w:val="正文缩进 Char"/>
    <w:qFormat/>
    <w:uiPriority w:val="0"/>
    <w:rPr>
      <w:rFonts w:ascii="宋体"/>
      <w:sz w:val="28"/>
    </w:rPr>
  </w:style>
  <w:style w:type="character" w:customStyle="1" w:styleId="79">
    <w:name w:val="文字样式 Char"/>
    <w:link w:val="80"/>
    <w:qFormat/>
    <w:uiPriority w:val="0"/>
    <w:rPr>
      <w:rFonts w:ascii="宋体" w:hAnsi="宋体"/>
      <w:sz w:val="28"/>
      <w:szCs w:val="28"/>
    </w:rPr>
  </w:style>
  <w:style w:type="paragraph" w:customStyle="1" w:styleId="80">
    <w:name w:val="文字样式"/>
    <w:basedOn w:val="1"/>
    <w:link w:val="79"/>
    <w:qFormat/>
    <w:uiPriority w:val="0"/>
    <w:pPr>
      <w:spacing w:line="500" w:lineRule="exact"/>
      <w:ind w:firstLine="561"/>
      <w:jc w:val="left"/>
    </w:pPr>
    <w:rPr>
      <w:rFonts w:ascii="宋体" w:hAnsi="宋体"/>
      <w:kern w:val="0"/>
      <w:sz w:val="28"/>
      <w:szCs w:val="28"/>
    </w:rPr>
  </w:style>
  <w:style w:type="character" w:customStyle="1" w:styleId="81">
    <w:name w:val="Default Char"/>
    <w:link w:val="82"/>
    <w:qFormat/>
    <w:uiPriority w:val="0"/>
    <w:rPr>
      <w:rFonts w:ascii="宋体" w:cs="宋体"/>
      <w:color w:val="000000"/>
      <w:sz w:val="24"/>
      <w:szCs w:val="24"/>
    </w:rPr>
  </w:style>
  <w:style w:type="paragraph" w:customStyle="1" w:styleId="82">
    <w:name w:val="Default"/>
    <w:basedOn w:val="1"/>
    <w:link w:val="81"/>
    <w:qFormat/>
    <w:uiPriority w:val="0"/>
    <w:pPr>
      <w:autoSpaceDE w:val="0"/>
      <w:autoSpaceDN w:val="0"/>
      <w:jc w:val="left"/>
    </w:pPr>
    <w:rPr>
      <w:rFonts w:ascii="宋体"/>
      <w:color w:val="000000"/>
      <w:kern w:val="0"/>
      <w:sz w:val="24"/>
    </w:rPr>
  </w:style>
  <w:style w:type="character" w:customStyle="1" w:styleId="83">
    <w:name w:val="缩进 Char"/>
    <w:link w:val="84"/>
    <w:qFormat/>
    <w:uiPriority w:val="0"/>
    <w:rPr>
      <w:sz w:val="24"/>
    </w:rPr>
  </w:style>
  <w:style w:type="paragraph" w:customStyle="1" w:styleId="84">
    <w:name w:val="缩进"/>
    <w:basedOn w:val="1"/>
    <w:link w:val="83"/>
    <w:qFormat/>
    <w:uiPriority w:val="0"/>
    <w:pPr>
      <w:autoSpaceDE w:val="0"/>
      <w:autoSpaceDN w:val="0"/>
      <w:adjustRightInd w:val="0"/>
      <w:spacing w:line="400" w:lineRule="atLeast"/>
      <w:ind w:firstLine="425"/>
      <w:textAlignment w:val="baseline"/>
    </w:pPr>
    <w:rPr>
      <w:kern w:val="0"/>
      <w:sz w:val="24"/>
      <w:szCs w:val="20"/>
    </w:rPr>
  </w:style>
  <w:style w:type="character" w:customStyle="1" w:styleId="85">
    <w:name w:val="样式4 Char"/>
    <w:link w:val="86"/>
    <w:qFormat/>
    <w:locked/>
    <w:uiPriority w:val="0"/>
    <w:rPr>
      <w:sz w:val="28"/>
      <w:szCs w:val="24"/>
    </w:rPr>
  </w:style>
  <w:style w:type="paragraph" w:customStyle="1" w:styleId="86">
    <w:name w:val="样式4"/>
    <w:basedOn w:val="14"/>
    <w:link w:val="85"/>
    <w:qFormat/>
    <w:uiPriority w:val="0"/>
    <w:pPr>
      <w:spacing w:after="0" w:line="600" w:lineRule="exact"/>
      <w:ind w:firstLine="200" w:firstLineChars="200"/>
    </w:pPr>
    <w:rPr>
      <w:sz w:val="28"/>
    </w:rPr>
  </w:style>
  <w:style w:type="paragraph" w:customStyle="1" w:styleId="87">
    <w:name w:val="表中文字"/>
    <w:basedOn w:val="1"/>
    <w:qFormat/>
    <w:uiPriority w:val="0"/>
    <w:pPr>
      <w:jc w:val="center"/>
    </w:pPr>
  </w:style>
  <w:style w:type="paragraph" w:customStyle="1" w:styleId="88">
    <w:name w:val="二级条标题"/>
    <w:basedOn w:val="89"/>
    <w:next w:val="1"/>
    <w:qFormat/>
    <w:uiPriority w:val="0"/>
    <w:pPr>
      <w:numPr>
        <w:ilvl w:val="0"/>
      </w:numPr>
      <w:outlineLvl w:val="3"/>
    </w:pPr>
  </w:style>
  <w:style w:type="paragraph" w:customStyle="1" w:styleId="89">
    <w:name w:val="一级条标题"/>
    <w:basedOn w:val="90"/>
    <w:next w:val="1"/>
    <w:qFormat/>
    <w:uiPriority w:val="0"/>
    <w:pPr>
      <w:numPr>
        <w:numId w:val="0"/>
      </w:numPr>
      <w:outlineLvl w:val="2"/>
    </w:pPr>
  </w:style>
  <w:style w:type="paragraph" w:customStyle="1" w:styleId="90">
    <w:name w:val="章标题"/>
    <w:next w:val="1"/>
    <w:qFormat/>
    <w:uiPriority w:val="0"/>
    <w:pPr>
      <w:numPr>
        <w:ilvl w:val="1"/>
        <w:numId w:val="1"/>
      </w:numPr>
      <w:spacing w:beforeLines="50" w:afterLines="50"/>
      <w:jc w:val="both"/>
      <w:outlineLvl w:val="1"/>
    </w:pPr>
    <w:rPr>
      <w:rFonts w:ascii="黑体" w:hAnsi="Times New Roman" w:eastAsia="黑体" w:cs="Times New Roman"/>
      <w:lang w:val="en-US" w:eastAsia="zh-CN" w:bidi="ar-SA"/>
    </w:rPr>
  </w:style>
  <w:style w:type="paragraph" w:customStyle="1" w:styleId="91">
    <w:name w:val="p0"/>
    <w:basedOn w:val="1"/>
    <w:qFormat/>
    <w:uiPriority w:val="0"/>
    <w:pPr>
      <w:widowControl/>
    </w:pPr>
    <w:rPr>
      <w:spacing w:val="10"/>
      <w:kern w:val="0"/>
      <w:sz w:val="24"/>
    </w:rPr>
  </w:style>
  <w:style w:type="paragraph" w:customStyle="1" w:styleId="92">
    <w:name w:val="热电厂正文"/>
    <w:basedOn w:val="1"/>
    <w:qFormat/>
    <w:uiPriority w:val="0"/>
    <w:pPr>
      <w:spacing w:line="440" w:lineRule="exact"/>
      <w:ind w:firstLine="480" w:firstLineChars="200"/>
    </w:pPr>
    <w:rPr>
      <w:sz w:val="24"/>
    </w:rPr>
  </w:style>
  <w:style w:type="paragraph" w:customStyle="1" w:styleId="93">
    <w:name w:val="三级条标题"/>
    <w:basedOn w:val="88"/>
    <w:next w:val="1"/>
    <w:qFormat/>
    <w:uiPriority w:val="0"/>
    <w:pPr>
      <w:outlineLvl w:val="4"/>
    </w:pPr>
  </w:style>
  <w:style w:type="paragraph" w:customStyle="1" w:styleId="94">
    <w:name w:val="段落"/>
    <w:basedOn w:val="1"/>
    <w:uiPriority w:val="0"/>
    <w:pPr>
      <w:spacing w:line="500" w:lineRule="exact"/>
      <w:ind w:firstLine="200" w:firstLineChars="200"/>
    </w:pPr>
    <w:rPr>
      <w:spacing w:val="10"/>
      <w:sz w:val="28"/>
      <w:szCs w:val="20"/>
    </w:rPr>
  </w:style>
  <w:style w:type="paragraph" w:customStyle="1" w:styleId="95">
    <w:name w:val="T正文"/>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96">
    <w:name w:val="样式 样式 样式 正文首行缩进 2 + 首行缩进:  2 字符 + 首行缩进:  2 字符 + 首行缩进:  2 字符"/>
    <w:basedOn w:val="1"/>
    <w:qFormat/>
    <w:uiPriority w:val="0"/>
    <w:pPr>
      <w:spacing w:line="440" w:lineRule="exact"/>
      <w:ind w:firstLine="200" w:firstLineChars="200"/>
    </w:pPr>
    <w:rPr>
      <w:rFonts w:cs="宋体"/>
      <w:sz w:val="24"/>
      <w:szCs w:val="20"/>
    </w:rPr>
  </w:style>
  <w:style w:type="paragraph" w:customStyle="1" w:styleId="97">
    <w:name w:val="纯文本1"/>
    <w:basedOn w:val="1"/>
    <w:qFormat/>
    <w:uiPriority w:val="0"/>
    <w:rPr>
      <w:rFonts w:ascii="宋体" w:cs="Century"/>
      <w:szCs w:val="21"/>
    </w:rPr>
  </w:style>
  <w:style w:type="paragraph" w:customStyle="1" w:styleId="98">
    <w:name w:val="Body Text 21"/>
    <w:basedOn w:val="1"/>
    <w:uiPriority w:val="0"/>
    <w:pPr>
      <w:adjustRightInd w:val="0"/>
      <w:textAlignment w:val="baseline"/>
    </w:pPr>
    <w:rPr>
      <w:rFonts w:ascii="仿宋_GB2312" w:eastAsia="仿宋体"/>
      <w:sz w:val="24"/>
      <w:szCs w:val="20"/>
    </w:rPr>
  </w:style>
  <w:style w:type="paragraph" w:customStyle="1" w:styleId="99">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0">
    <w:name w:val="Char Char2"/>
    <w:basedOn w:val="1"/>
    <w:uiPriority w:val="0"/>
    <w:pPr>
      <w:spacing w:line="360" w:lineRule="auto"/>
      <w:ind w:firstLine="200" w:firstLineChars="200"/>
    </w:pPr>
    <w:rPr>
      <w:rFonts w:ascii="宋体" w:hAnsi="宋体" w:cs="宋体"/>
      <w:sz w:val="24"/>
    </w:rPr>
  </w:style>
  <w:style w:type="paragraph" w:customStyle="1" w:styleId="101">
    <w:name w:val="表标题"/>
    <w:basedOn w:val="6"/>
    <w:next w:val="1"/>
    <w:uiPriority w:val="0"/>
    <w:pPr>
      <w:spacing w:line="660" w:lineRule="exact"/>
      <w:ind w:firstLine="560"/>
    </w:pPr>
    <w:rPr>
      <w:color w:val="000000"/>
      <w:sz w:val="28"/>
    </w:rPr>
  </w:style>
  <w:style w:type="paragraph" w:customStyle="1" w:styleId="102">
    <w:name w:val="四级条标题"/>
    <w:basedOn w:val="93"/>
    <w:next w:val="1"/>
    <w:qFormat/>
    <w:uiPriority w:val="0"/>
    <w:pPr>
      <w:outlineLvl w:val="5"/>
    </w:pPr>
  </w:style>
  <w:style w:type="paragraph" w:customStyle="1" w:styleId="103">
    <w:name w:val="表格001"/>
    <w:basedOn w:val="1"/>
    <w:uiPriority w:val="0"/>
    <w:pPr>
      <w:spacing w:line="360" w:lineRule="exact"/>
      <w:jc w:val="center"/>
    </w:pPr>
    <w:rPr>
      <w:szCs w:val="20"/>
    </w:rPr>
  </w:style>
  <w:style w:type="paragraph" w:customStyle="1" w:styleId="104">
    <w:name w:val="段落1"/>
    <w:basedOn w:val="1"/>
    <w:qFormat/>
    <w:uiPriority w:val="0"/>
    <w:pPr>
      <w:spacing w:line="480" w:lineRule="exact"/>
      <w:ind w:firstLine="200" w:firstLineChars="200"/>
    </w:pPr>
    <w:rPr>
      <w:rFonts w:eastAsia="楷体_GB2312"/>
      <w:spacing w:val="6"/>
      <w:sz w:val="28"/>
    </w:rPr>
  </w:style>
  <w:style w:type="paragraph" w:customStyle="1" w:styleId="105">
    <w:name w:val="表格"/>
    <w:basedOn w:val="1"/>
    <w:qFormat/>
    <w:uiPriority w:val="0"/>
    <w:pPr>
      <w:adjustRightInd w:val="0"/>
      <w:snapToGrid w:val="0"/>
      <w:ind w:left="-15" w:leftChars="-15" w:right="-15"/>
      <w:jc w:val="center"/>
    </w:pPr>
    <w:rPr>
      <w:snapToGrid w:val="0"/>
      <w:kern w:val="0"/>
      <w:sz w:val="24"/>
      <w:szCs w:val="20"/>
    </w:rPr>
  </w:style>
  <w:style w:type="paragraph" w:customStyle="1" w:styleId="106">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styleId="10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表题"/>
    <w:basedOn w:val="1"/>
    <w:next w:val="105"/>
    <w:uiPriority w:val="0"/>
    <w:pPr>
      <w:tabs>
        <w:tab w:val="center" w:pos="4212"/>
      </w:tabs>
      <w:spacing w:line="360" w:lineRule="auto"/>
      <w:ind w:firstLine="494" w:firstLineChars="494"/>
    </w:pPr>
    <w:rPr>
      <w:rFonts w:eastAsia="黑体"/>
      <w:sz w:val="28"/>
    </w:rPr>
  </w:style>
  <w:style w:type="paragraph" w:customStyle="1" w:styleId="109">
    <w:name w:val="表第一列"/>
    <w:basedOn w:val="35"/>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color w:val="000000"/>
      <w:spacing w:val="-4"/>
      <w:szCs w:val="20"/>
    </w:rPr>
  </w:style>
  <w:style w:type="paragraph" w:customStyle="1" w:styleId="110">
    <w:name w:val="默认段落字体 Para Char Char Char Char"/>
    <w:basedOn w:val="1"/>
    <w:uiPriority w:val="0"/>
  </w:style>
  <w:style w:type="paragraph" w:customStyle="1" w:styleId="111">
    <w:name w:val="Char1 Char Char Char"/>
    <w:basedOn w:val="1"/>
    <w:uiPriority w:val="0"/>
    <w:pPr>
      <w:autoSpaceDE w:val="0"/>
      <w:autoSpaceDN w:val="0"/>
      <w:adjustRightInd w:val="0"/>
      <w:snapToGrid w:val="0"/>
      <w:spacing w:before="50" w:after="50" w:line="360" w:lineRule="auto"/>
      <w:ind w:firstLine="200" w:firstLineChars="200"/>
    </w:pPr>
  </w:style>
  <w:style w:type="paragraph" w:customStyle="1" w:styleId="112">
    <w:name w:val="表格正文"/>
    <w:basedOn w:val="1"/>
    <w:qFormat/>
    <w:uiPriority w:val="0"/>
    <w:pPr>
      <w:snapToGrid w:val="0"/>
      <w:spacing w:before="60" w:after="60"/>
      <w:jc w:val="center"/>
    </w:pPr>
    <w:rPr>
      <w:rFonts w:ascii="宋体" w:hAnsi="宋体"/>
      <w:bCs/>
    </w:rPr>
  </w:style>
  <w:style w:type="paragraph" w:customStyle="1" w:styleId="113">
    <w:name w:val="字元 字元3"/>
    <w:basedOn w:val="1"/>
    <w:uiPriority w:val="0"/>
    <w:pPr>
      <w:spacing w:beforeLines="20" w:line="440" w:lineRule="atLeast"/>
    </w:pPr>
    <w:rPr>
      <w:sz w:val="24"/>
    </w:rPr>
  </w:style>
  <w:style w:type="paragraph" w:customStyle="1" w:styleId="114">
    <w:name w:val="index 1"/>
    <w:basedOn w:val="1"/>
    <w:next w:val="1"/>
    <w:uiPriority w:val="0"/>
    <w:pPr>
      <w:topLinePunct/>
      <w:adjustRightInd w:val="0"/>
      <w:snapToGrid w:val="0"/>
      <w:ind w:firstLine="116" w:firstLineChars="116"/>
    </w:pPr>
    <w:rPr>
      <w:rFonts w:ascii="宋体"/>
      <w:snapToGrid w:val="0"/>
      <w:spacing w:val="-10"/>
      <w:kern w:val="0"/>
      <w:sz w:val="24"/>
      <w:szCs w:val="20"/>
    </w:rPr>
  </w:style>
  <w:style w:type="paragraph" w:customStyle="1" w:styleId="115">
    <w:name w:val="表格内容"/>
    <w:basedOn w:val="6"/>
    <w:qFormat/>
    <w:uiPriority w:val="0"/>
    <w:pPr>
      <w:spacing w:line="312" w:lineRule="auto"/>
      <w:ind w:firstLine="0"/>
      <w:jc w:val="center"/>
    </w:pPr>
  </w:style>
  <w:style w:type="paragraph" w:customStyle="1" w:styleId="116">
    <w:name w:val="1正文段落"/>
    <w:basedOn w:val="1"/>
    <w:qFormat/>
    <w:uiPriority w:val="0"/>
    <w:pPr>
      <w:spacing w:line="360" w:lineRule="auto"/>
      <w:ind w:firstLine="200" w:firstLineChars="200"/>
    </w:pPr>
    <w:rPr>
      <w:snapToGrid w:val="0"/>
      <w:kern w:val="0"/>
      <w:sz w:val="24"/>
    </w:rPr>
  </w:style>
  <w:style w:type="paragraph" w:customStyle="1" w:styleId="117">
    <w:name w:val="五级条标题"/>
    <w:basedOn w:val="102"/>
    <w:next w:val="1"/>
    <w:uiPriority w:val="0"/>
    <w:pPr>
      <w:outlineLvl w:val="6"/>
    </w:pPr>
  </w:style>
  <w:style w:type="paragraph" w:customStyle="1" w:styleId="118">
    <w:name w:val="Body Text Indent 2"/>
    <w:basedOn w:val="1"/>
    <w:uiPriority w:val="0"/>
    <w:pPr>
      <w:spacing w:line="360" w:lineRule="auto"/>
      <w:ind w:firstLine="200" w:firstLineChars="200"/>
    </w:pPr>
  </w:style>
  <w:style w:type="paragraph" w:customStyle="1" w:styleId="119">
    <w:name w:val="燕山正文"/>
    <w:basedOn w:val="1"/>
    <w:qFormat/>
    <w:uiPriority w:val="0"/>
    <w:pPr>
      <w:tabs>
        <w:tab w:val="left" w:pos="4680"/>
      </w:tabs>
      <w:adjustRightInd w:val="0"/>
      <w:snapToGrid w:val="0"/>
      <w:spacing w:line="360" w:lineRule="auto"/>
      <w:ind w:firstLine="200" w:firstLineChars="200"/>
    </w:pPr>
    <w:rPr>
      <w:rFonts w:ascii="宋体"/>
      <w:color w:val="000000"/>
      <w:sz w:val="28"/>
      <w:szCs w:val="28"/>
    </w:rPr>
  </w:style>
  <w:style w:type="paragraph" w:customStyle="1" w:styleId="120">
    <w:name w:val="样式1"/>
    <w:basedOn w:val="1"/>
    <w:uiPriority w:val="0"/>
  </w:style>
  <w:style w:type="paragraph" w:customStyle="1" w:styleId="121">
    <w:name w:val="正文文本缩进1"/>
    <w:basedOn w:val="1"/>
    <w:uiPriority w:val="0"/>
    <w:pPr>
      <w:widowControl/>
      <w:spacing w:line="560" w:lineRule="exact"/>
      <w:ind w:firstLine="560" w:firstLineChars="200"/>
      <w:jc w:val="left"/>
    </w:pPr>
    <w:rPr>
      <w:sz w:val="28"/>
    </w:rPr>
  </w:style>
  <w:style w:type="paragraph" w:customStyle="1" w:styleId="122">
    <w:name w:val="Normal"/>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23">
    <w:name w:val="5文章(治)"/>
    <w:basedOn w:val="1"/>
    <w:uiPriority w:val="0"/>
    <w:pPr>
      <w:spacing w:line="360" w:lineRule="auto"/>
      <w:ind w:firstLine="560" w:firstLineChars="200"/>
    </w:pPr>
    <w:rPr>
      <w:sz w:val="24"/>
      <w:szCs w:val="22"/>
    </w:rPr>
  </w:style>
  <w:style w:type="paragraph" w:customStyle="1" w:styleId="124">
    <w:name w:val="dxj表内容"/>
    <w:basedOn w:val="1"/>
    <w:next w:val="1"/>
    <w:uiPriority w:val="0"/>
    <w:pPr>
      <w:spacing w:line="280" w:lineRule="exact"/>
      <w:jc w:val="center"/>
    </w:pPr>
    <w:rPr>
      <w:sz w:val="18"/>
      <w:szCs w:val="18"/>
    </w:rPr>
  </w:style>
  <w:style w:type="paragraph" w:customStyle="1" w:styleId="125">
    <w:name w:val="样式 表格 32 + 首行缩进:  2 字符"/>
    <w:basedOn w:val="1"/>
    <w:uiPriority w:val="0"/>
    <w:pPr>
      <w:autoSpaceDE w:val="0"/>
      <w:autoSpaceDN w:val="0"/>
      <w:adjustRightInd w:val="0"/>
      <w:spacing w:line="240" w:lineRule="atLeast"/>
      <w:jc w:val="center"/>
      <w:textAlignment w:val="baseline"/>
    </w:pPr>
    <w:rPr>
      <w:rFonts w:ascii="Calibri" w:hAnsi="Calibri"/>
      <w:szCs w:val="21"/>
    </w:rPr>
  </w:style>
  <w:style w:type="paragraph" w:customStyle="1" w:styleId="126">
    <w:name w:val="三级标题"/>
    <w:basedOn w:val="1"/>
    <w:qFormat/>
    <w:uiPriority w:val="0"/>
    <w:pPr>
      <w:spacing w:before="240" w:after="60" w:line="360" w:lineRule="auto"/>
      <w:outlineLvl w:val="2"/>
    </w:pPr>
    <w:rPr>
      <w:rFonts w:eastAsia="黑体"/>
      <w:sz w:val="24"/>
    </w:rPr>
  </w:style>
  <w:style w:type="paragraph" w:customStyle="1" w:styleId="127">
    <w:name w:val="表格样式"/>
    <w:basedOn w:val="1"/>
    <w:qFormat/>
    <w:uiPriority w:val="0"/>
    <w:pPr>
      <w:snapToGrid w:val="0"/>
      <w:jc w:val="center"/>
    </w:pPr>
    <w:rPr>
      <w:rFonts w:ascii="宋体"/>
      <w:color w:val="000000"/>
      <w:szCs w:val="20"/>
    </w:rPr>
  </w:style>
  <w:style w:type="table" w:customStyle="1" w:styleId="128">
    <w:name w:val="网格型4"/>
    <w:basedOn w:val="2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oleObject" Target="embeddings/oleObject1.bin"/><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107"/>
    <customShpInfo spid="_x0000_s1106"/>
    <customShpInfo spid="_x0000_s1070"/>
    <customShpInfo spid="_x0000_s1068"/>
    <customShpInfo spid="_x0000_s1067"/>
    <customShpInfo spid="_x0000_s1110"/>
    <customShpInfo spid="_x0000_s1113"/>
    <customShpInfo spid="_x0000_s1112"/>
    <customShpInfo spid="_x0000_s11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36737</Words>
  <Characters>41992</Characters>
  <Lines>327</Lines>
  <Paragraphs>92</Paragraphs>
  <TotalTime>10</TotalTime>
  <ScaleCrop>false</ScaleCrop>
  <LinksUpToDate>false</LinksUpToDate>
  <CharactersWithSpaces>42483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2019-04-02T03:45:00Z</dcterms:created>
  <dc:creator>acer</dc:creator>
  <cp:lastModifiedBy>WPS_1660046246</cp:lastModifiedBy>
  <cp:lastPrinted>2015-04-09T10:08:00Z</cp:lastPrinted>
  <dcterms:modified xsi:type="dcterms:W3CDTF">2024-07-03T08:46:40Z</dcterms:modified>
  <dc:title>acer</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2E84DDF8112F49B7BD887F03BC177A0E_12</vt:lpwstr>
  </property>
</Properties>
</file>