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adjustRightInd w:val="0"/>
        <w:snapToGrid w:val="0"/>
        <w:ind w:firstLine="0" w:firstLineChars="0"/>
        <w:rPr>
          <w:rFonts w:eastAsiaTheme="minorEastAsia"/>
          <w:b/>
          <w:color w:val="auto"/>
          <w:szCs w:val="28"/>
        </w:rPr>
      </w:pPr>
      <w:r>
        <w:rPr>
          <w:rFonts w:eastAsiaTheme="minorEastAsia"/>
          <w:b/>
          <w:color w:val="auto"/>
          <w:szCs w:val="28"/>
        </w:rPr>
        <w:t>建设项目基本情况</w:t>
      </w:r>
    </w:p>
    <w:tbl>
      <w:tblPr>
        <w:tblStyle w:val="38"/>
        <w:tblW w:w="9650"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2148"/>
        <w:gridCol w:w="445"/>
        <w:gridCol w:w="959"/>
        <w:gridCol w:w="276"/>
        <w:gridCol w:w="223"/>
        <w:gridCol w:w="1176"/>
        <w:gridCol w:w="148"/>
        <w:gridCol w:w="21"/>
        <w:gridCol w:w="944"/>
        <w:gridCol w:w="257"/>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40" w:type="dxa"/>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项目名称</w:t>
            </w:r>
          </w:p>
        </w:tc>
        <w:tc>
          <w:tcPr>
            <w:tcW w:w="7910" w:type="dxa"/>
            <w:gridSpan w:val="11"/>
            <w:tcMar>
              <w:left w:w="0" w:type="dxa"/>
              <w:right w:w="0" w:type="dxa"/>
            </w:tcMar>
            <w:vAlign w:val="center"/>
          </w:tcPr>
          <w:p>
            <w:pPr>
              <w:jc w:val="center"/>
              <w:rPr>
                <w:rFonts w:asciiTheme="majorEastAsia" w:hAnsiTheme="majorEastAsia" w:eastAsiaTheme="majorEastAsia"/>
                <w:color w:val="auto"/>
                <w:sz w:val="24"/>
              </w:rPr>
            </w:pPr>
            <w:r>
              <w:rPr>
                <w:rFonts w:asciiTheme="majorEastAsia" w:hAnsiTheme="majorEastAsia" w:eastAsiaTheme="majorEastAsia"/>
                <w:color w:val="auto"/>
                <w:sz w:val="24"/>
              </w:rPr>
              <w:t>宁县金村乡金村村生活污水截污处置工程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40" w:type="dxa"/>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建设单位</w:t>
            </w:r>
          </w:p>
        </w:tc>
        <w:tc>
          <w:tcPr>
            <w:tcW w:w="7910" w:type="dxa"/>
            <w:gridSpan w:val="11"/>
            <w:tcMar>
              <w:left w:w="0" w:type="dxa"/>
              <w:right w:w="0" w:type="dxa"/>
            </w:tcMar>
            <w:vAlign w:val="center"/>
          </w:tcPr>
          <w:p>
            <w:pPr>
              <w:jc w:val="center"/>
              <w:rPr>
                <w:rFonts w:asciiTheme="majorEastAsia" w:hAnsiTheme="majorEastAsia" w:eastAsiaTheme="majorEastAsia"/>
                <w:color w:val="auto"/>
                <w:sz w:val="24"/>
              </w:rPr>
            </w:pPr>
            <w:r>
              <w:rPr>
                <w:rFonts w:asciiTheme="majorEastAsia" w:hAnsiTheme="majorEastAsia" w:eastAsiaTheme="majorEastAsia"/>
                <w:color w:val="auto"/>
                <w:sz w:val="24"/>
              </w:rPr>
              <w:t>宁县金村乡人民政府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40" w:type="dxa"/>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法人代表</w:t>
            </w:r>
          </w:p>
        </w:tc>
        <w:tc>
          <w:tcPr>
            <w:tcW w:w="4051" w:type="dxa"/>
            <w:gridSpan w:val="5"/>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孟永刚</w:t>
            </w:r>
          </w:p>
        </w:tc>
        <w:tc>
          <w:tcPr>
            <w:tcW w:w="1324" w:type="dxa"/>
            <w:gridSpan w:val="2"/>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联系人</w:t>
            </w:r>
          </w:p>
        </w:tc>
        <w:tc>
          <w:tcPr>
            <w:tcW w:w="2535" w:type="dxa"/>
            <w:gridSpan w:val="4"/>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田伟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40" w:type="dxa"/>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通讯地址</w:t>
            </w:r>
          </w:p>
        </w:tc>
        <w:tc>
          <w:tcPr>
            <w:tcW w:w="7910" w:type="dxa"/>
            <w:gridSpan w:val="11"/>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甘肃宁县金村乡金村街9号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40" w:type="dxa"/>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联系电话</w:t>
            </w:r>
          </w:p>
        </w:tc>
        <w:tc>
          <w:tcPr>
            <w:tcW w:w="2593" w:type="dxa"/>
            <w:gridSpan w:val="2"/>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15268980073</w:t>
            </w:r>
          </w:p>
        </w:tc>
        <w:tc>
          <w:tcPr>
            <w:tcW w:w="959" w:type="dxa"/>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传真</w:t>
            </w:r>
          </w:p>
        </w:tc>
        <w:tc>
          <w:tcPr>
            <w:tcW w:w="1844" w:type="dxa"/>
            <w:gridSpan w:val="5"/>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bCs/>
                <w:color w:val="auto"/>
                <w:sz w:val="24"/>
                <w:szCs w:val="24"/>
              </w:rPr>
            </w:pPr>
            <w:r>
              <w:rPr>
                <w:rFonts w:asciiTheme="majorEastAsia" w:hAnsiTheme="majorEastAsia" w:eastAsiaTheme="majorEastAsia"/>
                <w:bCs/>
                <w:color w:val="auto"/>
                <w:sz w:val="24"/>
                <w:szCs w:val="24"/>
              </w:rPr>
              <w:t>/</w:t>
            </w:r>
          </w:p>
        </w:tc>
        <w:tc>
          <w:tcPr>
            <w:tcW w:w="944" w:type="dxa"/>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邮编</w:t>
            </w:r>
          </w:p>
        </w:tc>
        <w:tc>
          <w:tcPr>
            <w:tcW w:w="1570" w:type="dxa"/>
            <w:gridSpan w:val="2"/>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745213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40" w:type="dxa"/>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建设地点</w:t>
            </w:r>
          </w:p>
        </w:tc>
        <w:tc>
          <w:tcPr>
            <w:tcW w:w="7910" w:type="dxa"/>
            <w:gridSpan w:val="11"/>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宁县金村乡金村村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40" w:type="dxa"/>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立项审批部门</w:t>
            </w:r>
          </w:p>
        </w:tc>
        <w:tc>
          <w:tcPr>
            <w:tcW w:w="3828" w:type="dxa"/>
            <w:gridSpan w:val="4"/>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w:t>
            </w:r>
          </w:p>
        </w:tc>
        <w:tc>
          <w:tcPr>
            <w:tcW w:w="1399" w:type="dxa"/>
            <w:gridSpan w:val="2"/>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批准文号</w:t>
            </w:r>
          </w:p>
        </w:tc>
        <w:tc>
          <w:tcPr>
            <w:tcW w:w="2683" w:type="dxa"/>
            <w:gridSpan w:val="5"/>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40" w:type="dxa"/>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建设性质</w:t>
            </w:r>
          </w:p>
        </w:tc>
        <w:tc>
          <w:tcPr>
            <w:tcW w:w="3828" w:type="dxa"/>
            <w:gridSpan w:val="4"/>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新建■改扩建□技改□</w:t>
            </w:r>
          </w:p>
        </w:tc>
        <w:tc>
          <w:tcPr>
            <w:tcW w:w="1399" w:type="dxa"/>
            <w:gridSpan w:val="2"/>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行业类别</w:t>
            </w:r>
          </w:p>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及代码</w:t>
            </w:r>
          </w:p>
        </w:tc>
        <w:tc>
          <w:tcPr>
            <w:tcW w:w="2683" w:type="dxa"/>
            <w:gridSpan w:val="5"/>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color w:val="auto"/>
                <w:kern w:val="0"/>
                <w:sz w:val="24"/>
                <w:szCs w:val="24"/>
              </w:rPr>
            </w:pPr>
            <w:r>
              <w:rPr>
                <w:rFonts w:asciiTheme="majorEastAsia" w:hAnsiTheme="majorEastAsia" w:eastAsiaTheme="majorEastAsia"/>
                <w:color w:val="auto"/>
                <w:kern w:val="0"/>
                <w:sz w:val="24"/>
                <w:szCs w:val="24"/>
              </w:rPr>
              <w:t>D4620</w:t>
            </w:r>
          </w:p>
          <w:p>
            <w:pPr>
              <w:pStyle w:val="17"/>
              <w:adjustRightInd w:val="0"/>
              <w:snapToGrid w:val="0"/>
              <w:ind w:firstLine="0" w:firstLineChars="0"/>
              <w:jc w:val="center"/>
              <w:rPr>
                <w:rFonts w:asciiTheme="majorEastAsia" w:hAnsiTheme="majorEastAsia" w:eastAsiaTheme="majorEastAsia"/>
                <w:color w:val="auto"/>
                <w:sz w:val="24"/>
                <w:szCs w:val="24"/>
              </w:rPr>
            </w:pPr>
            <w:r>
              <w:rPr>
                <w:rFonts w:asciiTheme="majorEastAsia" w:hAnsiTheme="majorEastAsia" w:eastAsiaTheme="majorEastAsia"/>
                <w:color w:val="auto"/>
                <w:kern w:val="0"/>
                <w:sz w:val="24"/>
                <w:szCs w:val="24"/>
              </w:rPr>
              <w:t>污水处理及其再生利用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40" w:type="dxa"/>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占地面积</w:t>
            </w:r>
          </w:p>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（平方米）</w:t>
            </w:r>
          </w:p>
        </w:tc>
        <w:tc>
          <w:tcPr>
            <w:tcW w:w="3828" w:type="dxa"/>
            <w:gridSpan w:val="4"/>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1000</w:t>
            </w:r>
          </w:p>
        </w:tc>
        <w:tc>
          <w:tcPr>
            <w:tcW w:w="1399" w:type="dxa"/>
            <w:gridSpan w:val="2"/>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绿化面积</w:t>
            </w:r>
          </w:p>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(平方米)</w:t>
            </w:r>
          </w:p>
        </w:tc>
        <w:tc>
          <w:tcPr>
            <w:tcW w:w="2683" w:type="dxa"/>
            <w:gridSpan w:val="5"/>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40" w:type="dxa"/>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总投资</w:t>
            </w:r>
          </w:p>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（万元）</w:t>
            </w:r>
          </w:p>
        </w:tc>
        <w:tc>
          <w:tcPr>
            <w:tcW w:w="2148" w:type="dxa"/>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597.22</w:t>
            </w:r>
          </w:p>
        </w:tc>
        <w:tc>
          <w:tcPr>
            <w:tcW w:w="1680" w:type="dxa"/>
            <w:gridSpan w:val="3"/>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其中：环保投资（万元）</w:t>
            </w:r>
          </w:p>
        </w:tc>
        <w:tc>
          <w:tcPr>
            <w:tcW w:w="1399" w:type="dxa"/>
            <w:gridSpan w:val="2"/>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114.5</w:t>
            </w:r>
          </w:p>
        </w:tc>
        <w:tc>
          <w:tcPr>
            <w:tcW w:w="1370" w:type="dxa"/>
            <w:gridSpan w:val="4"/>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环保投资占总投资比例</w:t>
            </w:r>
          </w:p>
        </w:tc>
        <w:tc>
          <w:tcPr>
            <w:tcW w:w="1313" w:type="dxa"/>
            <w:tcMar>
              <w:left w:w="0" w:type="dxa"/>
              <w:right w:w="0" w:type="dxa"/>
            </w:tcMar>
            <w:vAlign w:val="center"/>
          </w:tcPr>
          <w:p>
            <w:pPr>
              <w:adjustRightInd w:val="0"/>
              <w:snapToGrid w:val="0"/>
              <w:jc w:val="center"/>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19.17%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40" w:type="dxa"/>
            <w:tcBorders>
              <w:bottom w:val="single" w:color="auto" w:sz="4" w:space="0"/>
            </w:tcBorders>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评价经费</w:t>
            </w:r>
          </w:p>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（万元）</w:t>
            </w:r>
          </w:p>
        </w:tc>
        <w:tc>
          <w:tcPr>
            <w:tcW w:w="2148" w:type="dxa"/>
            <w:tcBorders>
              <w:bottom w:val="single" w:color="auto" w:sz="4" w:space="0"/>
            </w:tcBorders>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w:t>
            </w:r>
          </w:p>
        </w:tc>
        <w:tc>
          <w:tcPr>
            <w:tcW w:w="3079" w:type="dxa"/>
            <w:gridSpan w:val="5"/>
            <w:tcBorders>
              <w:bottom w:val="single" w:color="auto" w:sz="4" w:space="0"/>
            </w:tcBorders>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预计投产日期</w:t>
            </w:r>
          </w:p>
        </w:tc>
        <w:tc>
          <w:tcPr>
            <w:tcW w:w="2683" w:type="dxa"/>
            <w:gridSpan w:val="5"/>
            <w:tcBorders>
              <w:bottom w:val="single" w:color="auto" w:sz="4" w:space="0"/>
            </w:tcBorders>
            <w:tcMar>
              <w:left w:w="0" w:type="dxa"/>
              <w:right w:w="0" w:type="dxa"/>
            </w:tcMar>
            <w:vAlign w:val="center"/>
          </w:tcPr>
          <w:p>
            <w:pPr>
              <w:pStyle w:val="17"/>
              <w:adjustRightInd w:val="0"/>
              <w:snapToGrid w:val="0"/>
              <w:ind w:firstLine="0" w:firstLineChars="0"/>
              <w:jc w:val="center"/>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2019.11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650" w:type="dxa"/>
            <w:gridSpan w:val="12"/>
            <w:tcMar>
              <w:left w:w="0" w:type="dxa"/>
              <w:right w:w="0" w:type="dxa"/>
            </w:tcMar>
            <w:vAlign w:val="center"/>
          </w:tcPr>
          <w:p>
            <w:pPr>
              <w:pStyle w:val="17"/>
              <w:adjustRightInd w:val="0"/>
              <w:snapToGrid w:val="0"/>
              <w:spacing w:line="360" w:lineRule="auto"/>
              <w:ind w:firstLine="0" w:firstLineChars="0"/>
              <w:rPr>
                <w:rFonts w:asciiTheme="majorEastAsia" w:hAnsiTheme="majorEastAsia" w:eastAsiaTheme="majorEastAsia"/>
                <w:b/>
                <w:color w:val="auto"/>
                <w:szCs w:val="28"/>
              </w:rPr>
            </w:pPr>
            <w:r>
              <w:rPr>
                <w:rFonts w:asciiTheme="majorEastAsia" w:hAnsiTheme="majorEastAsia" w:eastAsiaTheme="majorEastAsia"/>
                <w:b/>
                <w:color w:val="auto"/>
                <w:sz w:val="24"/>
                <w:szCs w:val="24"/>
              </w:rPr>
              <w:t>项目概况</w:t>
            </w:r>
          </w:p>
          <w:p>
            <w:pPr>
              <w:adjustRightInd w:val="0"/>
              <w:snapToGrid w:val="0"/>
              <w:spacing w:line="360" w:lineRule="auto"/>
              <w:ind w:firstLine="590" w:firstLineChars="245"/>
              <w:rPr>
                <w:rFonts w:asciiTheme="majorEastAsia" w:hAnsiTheme="majorEastAsia" w:eastAsiaTheme="majorEastAsia"/>
                <w:b/>
                <w:color w:val="auto"/>
                <w:sz w:val="24"/>
              </w:rPr>
            </w:pPr>
            <w:r>
              <w:rPr>
                <w:rFonts w:asciiTheme="majorEastAsia" w:hAnsiTheme="majorEastAsia" w:eastAsiaTheme="majorEastAsia"/>
                <w:b/>
                <w:color w:val="auto"/>
                <w:sz w:val="24"/>
              </w:rPr>
              <w:t>1、项目背景</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sz w:val="24"/>
              </w:rPr>
            </w:pPr>
            <w:r>
              <w:rPr>
                <w:rFonts w:asciiTheme="majorEastAsia" w:hAnsiTheme="majorEastAsia" w:eastAsiaTheme="majorEastAsia"/>
                <w:color w:val="auto"/>
                <w:sz w:val="24"/>
              </w:rPr>
              <w:t>宁县位于甘肃省东部，隶属庆阳市。东、南与陕西黄陵、长武相连，西临甘肃泾川，北与庆阳市合水、西峰接壤。辖14镇4乡、257个行政村、13个社区，总人口55万，其中农业人口50.59万。总土地面积2653平方公里，耕地100万亩。</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sz w:val="24"/>
              </w:rPr>
            </w:pPr>
            <w:r>
              <w:rPr>
                <w:rFonts w:asciiTheme="majorEastAsia" w:hAnsiTheme="majorEastAsia" w:eastAsiaTheme="majorEastAsia"/>
                <w:color w:val="auto"/>
                <w:sz w:val="24"/>
              </w:rPr>
              <w:t>近年来，宁县在省委、省政府，市委、市政府的正确领导下，紧盯“建设甘肃‘东翼’发展核心区和新的经济增长级”的目标，大力实施工业强县、产业富民、基础先行战略，着力优化发展环境，深度开发优势资源，加快开放开发步伐，全县经济呈现出增速加快、效益提升、民生改善、和谐稳定的良好态势。在全县工业、农业、经济稳定发展的环境下，金村村街区人口也增加迅速，城镇化水平不断提高，污水量迅速增加。目前金村村排水主干管已修建，采用雨污合流制，但目前污水收集管网尚不完善、并且无污水处理设施，金村村污水经收集后排至沟道，污水仅靠自然蒸发和下渗处理，造成周围环境严重污染，给周边居民的生活带来严重困扰。为进一步改善项目所在地人居环境，故有必要建设相应的污水收集、处理设施及排水管网系统。</w:t>
            </w:r>
          </w:p>
          <w:p>
            <w:pPr>
              <w:adjustRightInd w:val="0"/>
              <w:snapToGrid w:val="0"/>
              <w:spacing w:line="360" w:lineRule="auto"/>
              <w:ind w:firstLine="420"/>
              <w:rPr>
                <w:rFonts w:asciiTheme="majorEastAsia" w:hAnsiTheme="majorEastAsia" w:eastAsiaTheme="majorEastAsia"/>
                <w:color w:val="auto"/>
                <w:sz w:val="24"/>
              </w:rPr>
            </w:pPr>
            <w:r>
              <w:rPr>
                <w:rFonts w:asciiTheme="majorEastAsia" w:hAnsiTheme="majorEastAsia" w:eastAsiaTheme="majorEastAsia"/>
                <w:color w:val="auto"/>
                <w:sz w:val="24"/>
              </w:rPr>
              <w:t>根据《中华人民共和国环境影响评价法》和《建设项目环境保护管理条例》要求，宁县金村乡金村村生活污水截污处置工程需进行环境影响评价。依照《环境影响评价技术导则》及《建设项目环境影响评价分类管理名录》的要求，本项目属于本项目属“三十三、水的生产和供应业96、生活污水集中处理”，规定新建、扩建的日处理10万吨及以上应编制环境影响报告书，其他类型编制环境影响报告表。本项目污水处理规模为200m</w:t>
            </w:r>
            <w:r>
              <w:rPr>
                <w:rFonts w:asciiTheme="majorEastAsia" w:hAnsiTheme="majorEastAsia" w:eastAsiaTheme="majorEastAsia"/>
                <w:color w:val="auto"/>
                <w:sz w:val="24"/>
                <w:vertAlign w:val="superscript"/>
              </w:rPr>
              <w:t>3</w:t>
            </w:r>
            <w:r>
              <w:rPr>
                <w:rFonts w:asciiTheme="majorEastAsia" w:hAnsiTheme="majorEastAsia" w:eastAsiaTheme="majorEastAsia"/>
                <w:color w:val="auto"/>
                <w:sz w:val="24"/>
              </w:rPr>
              <w:t>/d，故确定本项目编制环境影响报告表。因此，宁县金村乡人民政府委托甘肃创新环境科技有限责任公司对该项目进行环境影响评价工作。我公司接受委托后，</w:t>
            </w:r>
            <w:r>
              <w:rPr>
                <w:rFonts w:asciiTheme="majorEastAsia" w:hAnsiTheme="majorEastAsia" w:eastAsiaTheme="majorEastAsia"/>
                <w:color w:val="auto"/>
                <w:sz w:val="24"/>
                <w:lang w:val="zh-CN"/>
              </w:rPr>
              <w:t>立即派出有关技术人员赴现场进行调查和踏勘，进行了资料收集和咨询调研，依据国家有关法规和环境管理部门的有关要求，对工程建设中可能涉及的问题，进行了深入的分析，并与业主交换了意见。</w:t>
            </w:r>
            <w:r>
              <w:rPr>
                <w:rFonts w:asciiTheme="majorEastAsia" w:hAnsiTheme="majorEastAsia" w:eastAsiaTheme="majorEastAsia"/>
                <w:color w:val="auto"/>
                <w:sz w:val="24"/>
              </w:rPr>
              <w:t>在此基础上，编制完成了《宁县金村乡金村村生活污水截污处置工程环境影响评价报告表》，为环境保护工作提供科学的依据。</w:t>
            </w:r>
          </w:p>
          <w:p>
            <w:pPr>
              <w:pStyle w:val="17"/>
              <w:adjustRightInd w:val="0"/>
              <w:snapToGrid w:val="0"/>
              <w:spacing w:line="360" w:lineRule="auto"/>
              <w:ind w:firstLine="472" w:firstLineChars="196"/>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2、编制依据</w:t>
            </w:r>
          </w:p>
          <w:p>
            <w:pPr>
              <w:pStyle w:val="17"/>
              <w:adjustRightInd w:val="0"/>
              <w:snapToGrid w:val="0"/>
              <w:spacing w:line="360" w:lineRule="auto"/>
              <w:ind w:firstLine="482" w:firstLineChars="200"/>
              <w:rPr>
                <w:rFonts w:asciiTheme="majorEastAsia" w:hAnsiTheme="majorEastAsia" w:eastAsiaTheme="majorEastAsia"/>
                <w:b/>
                <w:color w:val="auto"/>
                <w:sz w:val="24"/>
                <w:szCs w:val="24"/>
                <w:lang w:val="zh-CN"/>
              </w:rPr>
            </w:pPr>
            <w:r>
              <w:rPr>
                <w:rFonts w:asciiTheme="majorEastAsia" w:hAnsiTheme="majorEastAsia" w:eastAsiaTheme="majorEastAsia"/>
                <w:b/>
                <w:color w:val="auto"/>
                <w:sz w:val="24"/>
                <w:szCs w:val="24"/>
              </w:rPr>
              <w:t>2.1</w:t>
            </w:r>
            <w:r>
              <w:rPr>
                <w:rFonts w:asciiTheme="majorEastAsia" w:hAnsiTheme="majorEastAsia" w:eastAsiaTheme="majorEastAsia"/>
                <w:b/>
                <w:color w:val="auto"/>
                <w:sz w:val="24"/>
                <w:szCs w:val="24"/>
                <w:lang w:val="zh-CN"/>
              </w:rPr>
              <w:t>法律法规</w:t>
            </w:r>
          </w:p>
          <w:p>
            <w:pPr>
              <w:adjustRightInd w:val="0"/>
              <w:snapToGrid w:val="0"/>
              <w:spacing w:line="360" w:lineRule="auto"/>
              <w:ind w:firstLine="480" w:firstLineChars="200"/>
              <w:rPr>
                <w:rFonts w:asciiTheme="majorEastAsia" w:hAnsiTheme="majorEastAsia" w:eastAsiaTheme="majorEastAsia"/>
                <w:color w:val="auto"/>
                <w:sz w:val="24"/>
              </w:rPr>
            </w:pPr>
            <w:r>
              <w:rPr>
                <w:rFonts w:hint="eastAsia" w:cs="宋体" w:asciiTheme="majorEastAsia" w:hAnsiTheme="majorEastAsia" w:eastAsiaTheme="majorEastAsia"/>
                <w:color w:val="auto"/>
                <w:sz w:val="24"/>
              </w:rPr>
              <w:t>⑴</w:t>
            </w:r>
            <w:r>
              <w:rPr>
                <w:rFonts w:asciiTheme="majorEastAsia" w:hAnsiTheme="majorEastAsia" w:eastAsiaTheme="majorEastAsia"/>
                <w:color w:val="auto"/>
                <w:sz w:val="24"/>
              </w:rPr>
              <w:t>《中华人民共和国环境保护法》（2015年1月1日）；</w:t>
            </w:r>
          </w:p>
          <w:p>
            <w:pPr>
              <w:pStyle w:val="123"/>
              <w:adjustRightInd w:val="0"/>
              <w:snapToGrid w:val="0"/>
              <w:ind w:firstLine="480"/>
              <w:rPr>
                <w:rFonts w:asciiTheme="majorEastAsia" w:hAnsiTheme="majorEastAsia" w:eastAsiaTheme="majorEastAsia"/>
                <w:color w:val="auto"/>
                <w:sz w:val="24"/>
                <w:szCs w:val="24"/>
                <w:lang w:val="zh-CN"/>
              </w:rPr>
            </w:pPr>
            <w:r>
              <w:rPr>
                <w:rFonts w:hint="eastAsia" w:cs="宋体" w:asciiTheme="majorEastAsia" w:hAnsiTheme="majorEastAsia" w:eastAsiaTheme="majorEastAsia"/>
                <w:color w:val="auto"/>
                <w:sz w:val="24"/>
                <w:szCs w:val="24"/>
              </w:rPr>
              <w:t>⑵</w:t>
            </w:r>
            <w:r>
              <w:rPr>
                <w:rFonts w:asciiTheme="majorEastAsia" w:hAnsiTheme="majorEastAsia" w:eastAsiaTheme="majorEastAsia"/>
                <w:color w:val="auto"/>
                <w:sz w:val="24"/>
                <w:szCs w:val="24"/>
                <w:lang w:val="zh-CN"/>
              </w:rPr>
              <w:t>《中华人民共和国环境影响评价法》</w:t>
            </w:r>
            <w:r>
              <w:rPr>
                <w:rFonts w:asciiTheme="majorEastAsia" w:hAnsiTheme="majorEastAsia" w:eastAsiaTheme="majorEastAsia"/>
                <w:color w:val="auto"/>
                <w:sz w:val="24"/>
                <w:szCs w:val="24"/>
              </w:rPr>
              <w:t>（2018年12月29日）</w:t>
            </w:r>
            <w:r>
              <w:rPr>
                <w:rFonts w:asciiTheme="majorEastAsia" w:hAnsiTheme="majorEastAsia" w:eastAsiaTheme="majorEastAsia"/>
                <w:color w:val="auto"/>
                <w:sz w:val="24"/>
                <w:szCs w:val="24"/>
                <w:lang w:val="zh-CN"/>
              </w:rPr>
              <w:t>；</w:t>
            </w:r>
          </w:p>
          <w:p>
            <w:pPr>
              <w:pStyle w:val="123"/>
              <w:adjustRightInd w:val="0"/>
              <w:snapToGrid w:val="0"/>
              <w:ind w:firstLine="480"/>
              <w:rPr>
                <w:rFonts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⑶</w:t>
            </w:r>
            <w:r>
              <w:rPr>
                <w:rFonts w:asciiTheme="majorEastAsia" w:hAnsiTheme="majorEastAsia" w:eastAsiaTheme="majorEastAsia"/>
                <w:color w:val="auto"/>
                <w:sz w:val="24"/>
                <w:szCs w:val="24"/>
                <w:lang w:val="zh-CN"/>
              </w:rPr>
              <w:t>《中华人民共和国大气污染防治法》</w:t>
            </w:r>
            <w:r>
              <w:rPr>
                <w:rFonts w:asciiTheme="majorEastAsia" w:hAnsiTheme="majorEastAsia" w:eastAsiaTheme="majorEastAsia"/>
                <w:color w:val="auto"/>
                <w:sz w:val="24"/>
                <w:szCs w:val="24"/>
              </w:rPr>
              <w:t>（2018年10月26日）；</w:t>
            </w:r>
          </w:p>
          <w:p>
            <w:pPr>
              <w:pStyle w:val="123"/>
              <w:adjustRightInd w:val="0"/>
              <w:snapToGrid w:val="0"/>
              <w:ind w:firstLine="480"/>
              <w:rPr>
                <w:rFonts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⑷</w:t>
            </w:r>
            <w:r>
              <w:rPr>
                <w:rFonts w:asciiTheme="majorEastAsia" w:hAnsiTheme="majorEastAsia" w:eastAsiaTheme="majorEastAsia"/>
                <w:color w:val="auto"/>
                <w:sz w:val="24"/>
                <w:szCs w:val="24"/>
              </w:rPr>
              <w:t>《中华人民共和国水污染防治法》（2018年1月1日）；</w:t>
            </w:r>
          </w:p>
          <w:p>
            <w:pPr>
              <w:pStyle w:val="123"/>
              <w:adjustRightInd w:val="0"/>
              <w:snapToGrid w:val="0"/>
              <w:ind w:firstLine="480"/>
              <w:rPr>
                <w:rFonts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⑸</w:t>
            </w:r>
            <w:r>
              <w:rPr>
                <w:rFonts w:asciiTheme="majorEastAsia" w:hAnsiTheme="majorEastAsia" w:eastAsiaTheme="majorEastAsia"/>
                <w:color w:val="auto"/>
                <w:sz w:val="24"/>
                <w:szCs w:val="24"/>
              </w:rPr>
              <w:t>《中华人民共和国固体废物污染环境防治法》（2016年11月7日修正）；</w:t>
            </w:r>
          </w:p>
          <w:p>
            <w:pPr>
              <w:pStyle w:val="123"/>
              <w:adjustRightInd w:val="0"/>
              <w:snapToGrid w:val="0"/>
              <w:ind w:firstLine="480"/>
              <w:rPr>
                <w:rFonts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⑹</w:t>
            </w:r>
            <w:r>
              <w:rPr>
                <w:rFonts w:asciiTheme="majorEastAsia" w:hAnsiTheme="majorEastAsia" w:eastAsiaTheme="majorEastAsia"/>
                <w:color w:val="auto"/>
                <w:sz w:val="24"/>
                <w:szCs w:val="24"/>
              </w:rPr>
              <w:t>《中华人民共和国环境噪声污染防治法》（2018年12月29日）；</w:t>
            </w:r>
          </w:p>
          <w:p>
            <w:pPr>
              <w:pStyle w:val="123"/>
              <w:adjustRightInd w:val="0"/>
              <w:snapToGrid w:val="0"/>
              <w:ind w:firstLine="480"/>
              <w:rPr>
                <w:rFonts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⑺</w:t>
            </w:r>
            <w:r>
              <w:rPr>
                <w:rFonts w:asciiTheme="majorEastAsia" w:hAnsiTheme="majorEastAsia" w:eastAsiaTheme="majorEastAsia"/>
                <w:color w:val="auto"/>
                <w:sz w:val="24"/>
                <w:szCs w:val="24"/>
              </w:rPr>
              <w:t>《中华人民共和国节约能源法》（2018年10月26日）；</w:t>
            </w:r>
          </w:p>
          <w:p>
            <w:pPr>
              <w:adjustRightInd w:val="0"/>
              <w:snapToGrid w:val="0"/>
              <w:spacing w:line="360" w:lineRule="auto"/>
              <w:ind w:firstLine="480" w:firstLineChars="200"/>
              <w:rPr>
                <w:rFonts w:asciiTheme="majorEastAsia" w:hAnsiTheme="majorEastAsia" w:eastAsiaTheme="majorEastAsia"/>
                <w:color w:val="auto"/>
                <w:sz w:val="24"/>
              </w:rPr>
            </w:pPr>
            <w:r>
              <w:rPr>
                <w:rFonts w:hint="eastAsia" w:cs="宋体" w:asciiTheme="majorEastAsia" w:hAnsiTheme="majorEastAsia" w:eastAsiaTheme="majorEastAsia"/>
                <w:color w:val="auto"/>
                <w:sz w:val="24"/>
              </w:rPr>
              <w:t>⑻</w:t>
            </w:r>
            <w:r>
              <w:rPr>
                <w:rFonts w:asciiTheme="majorEastAsia" w:hAnsiTheme="majorEastAsia" w:eastAsiaTheme="majorEastAsia"/>
                <w:color w:val="auto"/>
                <w:sz w:val="24"/>
              </w:rPr>
              <w:t>《中华人民共和国土地管理法》（2004年8月28日）；</w:t>
            </w:r>
          </w:p>
          <w:p>
            <w:pPr>
              <w:pStyle w:val="123"/>
              <w:adjustRightInd w:val="0"/>
              <w:snapToGrid w:val="0"/>
              <w:ind w:firstLine="480"/>
              <w:rPr>
                <w:rFonts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⑼</w:t>
            </w:r>
            <w:r>
              <w:rPr>
                <w:rFonts w:asciiTheme="majorEastAsia" w:hAnsiTheme="majorEastAsia" w:eastAsiaTheme="majorEastAsia"/>
                <w:color w:val="auto"/>
                <w:sz w:val="24"/>
                <w:szCs w:val="24"/>
              </w:rPr>
              <w:t>《中华人民共和国城乡规划法》（2015年4月24日）；</w:t>
            </w:r>
          </w:p>
          <w:p>
            <w:pPr>
              <w:adjustRightInd w:val="0"/>
              <w:snapToGrid w:val="0"/>
              <w:spacing w:line="360" w:lineRule="auto"/>
              <w:ind w:firstLine="480" w:firstLineChars="200"/>
              <w:rPr>
                <w:rFonts w:asciiTheme="majorEastAsia" w:hAnsiTheme="majorEastAsia" w:eastAsiaTheme="majorEastAsia"/>
                <w:color w:val="auto"/>
                <w:sz w:val="24"/>
              </w:rPr>
            </w:pPr>
            <w:r>
              <w:rPr>
                <w:rFonts w:hint="eastAsia" w:cs="宋体" w:asciiTheme="majorEastAsia" w:hAnsiTheme="majorEastAsia" w:eastAsiaTheme="majorEastAsia"/>
                <w:color w:val="auto"/>
                <w:sz w:val="24"/>
              </w:rPr>
              <w:t>⑽</w:t>
            </w:r>
            <w:r>
              <w:rPr>
                <w:rFonts w:asciiTheme="majorEastAsia" w:hAnsiTheme="majorEastAsia" w:eastAsiaTheme="majorEastAsia"/>
                <w:color w:val="auto"/>
                <w:sz w:val="24"/>
              </w:rPr>
              <w:t>《中华人民共和国清洁生产促进法》（2012年7月1日）；</w:t>
            </w:r>
          </w:p>
          <w:p>
            <w:pPr>
              <w:adjustRightInd w:val="0"/>
              <w:snapToGrid w:val="0"/>
              <w:spacing w:line="360" w:lineRule="auto"/>
              <w:ind w:firstLine="480" w:firstLineChars="200"/>
              <w:rPr>
                <w:rFonts w:asciiTheme="majorEastAsia" w:hAnsiTheme="majorEastAsia" w:eastAsiaTheme="majorEastAsia"/>
                <w:bCs/>
                <w:snapToGrid w:val="0"/>
                <w:color w:val="auto"/>
                <w:kern w:val="0"/>
                <w:sz w:val="24"/>
              </w:rPr>
            </w:pPr>
            <w:r>
              <w:rPr>
                <w:rFonts w:hint="eastAsia" w:cs="宋体" w:asciiTheme="majorEastAsia" w:hAnsiTheme="majorEastAsia" w:eastAsiaTheme="majorEastAsia"/>
                <w:color w:val="auto"/>
                <w:sz w:val="24"/>
              </w:rPr>
              <w:t>⑾</w:t>
            </w:r>
            <w:r>
              <w:rPr>
                <w:rFonts w:asciiTheme="majorEastAsia" w:hAnsiTheme="majorEastAsia" w:eastAsiaTheme="majorEastAsia"/>
                <w:color w:val="auto"/>
                <w:sz w:val="24"/>
              </w:rPr>
              <w:t>《建设项目环境保护管理条例》国务院令第682号，2017年10月1日；</w:t>
            </w:r>
          </w:p>
          <w:p>
            <w:pPr>
              <w:adjustRightInd w:val="0"/>
              <w:snapToGrid w:val="0"/>
              <w:spacing w:line="360" w:lineRule="auto"/>
              <w:ind w:firstLine="480" w:firstLineChars="200"/>
              <w:rPr>
                <w:rFonts w:asciiTheme="majorEastAsia" w:hAnsiTheme="majorEastAsia" w:eastAsiaTheme="majorEastAsia"/>
                <w:bCs/>
                <w:snapToGrid w:val="0"/>
                <w:color w:val="auto"/>
                <w:kern w:val="0"/>
                <w:sz w:val="24"/>
              </w:rPr>
            </w:pPr>
            <w:r>
              <w:rPr>
                <w:rFonts w:hint="eastAsia" w:cs="宋体" w:asciiTheme="majorEastAsia" w:hAnsiTheme="majorEastAsia" w:eastAsiaTheme="majorEastAsia"/>
                <w:color w:val="auto"/>
                <w:sz w:val="24"/>
              </w:rPr>
              <w:t>⑿</w:t>
            </w:r>
            <w:r>
              <w:rPr>
                <w:rFonts w:asciiTheme="majorEastAsia" w:hAnsiTheme="majorEastAsia" w:eastAsiaTheme="majorEastAsia"/>
                <w:color w:val="auto"/>
                <w:sz w:val="24"/>
              </w:rPr>
              <w:t>《建设项目环境影响评价分类管理名录》修订版，2018年4月28日；</w:t>
            </w:r>
          </w:p>
          <w:p>
            <w:pPr>
              <w:pStyle w:val="123"/>
              <w:adjustRightInd w:val="0"/>
              <w:snapToGrid w:val="0"/>
              <w:ind w:firstLine="480"/>
              <w:rPr>
                <w:rFonts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⒀</w:t>
            </w:r>
            <w:r>
              <w:rPr>
                <w:rFonts w:asciiTheme="majorEastAsia" w:hAnsiTheme="majorEastAsia" w:eastAsiaTheme="majorEastAsia"/>
                <w:color w:val="auto"/>
                <w:sz w:val="24"/>
                <w:szCs w:val="24"/>
              </w:rPr>
              <w:t>《国务院关于印发“十三五”生态环境保护规划的通知》国发[2016]65号，2016年11月24日；</w:t>
            </w:r>
          </w:p>
          <w:p>
            <w:pPr>
              <w:pStyle w:val="123"/>
              <w:adjustRightInd w:val="0"/>
              <w:snapToGrid w:val="0"/>
              <w:ind w:firstLine="480"/>
              <w:rPr>
                <w:rFonts w:asciiTheme="majorEastAsia" w:hAnsiTheme="majorEastAsia" w:eastAsiaTheme="majorEastAsia"/>
                <w:color w:val="auto"/>
                <w:sz w:val="24"/>
                <w:szCs w:val="24"/>
                <w:lang w:val="zh-CN"/>
              </w:rPr>
            </w:pPr>
            <w:r>
              <w:rPr>
                <w:rFonts w:hint="eastAsia" w:cs="宋体" w:asciiTheme="majorEastAsia" w:hAnsiTheme="majorEastAsia" w:eastAsiaTheme="majorEastAsia"/>
                <w:color w:val="auto"/>
                <w:sz w:val="24"/>
                <w:szCs w:val="24"/>
              </w:rPr>
              <w:t>⒁</w:t>
            </w:r>
            <w:r>
              <w:rPr>
                <w:rFonts w:asciiTheme="majorEastAsia" w:hAnsiTheme="majorEastAsia" w:eastAsiaTheme="majorEastAsia"/>
                <w:color w:val="auto"/>
                <w:sz w:val="24"/>
                <w:szCs w:val="24"/>
              </w:rPr>
              <w:t>《关于加强城镇污水处理厂污泥污染防治工作的通知》（环办〔2010〕157号）；</w:t>
            </w:r>
          </w:p>
          <w:p>
            <w:pPr>
              <w:pStyle w:val="144"/>
              <w:adjustRightInd w:val="0"/>
              <w:snapToGrid w:val="0"/>
              <w:rPr>
                <w:rFonts w:asciiTheme="majorEastAsia" w:hAnsiTheme="majorEastAsia" w:eastAsiaTheme="majorEastAsia"/>
                <w:color w:val="auto"/>
                <w:szCs w:val="24"/>
              </w:rPr>
            </w:pPr>
            <w:r>
              <w:rPr>
                <w:rFonts w:hint="eastAsia" w:cs="宋体" w:asciiTheme="majorEastAsia" w:hAnsiTheme="majorEastAsia" w:eastAsiaTheme="majorEastAsia"/>
                <w:color w:val="auto"/>
                <w:szCs w:val="24"/>
              </w:rPr>
              <w:t>⒂</w:t>
            </w:r>
            <w:r>
              <w:rPr>
                <w:rFonts w:asciiTheme="majorEastAsia" w:hAnsiTheme="majorEastAsia" w:eastAsiaTheme="majorEastAsia"/>
                <w:color w:val="auto"/>
                <w:szCs w:val="24"/>
              </w:rPr>
              <w:t>《产业结构调整指导目录（2011年本）（修正）》，根据2013年2月16日国家发展改革委第21号令公布的《国家发展改革委关于修改&lt;产业结构调整指导目录（2011年本）&gt;有关条款的规定》修正；</w:t>
            </w:r>
          </w:p>
          <w:p>
            <w:pPr>
              <w:pStyle w:val="144"/>
              <w:adjustRightInd w:val="0"/>
              <w:snapToGrid w:val="0"/>
              <w:rPr>
                <w:rFonts w:asciiTheme="majorEastAsia" w:hAnsiTheme="majorEastAsia" w:eastAsiaTheme="majorEastAsia"/>
                <w:color w:val="auto"/>
                <w:szCs w:val="24"/>
              </w:rPr>
            </w:pPr>
            <w:r>
              <w:rPr>
                <w:rFonts w:hint="eastAsia" w:cs="宋体" w:asciiTheme="majorEastAsia" w:hAnsiTheme="majorEastAsia" w:eastAsiaTheme="majorEastAsia"/>
                <w:color w:val="auto"/>
                <w:szCs w:val="24"/>
              </w:rPr>
              <w:t>⒃</w:t>
            </w:r>
            <w:r>
              <w:rPr>
                <w:rFonts w:asciiTheme="majorEastAsia" w:hAnsiTheme="majorEastAsia" w:eastAsiaTheme="majorEastAsia"/>
                <w:color w:val="auto"/>
                <w:szCs w:val="24"/>
              </w:rPr>
              <w:t>《甘肃省人民政府办公厅关于印发甘肃省“十三五”环境保护规划的通知》甘肃省人民政府办公厅，2016年9月30日；</w:t>
            </w:r>
          </w:p>
          <w:p>
            <w:pPr>
              <w:pStyle w:val="144"/>
              <w:adjustRightInd w:val="0"/>
              <w:snapToGrid w:val="0"/>
              <w:rPr>
                <w:rFonts w:asciiTheme="majorEastAsia" w:hAnsiTheme="majorEastAsia" w:eastAsiaTheme="majorEastAsia"/>
                <w:color w:val="auto"/>
              </w:rPr>
            </w:pPr>
            <w:r>
              <w:rPr>
                <w:rFonts w:hint="eastAsia" w:cs="宋体" w:asciiTheme="majorEastAsia" w:hAnsiTheme="majorEastAsia" w:eastAsiaTheme="majorEastAsia"/>
                <w:color w:val="auto"/>
              </w:rPr>
              <w:t>⒄</w:t>
            </w:r>
            <w:r>
              <w:rPr>
                <w:rFonts w:asciiTheme="majorEastAsia" w:hAnsiTheme="majorEastAsia" w:eastAsiaTheme="majorEastAsia"/>
                <w:color w:val="auto"/>
              </w:rPr>
              <w:t>《水污染防治行动计划》（国发〔2015〕17号）国务院，2015年4月2日；</w:t>
            </w:r>
          </w:p>
          <w:p>
            <w:pPr>
              <w:pStyle w:val="144"/>
              <w:adjustRightInd w:val="0"/>
              <w:snapToGrid w:val="0"/>
              <w:rPr>
                <w:rFonts w:asciiTheme="majorEastAsia" w:hAnsiTheme="majorEastAsia" w:eastAsiaTheme="majorEastAsia"/>
                <w:color w:val="auto"/>
              </w:rPr>
            </w:pPr>
            <w:r>
              <w:rPr>
                <w:rFonts w:asciiTheme="majorEastAsia" w:hAnsiTheme="majorEastAsia" w:eastAsiaTheme="majorEastAsia"/>
                <w:color w:val="auto"/>
              </w:rPr>
              <w:fldChar w:fldCharType="begin"/>
            </w:r>
            <w:r>
              <w:rPr>
                <w:rFonts w:asciiTheme="majorEastAsia" w:hAnsiTheme="majorEastAsia" w:eastAsiaTheme="majorEastAsia"/>
                <w:color w:val="auto"/>
              </w:rPr>
              <w:instrText xml:space="preserve"> = 18 \* GB2 </w:instrText>
            </w:r>
            <w:r>
              <w:rPr>
                <w:rFonts w:asciiTheme="majorEastAsia" w:hAnsiTheme="majorEastAsia" w:eastAsiaTheme="majorEastAsia"/>
                <w:color w:val="auto"/>
              </w:rPr>
              <w:fldChar w:fldCharType="separate"/>
            </w:r>
            <w:r>
              <w:rPr>
                <w:rFonts w:hint="eastAsia" w:cs="宋体" w:asciiTheme="majorEastAsia" w:hAnsiTheme="majorEastAsia" w:eastAsiaTheme="majorEastAsia"/>
                <w:color w:val="auto"/>
              </w:rPr>
              <w:t>⒅</w:t>
            </w:r>
            <w:r>
              <w:rPr>
                <w:rFonts w:asciiTheme="majorEastAsia" w:hAnsiTheme="majorEastAsia" w:eastAsiaTheme="majorEastAsia"/>
                <w:color w:val="auto"/>
              </w:rPr>
              <w:fldChar w:fldCharType="end"/>
            </w:r>
            <w:r>
              <w:rPr>
                <w:rFonts w:asciiTheme="majorEastAsia" w:hAnsiTheme="majorEastAsia" w:eastAsiaTheme="majorEastAsia"/>
                <w:color w:val="auto"/>
              </w:rPr>
              <w:t>《甘肃省水污染防治工作方案（2015-2050年）》（甘政发〔2015〕103号）甘肃省人民政府，2015年12月30日；</w:t>
            </w:r>
          </w:p>
          <w:p>
            <w:pPr>
              <w:pStyle w:val="144"/>
              <w:adjustRightInd w:val="0"/>
              <w:snapToGrid w:val="0"/>
              <w:rPr>
                <w:rFonts w:asciiTheme="majorEastAsia" w:hAnsiTheme="majorEastAsia" w:eastAsiaTheme="majorEastAsia"/>
                <w:color w:val="auto"/>
              </w:rPr>
            </w:pPr>
            <w:r>
              <w:rPr>
                <w:rFonts w:asciiTheme="majorEastAsia" w:hAnsiTheme="majorEastAsia" w:eastAsiaTheme="majorEastAsia"/>
                <w:color w:val="auto"/>
              </w:rPr>
              <w:fldChar w:fldCharType="begin"/>
            </w:r>
            <w:r>
              <w:rPr>
                <w:rFonts w:asciiTheme="majorEastAsia" w:hAnsiTheme="majorEastAsia" w:eastAsiaTheme="majorEastAsia"/>
                <w:color w:val="auto"/>
              </w:rPr>
              <w:instrText xml:space="preserve"> = 19 \* GB2 </w:instrText>
            </w:r>
            <w:r>
              <w:rPr>
                <w:rFonts w:asciiTheme="majorEastAsia" w:hAnsiTheme="majorEastAsia" w:eastAsiaTheme="majorEastAsia"/>
                <w:color w:val="auto"/>
              </w:rPr>
              <w:fldChar w:fldCharType="separate"/>
            </w:r>
            <w:r>
              <w:rPr>
                <w:rFonts w:hint="eastAsia" w:cs="宋体" w:asciiTheme="majorEastAsia" w:hAnsiTheme="majorEastAsia" w:eastAsiaTheme="majorEastAsia"/>
                <w:color w:val="auto"/>
              </w:rPr>
              <w:t>⒆</w:t>
            </w:r>
            <w:r>
              <w:rPr>
                <w:rFonts w:asciiTheme="majorEastAsia" w:hAnsiTheme="majorEastAsia" w:eastAsiaTheme="majorEastAsia"/>
                <w:color w:val="auto"/>
              </w:rPr>
              <w:fldChar w:fldCharType="end"/>
            </w:r>
            <w:r>
              <w:rPr>
                <w:rFonts w:asciiTheme="majorEastAsia" w:hAnsiTheme="majorEastAsia" w:eastAsiaTheme="majorEastAsia"/>
                <w:color w:val="auto"/>
              </w:rPr>
              <w:t>《甘肃省人民政府办公厅关于印发甘肃省2017年大气污染防治工作方案的通知》甘政办发[2017]71号。</w:t>
            </w:r>
          </w:p>
          <w:p>
            <w:pPr>
              <w:pStyle w:val="144"/>
              <w:adjustRightInd w:val="0"/>
              <w:snapToGrid w:val="0"/>
              <w:ind w:firstLine="482"/>
              <w:rPr>
                <w:rFonts w:asciiTheme="majorEastAsia" w:hAnsiTheme="majorEastAsia" w:eastAsiaTheme="majorEastAsia"/>
                <w:b/>
                <w:color w:val="auto"/>
                <w:szCs w:val="24"/>
              </w:rPr>
            </w:pPr>
            <w:r>
              <w:rPr>
                <w:rFonts w:asciiTheme="majorEastAsia" w:hAnsiTheme="majorEastAsia" w:eastAsiaTheme="majorEastAsia"/>
                <w:b/>
                <w:color w:val="auto"/>
                <w:szCs w:val="24"/>
              </w:rPr>
              <w:t>2.2技术依据</w:t>
            </w:r>
          </w:p>
          <w:p>
            <w:pPr>
              <w:pStyle w:val="17"/>
              <w:adjustRightInd w:val="0"/>
              <w:snapToGrid w:val="0"/>
              <w:spacing w:line="360" w:lineRule="auto"/>
              <w:ind w:firstLine="461"/>
              <w:rPr>
                <w:rFonts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⑴</w:t>
            </w:r>
            <w:r>
              <w:rPr>
                <w:rFonts w:asciiTheme="majorEastAsia" w:hAnsiTheme="majorEastAsia" w:eastAsiaTheme="majorEastAsia"/>
                <w:color w:val="auto"/>
                <w:sz w:val="24"/>
                <w:szCs w:val="24"/>
              </w:rPr>
              <w:t>《建设项目环境影响评价技术导则-总纲》（HJ2.1-2016）；</w:t>
            </w:r>
          </w:p>
          <w:p>
            <w:pPr>
              <w:pStyle w:val="17"/>
              <w:adjustRightInd w:val="0"/>
              <w:snapToGrid w:val="0"/>
              <w:spacing w:line="360" w:lineRule="auto"/>
              <w:ind w:firstLine="461"/>
              <w:rPr>
                <w:rFonts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⑵</w:t>
            </w:r>
            <w:r>
              <w:rPr>
                <w:rFonts w:asciiTheme="majorEastAsia" w:hAnsiTheme="majorEastAsia" w:eastAsiaTheme="majorEastAsia"/>
                <w:color w:val="auto"/>
                <w:sz w:val="24"/>
                <w:szCs w:val="24"/>
              </w:rPr>
              <w:t>《环境影响评价技术导则-大气环境》（HJ2.2-2018）；</w:t>
            </w:r>
          </w:p>
          <w:p>
            <w:pPr>
              <w:pStyle w:val="17"/>
              <w:adjustRightInd w:val="0"/>
              <w:snapToGrid w:val="0"/>
              <w:spacing w:line="360" w:lineRule="auto"/>
              <w:ind w:firstLine="461"/>
              <w:rPr>
                <w:rFonts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⑶</w:t>
            </w:r>
            <w:r>
              <w:rPr>
                <w:rFonts w:asciiTheme="majorEastAsia" w:hAnsiTheme="majorEastAsia" w:eastAsiaTheme="majorEastAsia"/>
                <w:color w:val="auto"/>
                <w:sz w:val="24"/>
                <w:szCs w:val="24"/>
              </w:rPr>
              <w:t>《环境影响评价技术导则-地表水环境》（HJ2.3-2018）；</w:t>
            </w:r>
          </w:p>
          <w:p>
            <w:pPr>
              <w:pStyle w:val="17"/>
              <w:adjustRightInd w:val="0"/>
              <w:snapToGrid w:val="0"/>
              <w:spacing w:line="360" w:lineRule="auto"/>
              <w:ind w:firstLine="461"/>
              <w:rPr>
                <w:rFonts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⑷</w:t>
            </w:r>
            <w:r>
              <w:rPr>
                <w:rFonts w:asciiTheme="majorEastAsia" w:hAnsiTheme="majorEastAsia" w:eastAsiaTheme="majorEastAsia"/>
                <w:color w:val="auto"/>
                <w:sz w:val="24"/>
                <w:szCs w:val="24"/>
              </w:rPr>
              <w:t>《环境影响评价技术导则-地下水环境》（HJ610-2016）；</w:t>
            </w:r>
          </w:p>
          <w:p>
            <w:pPr>
              <w:pStyle w:val="17"/>
              <w:adjustRightInd w:val="0"/>
              <w:snapToGrid w:val="0"/>
              <w:spacing w:line="360" w:lineRule="auto"/>
              <w:ind w:firstLine="461"/>
              <w:rPr>
                <w:rFonts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⑸</w:t>
            </w:r>
            <w:r>
              <w:rPr>
                <w:rFonts w:asciiTheme="majorEastAsia" w:hAnsiTheme="majorEastAsia" w:eastAsiaTheme="majorEastAsia"/>
                <w:color w:val="auto"/>
                <w:sz w:val="24"/>
                <w:szCs w:val="24"/>
              </w:rPr>
              <w:t>《环境影响评价技术导则-声环境》（HJ2.4-2009）；</w:t>
            </w:r>
          </w:p>
          <w:p>
            <w:pPr>
              <w:pStyle w:val="17"/>
              <w:adjustRightInd w:val="0"/>
              <w:snapToGrid w:val="0"/>
              <w:spacing w:line="360" w:lineRule="auto"/>
              <w:ind w:firstLine="461"/>
              <w:rPr>
                <w:rFonts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⑹</w:t>
            </w:r>
            <w:r>
              <w:rPr>
                <w:rFonts w:asciiTheme="majorEastAsia" w:hAnsiTheme="majorEastAsia" w:eastAsiaTheme="majorEastAsia"/>
                <w:color w:val="auto"/>
                <w:sz w:val="24"/>
                <w:szCs w:val="24"/>
              </w:rPr>
              <w:t>《环境影响评价导则-生态影响》（HJ19-2011）；</w:t>
            </w:r>
          </w:p>
          <w:p>
            <w:pPr>
              <w:pStyle w:val="17"/>
              <w:adjustRightInd w:val="0"/>
              <w:snapToGrid w:val="0"/>
              <w:spacing w:line="360" w:lineRule="auto"/>
              <w:ind w:firstLine="461"/>
              <w:rPr>
                <w:rFonts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⑺</w:t>
            </w:r>
            <w:r>
              <w:rPr>
                <w:rFonts w:asciiTheme="majorEastAsia" w:hAnsiTheme="majorEastAsia" w:eastAsiaTheme="majorEastAsia"/>
                <w:color w:val="auto"/>
                <w:sz w:val="24"/>
                <w:szCs w:val="24"/>
              </w:rPr>
              <w:t>《建设项目环境风险评价技术导则》（HJ169-2018）；</w:t>
            </w:r>
          </w:p>
          <w:p>
            <w:pPr>
              <w:pStyle w:val="17"/>
              <w:adjustRightInd w:val="0"/>
              <w:snapToGrid w:val="0"/>
              <w:spacing w:line="360" w:lineRule="auto"/>
              <w:ind w:firstLine="461"/>
              <w:rPr>
                <w:rFonts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⑻</w:t>
            </w:r>
            <w:r>
              <w:rPr>
                <w:rFonts w:asciiTheme="majorEastAsia" w:hAnsiTheme="majorEastAsia" w:eastAsiaTheme="majorEastAsia"/>
                <w:color w:val="auto"/>
                <w:sz w:val="24"/>
                <w:szCs w:val="24"/>
              </w:rPr>
              <w:t>《水污染治理工程技术导则》（HJ2015-2012）；</w:t>
            </w:r>
          </w:p>
          <w:p>
            <w:pPr>
              <w:pStyle w:val="17"/>
              <w:adjustRightInd w:val="0"/>
              <w:snapToGrid w:val="0"/>
              <w:spacing w:line="360" w:lineRule="auto"/>
              <w:ind w:firstLine="461"/>
              <w:rPr>
                <w:rFonts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⑼</w:t>
            </w:r>
            <w:r>
              <w:rPr>
                <w:rFonts w:asciiTheme="majorEastAsia" w:hAnsiTheme="majorEastAsia" w:eastAsiaTheme="majorEastAsia"/>
                <w:color w:val="auto"/>
                <w:sz w:val="24"/>
                <w:szCs w:val="24"/>
              </w:rPr>
              <w:t>《甘肃省地表水功能区划（2012-2030年）》（甘肃省水利厅、甘肃省环保厅、甘肃省发展和改革委员会，2012.8）。</w:t>
            </w:r>
          </w:p>
          <w:p>
            <w:pPr>
              <w:pStyle w:val="17"/>
              <w:adjustRightInd w:val="0"/>
              <w:snapToGrid w:val="0"/>
              <w:spacing w:line="360" w:lineRule="auto"/>
              <w:ind w:firstLine="482" w:firstLineChars="200"/>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2.3项目依据</w:t>
            </w:r>
          </w:p>
          <w:p>
            <w:pPr>
              <w:pStyle w:val="17"/>
              <w:adjustRightInd w:val="0"/>
              <w:snapToGrid w:val="0"/>
              <w:spacing w:line="360" w:lineRule="auto"/>
              <w:ind w:firstLine="480" w:firstLineChars="200"/>
              <w:rPr>
                <w:rFonts w:asciiTheme="majorEastAsia" w:hAnsiTheme="majorEastAsia" w:eastAsiaTheme="majorEastAsia"/>
                <w:bCs/>
                <w:snapToGrid w:val="0"/>
                <w:color w:val="auto"/>
                <w:kern w:val="0"/>
                <w:sz w:val="24"/>
                <w:szCs w:val="24"/>
              </w:rPr>
            </w:pPr>
            <w:r>
              <w:rPr>
                <w:rFonts w:hint="eastAsia" w:cs="宋体" w:asciiTheme="majorEastAsia" w:hAnsiTheme="majorEastAsia" w:eastAsiaTheme="majorEastAsia"/>
                <w:bCs/>
                <w:snapToGrid w:val="0"/>
                <w:color w:val="auto"/>
                <w:kern w:val="0"/>
                <w:sz w:val="24"/>
                <w:szCs w:val="24"/>
              </w:rPr>
              <w:t>⑴</w:t>
            </w:r>
            <w:r>
              <w:rPr>
                <w:rFonts w:asciiTheme="majorEastAsia" w:hAnsiTheme="majorEastAsia" w:eastAsiaTheme="majorEastAsia"/>
                <w:bCs/>
                <w:snapToGrid w:val="0"/>
                <w:color w:val="auto"/>
                <w:kern w:val="0"/>
                <w:sz w:val="24"/>
                <w:szCs w:val="24"/>
              </w:rPr>
              <w:t>《宁县金村乡金村村生活污水截污处置工程可行性研究报告》长春市市政工程研究院，2018年11月；</w:t>
            </w:r>
          </w:p>
          <w:p>
            <w:pPr>
              <w:pStyle w:val="17"/>
              <w:adjustRightInd w:val="0"/>
              <w:snapToGrid w:val="0"/>
              <w:spacing w:line="360" w:lineRule="auto"/>
              <w:ind w:firstLine="480" w:firstLineChars="200"/>
              <w:rPr>
                <w:rFonts w:asciiTheme="majorEastAsia" w:hAnsiTheme="majorEastAsia" w:eastAsiaTheme="majorEastAsia"/>
                <w:color w:val="auto"/>
                <w:sz w:val="24"/>
                <w:szCs w:val="24"/>
              </w:rPr>
            </w:pPr>
            <w:r>
              <w:rPr>
                <w:rFonts w:hint="eastAsia" w:cs="宋体" w:asciiTheme="majorEastAsia" w:hAnsiTheme="majorEastAsia" w:eastAsiaTheme="majorEastAsia"/>
                <w:color w:val="auto"/>
                <w:sz w:val="24"/>
                <w:szCs w:val="24"/>
              </w:rPr>
              <w:t>⑵</w:t>
            </w:r>
            <w:r>
              <w:rPr>
                <w:rFonts w:asciiTheme="majorEastAsia" w:hAnsiTheme="majorEastAsia" w:eastAsiaTheme="majorEastAsia"/>
                <w:color w:val="auto"/>
                <w:sz w:val="24"/>
              </w:rPr>
              <w:t>宁县金村乡人民政府</w:t>
            </w:r>
            <w:r>
              <w:rPr>
                <w:rFonts w:asciiTheme="majorEastAsia" w:hAnsiTheme="majorEastAsia" w:eastAsiaTheme="majorEastAsia"/>
                <w:color w:val="auto"/>
                <w:sz w:val="24"/>
                <w:szCs w:val="24"/>
                <w:lang w:val="zh-CN"/>
              </w:rPr>
              <w:t>提供的与项目有关的技术资料。</w:t>
            </w:r>
          </w:p>
          <w:p>
            <w:pPr>
              <w:pStyle w:val="17"/>
              <w:adjustRightInd w:val="0"/>
              <w:snapToGrid w:val="0"/>
              <w:spacing w:line="360" w:lineRule="auto"/>
              <w:ind w:firstLine="472" w:firstLineChars="196"/>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3、评价目的和原则</w:t>
            </w:r>
          </w:p>
          <w:p>
            <w:pPr>
              <w:pStyle w:val="17"/>
              <w:adjustRightInd w:val="0"/>
              <w:snapToGrid w:val="0"/>
              <w:spacing w:line="360" w:lineRule="auto"/>
              <w:ind w:firstLine="482" w:firstLineChars="200"/>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3.1评价目的</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sz w:val="24"/>
              </w:rPr>
            </w:pPr>
            <w:r>
              <w:rPr>
                <w:rFonts w:hint="eastAsia" w:cs="宋体" w:asciiTheme="majorEastAsia" w:hAnsiTheme="majorEastAsia" w:eastAsiaTheme="majorEastAsia"/>
                <w:color w:val="auto"/>
                <w:sz w:val="24"/>
              </w:rPr>
              <w:t>⑴</w:t>
            </w:r>
            <w:r>
              <w:rPr>
                <w:rFonts w:asciiTheme="majorEastAsia" w:hAnsiTheme="majorEastAsia" w:eastAsiaTheme="majorEastAsia"/>
                <w:color w:val="auto"/>
                <w:sz w:val="24"/>
              </w:rPr>
              <w:t>通过资料分析、现场调查、类比分析，全面评价项目区域环境背景状况，诊断项目区主要环境问题，为预测评价本项目的环境影响程度与范围，为将来的工程竣工验收提供依据资料；</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sz w:val="24"/>
              </w:rPr>
            </w:pPr>
            <w:r>
              <w:rPr>
                <w:rFonts w:hint="eastAsia" w:cs="宋体" w:asciiTheme="majorEastAsia" w:hAnsiTheme="majorEastAsia" w:eastAsiaTheme="majorEastAsia"/>
                <w:color w:val="auto"/>
                <w:sz w:val="24"/>
              </w:rPr>
              <w:t>⑵</w:t>
            </w:r>
            <w:r>
              <w:rPr>
                <w:rFonts w:asciiTheme="majorEastAsia" w:hAnsiTheme="majorEastAsia" w:eastAsiaTheme="majorEastAsia"/>
                <w:color w:val="auto"/>
                <w:sz w:val="24"/>
              </w:rPr>
              <w:t>通过现场调查和类比分析，判定工程建设过程以及运营后的环境影响因素和环境影响因子，确定主要污染源参数；</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sz w:val="24"/>
              </w:rPr>
            </w:pPr>
            <w:r>
              <w:rPr>
                <w:rFonts w:hint="eastAsia" w:cs="宋体" w:asciiTheme="majorEastAsia" w:hAnsiTheme="majorEastAsia" w:eastAsiaTheme="majorEastAsia"/>
                <w:color w:val="auto"/>
                <w:sz w:val="24"/>
              </w:rPr>
              <w:t>⑶</w:t>
            </w:r>
            <w:r>
              <w:rPr>
                <w:rFonts w:asciiTheme="majorEastAsia" w:hAnsiTheme="majorEastAsia" w:eastAsiaTheme="majorEastAsia"/>
                <w:color w:val="auto"/>
                <w:sz w:val="24"/>
              </w:rPr>
              <w:t>通过采用模型模拟、类比调查等技术手段，预测及评价工程实施后对评价区的大气环境、水环境、噪声的影响程度和范围；</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sz w:val="24"/>
              </w:rPr>
            </w:pPr>
            <w:r>
              <w:rPr>
                <w:rFonts w:hint="eastAsia" w:cs="宋体" w:asciiTheme="majorEastAsia" w:hAnsiTheme="majorEastAsia" w:eastAsiaTheme="majorEastAsia"/>
                <w:color w:val="auto"/>
                <w:sz w:val="24"/>
              </w:rPr>
              <w:t>⑷</w:t>
            </w:r>
            <w:r>
              <w:rPr>
                <w:rFonts w:asciiTheme="majorEastAsia" w:hAnsiTheme="majorEastAsia" w:eastAsiaTheme="majorEastAsia"/>
                <w:color w:val="auto"/>
                <w:sz w:val="24"/>
              </w:rPr>
              <w:t>依据有关法律、法规以及技术规范的要求，结合本地自然、社会环境特征，提出并规定为减轻环境影响应采取的保护措施，并进行措施可行性和可靠性的分析和论证；</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sz w:val="24"/>
              </w:rPr>
            </w:pPr>
            <w:r>
              <w:rPr>
                <w:rFonts w:hint="eastAsia" w:cs="宋体" w:asciiTheme="majorEastAsia" w:hAnsiTheme="majorEastAsia" w:eastAsiaTheme="majorEastAsia"/>
                <w:color w:val="auto"/>
                <w:sz w:val="24"/>
              </w:rPr>
              <w:t>⑸</w:t>
            </w:r>
            <w:r>
              <w:rPr>
                <w:rFonts w:asciiTheme="majorEastAsia" w:hAnsiTheme="majorEastAsia" w:eastAsiaTheme="majorEastAsia"/>
                <w:color w:val="auto"/>
                <w:sz w:val="24"/>
              </w:rPr>
              <w:t>通过本项目的环评工作，为水环境的治理和污染防治提供科学依据，最大限度降低项目建设对周围环境的不利影响，发挥最大的社会环境效益，达到经济效益、社会效益和环境效益协调统一。</w:t>
            </w:r>
          </w:p>
          <w:p>
            <w:pPr>
              <w:pStyle w:val="17"/>
              <w:adjustRightInd w:val="0"/>
              <w:snapToGrid w:val="0"/>
              <w:spacing w:line="360" w:lineRule="auto"/>
              <w:ind w:firstLine="482" w:firstLineChars="200"/>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3.2评价原则</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sz w:val="24"/>
              </w:rPr>
            </w:pPr>
            <w:r>
              <w:rPr>
                <w:rFonts w:hint="eastAsia" w:cs="宋体" w:asciiTheme="majorEastAsia" w:hAnsiTheme="majorEastAsia" w:eastAsiaTheme="majorEastAsia"/>
                <w:color w:val="auto"/>
                <w:sz w:val="24"/>
              </w:rPr>
              <w:t>⑴</w:t>
            </w:r>
            <w:r>
              <w:rPr>
                <w:rFonts w:asciiTheme="majorEastAsia" w:hAnsiTheme="majorEastAsia" w:eastAsiaTheme="majorEastAsia"/>
                <w:color w:val="auto"/>
                <w:sz w:val="24"/>
              </w:rPr>
              <w:t>严格执行国家、甘肃省、有关环境保护标准、规范及环保要求；</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sz w:val="24"/>
              </w:rPr>
            </w:pPr>
            <w:r>
              <w:rPr>
                <w:rFonts w:hint="eastAsia" w:cs="宋体" w:asciiTheme="majorEastAsia" w:hAnsiTheme="majorEastAsia" w:eastAsiaTheme="majorEastAsia"/>
                <w:color w:val="auto"/>
                <w:sz w:val="24"/>
              </w:rPr>
              <w:t>⑵</w:t>
            </w:r>
            <w:r>
              <w:rPr>
                <w:rFonts w:asciiTheme="majorEastAsia" w:hAnsiTheme="majorEastAsia" w:eastAsiaTheme="majorEastAsia"/>
                <w:color w:val="auto"/>
                <w:sz w:val="24"/>
              </w:rPr>
              <w:t>坚持污染物“达标排放”和“总量控制”的原则，对项目进行全过程的污染防治，以实现其社会效益、经济效益和环境效益的统一；</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sz w:val="24"/>
              </w:rPr>
            </w:pPr>
            <w:r>
              <w:rPr>
                <w:rFonts w:hint="eastAsia" w:cs="宋体" w:asciiTheme="majorEastAsia" w:hAnsiTheme="majorEastAsia" w:eastAsiaTheme="majorEastAsia"/>
                <w:color w:val="auto"/>
                <w:sz w:val="24"/>
              </w:rPr>
              <w:t>⑶</w:t>
            </w:r>
            <w:r>
              <w:rPr>
                <w:rFonts w:asciiTheme="majorEastAsia" w:hAnsiTheme="majorEastAsia" w:eastAsiaTheme="majorEastAsia"/>
                <w:color w:val="auto"/>
                <w:sz w:val="24"/>
              </w:rPr>
              <w:t>坚持针对性、科学性、实用性原则，做到实事求是、客观公正地开展评价；</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sz w:val="24"/>
              </w:rPr>
            </w:pPr>
            <w:r>
              <w:rPr>
                <w:rFonts w:hint="eastAsia" w:cs="宋体" w:asciiTheme="majorEastAsia" w:hAnsiTheme="majorEastAsia" w:eastAsiaTheme="majorEastAsia"/>
                <w:color w:val="auto"/>
                <w:sz w:val="24"/>
              </w:rPr>
              <w:t>⑷</w:t>
            </w:r>
            <w:r>
              <w:rPr>
                <w:rFonts w:asciiTheme="majorEastAsia" w:hAnsiTheme="majorEastAsia" w:eastAsiaTheme="majorEastAsia"/>
                <w:color w:val="auto"/>
                <w:sz w:val="24"/>
              </w:rPr>
              <w:t>尽量利用现有有效资料，避免重复工作，缩短评价周期。</w:t>
            </w:r>
          </w:p>
          <w:p>
            <w:pPr>
              <w:pStyle w:val="17"/>
              <w:adjustRightInd w:val="0"/>
              <w:snapToGrid w:val="0"/>
              <w:spacing w:line="360" w:lineRule="auto"/>
              <w:ind w:firstLine="472" w:firstLineChars="196"/>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4、环境功能区划</w:t>
            </w:r>
          </w:p>
          <w:p>
            <w:pPr>
              <w:pStyle w:val="17"/>
              <w:adjustRightInd w:val="0"/>
              <w:snapToGrid w:val="0"/>
              <w:spacing w:line="360" w:lineRule="auto"/>
              <w:ind w:firstLine="482" w:firstLineChars="200"/>
              <w:rPr>
                <w:rFonts w:asciiTheme="majorEastAsia" w:hAnsiTheme="majorEastAsia" w:eastAsiaTheme="majorEastAsia"/>
                <w:b/>
                <w:color w:val="auto"/>
                <w:sz w:val="24"/>
                <w:szCs w:val="24"/>
                <w:lang w:val="zh-CN"/>
              </w:rPr>
            </w:pPr>
            <w:r>
              <w:rPr>
                <w:rFonts w:asciiTheme="majorEastAsia" w:hAnsiTheme="majorEastAsia" w:eastAsiaTheme="majorEastAsia"/>
                <w:b/>
                <w:color w:val="auto"/>
                <w:sz w:val="24"/>
                <w:szCs w:val="24"/>
              </w:rPr>
              <w:t>4.1</w:t>
            </w:r>
            <w:r>
              <w:rPr>
                <w:rFonts w:asciiTheme="majorEastAsia" w:hAnsiTheme="majorEastAsia" w:eastAsiaTheme="majorEastAsia"/>
                <w:b/>
                <w:color w:val="auto"/>
                <w:sz w:val="24"/>
                <w:szCs w:val="24"/>
                <w:lang w:val="zh-CN"/>
              </w:rPr>
              <w:t>水环境</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根据《甘肃省地表水功能区划》（2012～2030），项目所在地地表水为柏树底河，属于马莲河支流，起始断面为洪德站，终止断面为入泾口，属于马莲河环县、庆城、合水、宁县工业、农业用水区，属</w:t>
            </w:r>
            <w:r>
              <w:rPr>
                <w:rFonts w:asciiTheme="majorEastAsia" w:hAnsiTheme="majorEastAsia" w:eastAsiaTheme="majorEastAsia"/>
                <w:color w:val="auto"/>
                <w:sz w:val="24"/>
              </w:rPr>
              <w:fldChar w:fldCharType="begin"/>
            </w:r>
            <w:r>
              <w:rPr>
                <w:rFonts w:asciiTheme="majorEastAsia" w:hAnsiTheme="majorEastAsia" w:eastAsiaTheme="majorEastAsia"/>
                <w:color w:val="auto"/>
                <w:sz w:val="24"/>
              </w:rPr>
              <w:instrText xml:space="preserve"> = 3 \* ROMAN </w:instrText>
            </w:r>
            <w:r>
              <w:rPr>
                <w:rFonts w:asciiTheme="majorEastAsia" w:hAnsiTheme="majorEastAsia" w:eastAsiaTheme="majorEastAsia"/>
                <w:color w:val="auto"/>
                <w:sz w:val="24"/>
              </w:rPr>
              <w:fldChar w:fldCharType="separate"/>
            </w:r>
            <w:r>
              <w:rPr>
                <w:rFonts w:asciiTheme="majorEastAsia" w:hAnsiTheme="majorEastAsia" w:eastAsiaTheme="majorEastAsia"/>
                <w:color w:val="auto"/>
                <w:sz w:val="24"/>
              </w:rPr>
              <w:t>IV</w:t>
            </w:r>
            <w:r>
              <w:rPr>
                <w:rFonts w:asciiTheme="majorEastAsia" w:hAnsiTheme="majorEastAsia" w:eastAsiaTheme="majorEastAsia"/>
                <w:color w:val="auto"/>
                <w:sz w:val="24"/>
              </w:rPr>
              <w:fldChar w:fldCharType="end"/>
            </w:r>
            <w:r>
              <w:rPr>
                <w:rFonts w:asciiTheme="majorEastAsia" w:hAnsiTheme="majorEastAsia" w:eastAsiaTheme="majorEastAsia"/>
                <w:color w:val="auto"/>
                <w:sz w:val="24"/>
              </w:rPr>
              <w:t>类水域功能区。本项目所属柏树底河为马莲河支流，故按</w:t>
            </w:r>
            <w:r>
              <w:rPr>
                <w:rFonts w:hint="eastAsia" w:cs="宋体" w:asciiTheme="majorEastAsia" w:hAnsiTheme="majorEastAsia" w:eastAsiaTheme="majorEastAsia"/>
                <w:color w:val="auto"/>
                <w:sz w:val="24"/>
              </w:rPr>
              <w:t>Ⅲ</w:t>
            </w:r>
            <w:r>
              <w:rPr>
                <w:rFonts w:asciiTheme="majorEastAsia" w:hAnsiTheme="majorEastAsia" w:eastAsiaTheme="majorEastAsia"/>
                <w:color w:val="auto"/>
                <w:sz w:val="24"/>
              </w:rPr>
              <w:t>类水域功能区划分，水功能区划具体见图1。</w:t>
            </w:r>
          </w:p>
          <w:p>
            <w:pPr>
              <w:pStyle w:val="17"/>
              <w:adjustRightInd w:val="0"/>
              <w:snapToGrid w:val="0"/>
              <w:spacing w:line="360" w:lineRule="auto"/>
              <w:ind w:firstLine="482" w:firstLineChars="200"/>
              <w:rPr>
                <w:rFonts w:asciiTheme="majorEastAsia" w:hAnsiTheme="majorEastAsia" w:eastAsiaTheme="majorEastAsia"/>
                <w:b/>
                <w:color w:val="auto"/>
                <w:sz w:val="24"/>
                <w:szCs w:val="24"/>
                <w:lang w:val="zh-CN"/>
              </w:rPr>
            </w:pPr>
            <w:r>
              <w:rPr>
                <w:rFonts w:asciiTheme="majorEastAsia" w:hAnsiTheme="majorEastAsia" w:eastAsiaTheme="majorEastAsia"/>
                <w:b/>
                <w:color w:val="auto"/>
                <w:sz w:val="24"/>
                <w:szCs w:val="24"/>
              </w:rPr>
              <w:t>4.2</w:t>
            </w:r>
            <w:r>
              <w:rPr>
                <w:rFonts w:asciiTheme="majorEastAsia" w:hAnsiTheme="majorEastAsia" w:eastAsiaTheme="majorEastAsia"/>
                <w:b/>
                <w:color w:val="auto"/>
                <w:sz w:val="24"/>
                <w:szCs w:val="24"/>
                <w:lang w:val="zh-CN"/>
              </w:rPr>
              <w:t>环境空气</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本项目位于宁县金村乡西侧，依据《环境空气质量标准》（GB3095-2012）中环境空气质量功能区的分类界定，项目区环境空气质量功能按二类区要求。</w:t>
            </w:r>
          </w:p>
          <w:p>
            <w:pPr>
              <w:pStyle w:val="17"/>
              <w:adjustRightInd w:val="0"/>
              <w:snapToGrid w:val="0"/>
              <w:spacing w:line="360" w:lineRule="auto"/>
              <w:ind w:firstLine="482" w:firstLineChars="200"/>
              <w:rPr>
                <w:rFonts w:asciiTheme="majorEastAsia" w:hAnsiTheme="majorEastAsia" w:eastAsiaTheme="majorEastAsia"/>
                <w:b/>
                <w:color w:val="auto"/>
                <w:sz w:val="24"/>
                <w:szCs w:val="24"/>
                <w:lang w:val="zh-CN"/>
              </w:rPr>
            </w:pPr>
            <w:r>
              <w:rPr>
                <w:rFonts w:asciiTheme="majorEastAsia" w:hAnsiTheme="majorEastAsia" w:eastAsiaTheme="majorEastAsia"/>
                <w:b/>
                <w:color w:val="auto"/>
                <w:sz w:val="24"/>
                <w:szCs w:val="24"/>
              </w:rPr>
              <w:t>4.3</w:t>
            </w:r>
            <w:r>
              <w:rPr>
                <w:rFonts w:asciiTheme="majorEastAsia" w:hAnsiTheme="majorEastAsia" w:eastAsiaTheme="majorEastAsia"/>
                <w:b/>
                <w:color w:val="auto"/>
                <w:sz w:val="24"/>
                <w:szCs w:val="24"/>
                <w:lang w:val="zh-CN"/>
              </w:rPr>
              <w:t>声环境</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根据《声环境质量标准》（GB3096-2008）中声环境功能区的划分方法，</w:t>
            </w:r>
            <w:r>
              <w:rPr>
                <w:rFonts w:asciiTheme="majorEastAsia" w:hAnsiTheme="majorEastAsia" w:eastAsiaTheme="majorEastAsia"/>
                <w:color w:val="auto"/>
                <w:sz w:val="24"/>
                <w:lang w:val="zh-CN"/>
              </w:rPr>
              <w:t>项目所在地为</w:t>
            </w:r>
            <w:r>
              <w:rPr>
                <w:rFonts w:asciiTheme="majorEastAsia" w:hAnsiTheme="majorEastAsia" w:eastAsiaTheme="majorEastAsia"/>
                <w:color w:val="auto"/>
                <w:sz w:val="24"/>
              </w:rPr>
              <w:t>声环境2类声功能区。</w:t>
            </w:r>
          </w:p>
          <w:p>
            <w:pPr>
              <w:adjustRightInd w:val="0"/>
              <w:snapToGrid w:val="0"/>
              <w:spacing w:line="360" w:lineRule="auto"/>
              <w:ind w:firstLine="482" w:firstLineChars="200"/>
              <w:rPr>
                <w:rFonts w:asciiTheme="majorEastAsia" w:hAnsiTheme="majorEastAsia" w:eastAsiaTheme="majorEastAsia"/>
                <w:b/>
                <w:color w:val="auto"/>
                <w:sz w:val="24"/>
              </w:rPr>
            </w:pPr>
            <w:r>
              <w:rPr>
                <w:rFonts w:asciiTheme="majorEastAsia" w:hAnsiTheme="majorEastAsia" w:eastAsiaTheme="majorEastAsia"/>
                <w:b/>
                <w:color w:val="auto"/>
                <w:sz w:val="24"/>
              </w:rPr>
              <w:t>5、评价等级的确定</w:t>
            </w:r>
          </w:p>
          <w:p>
            <w:pPr>
              <w:pStyle w:val="17"/>
              <w:adjustRightInd w:val="0"/>
              <w:snapToGrid w:val="0"/>
              <w:spacing w:line="360" w:lineRule="auto"/>
              <w:ind w:firstLine="482" w:firstLineChars="200"/>
              <w:rPr>
                <w:rFonts w:asciiTheme="majorEastAsia" w:hAnsiTheme="majorEastAsia" w:eastAsiaTheme="majorEastAsia"/>
                <w:b/>
                <w:color w:val="auto"/>
                <w:sz w:val="24"/>
                <w:szCs w:val="24"/>
                <w:lang w:val="zh-CN"/>
              </w:rPr>
            </w:pPr>
            <w:r>
              <w:rPr>
                <w:rFonts w:asciiTheme="majorEastAsia" w:hAnsiTheme="majorEastAsia" w:eastAsiaTheme="majorEastAsia"/>
                <w:b/>
                <w:color w:val="auto"/>
                <w:sz w:val="24"/>
                <w:szCs w:val="24"/>
              </w:rPr>
              <w:t>5.1地表</w:t>
            </w:r>
            <w:r>
              <w:rPr>
                <w:rFonts w:asciiTheme="majorEastAsia" w:hAnsiTheme="majorEastAsia" w:eastAsiaTheme="majorEastAsia"/>
                <w:b/>
                <w:color w:val="auto"/>
                <w:sz w:val="24"/>
                <w:szCs w:val="24"/>
                <w:lang w:val="zh-CN"/>
              </w:rPr>
              <w:t>水环境</w:t>
            </w:r>
          </w:p>
          <w:p>
            <w:pPr>
              <w:pStyle w:val="17"/>
              <w:adjustRightInd w:val="0"/>
              <w:snapToGrid w:val="0"/>
              <w:spacing w:line="360" w:lineRule="auto"/>
              <w:ind w:firstLine="461"/>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根据《环境影响评价技术导则-地表水环境》（HJ2.3-2018）确定，本项目为水污染影响类项目，地表水评价等级为三级A；</w:t>
            </w:r>
          </w:p>
          <w:p>
            <w:pPr>
              <w:pStyle w:val="17"/>
              <w:adjustRightInd w:val="0"/>
              <w:snapToGrid w:val="0"/>
              <w:spacing w:line="360" w:lineRule="auto"/>
              <w:ind w:firstLine="482" w:firstLineChars="200"/>
              <w:rPr>
                <w:rFonts w:asciiTheme="majorEastAsia" w:hAnsiTheme="majorEastAsia" w:eastAsiaTheme="majorEastAsia"/>
                <w:b/>
                <w:color w:val="auto"/>
                <w:sz w:val="24"/>
                <w:szCs w:val="24"/>
                <w:lang w:val="zh-CN"/>
              </w:rPr>
            </w:pPr>
            <w:r>
              <w:rPr>
                <w:rFonts w:asciiTheme="majorEastAsia" w:hAnsiTheme="majorEastAsia" w:eastAsiaTheme="majorEastAsia"/>
                <w:b/>
                <w:color w:val="auto"/>
                <w:sz w:val="24"/>
                <w:szCs w:val="24"/>
              </w:rPr>
              <w:t>5.1地下</w:t>
            </w:r>
            <w:r>
              <w:rPr>
                <w:rFonts w:asciiTheme="majorEastAsia" w:hAnsiTheme="majorEastAsia" w:eastAsiaTheme="majorEastAsia"/>
                <w:b/>
                <w:color w:val="auto"/>
                <w:sz w:val="24"/>
                <w:szCs w:val="24"/>
                <w:lang w:val="zh-CN"/>
              </w:rPr>
              <w:t>水环境</w:t>
            </w:r>
          </w:p>
          <w:p>
            <w:pPr>
              <w:pStyle w:val="17"/>
              <w:adjustRightInd w:val="0"/>
              <w:snapToGrid w:val="0"/>
              <w:spacing w:line="360" w:lineRule="auto"/>
              <w:ind w:firstLine="480" w:firstLineChars="200"/>
              <w:rPr>
                <w:rFonts w:asciiTheme="majorEastAsia" w:hAnsiTheme="majorEastAsia" w:eastAsiaTheme="majorEastAsia"/>
                <w:color w:val="auto"/>
                <w:sz w:val="24"/>
                <w:szCs w:val="24"/>
                <w:lang w:val="zh-CN"/>
              </w:rPr>
            </w:pPr>
            <w:r>
              <w:rPr>
                <w:rFonts w:asciiTheme="majorEastAsia" w:hAnsiTheme="majorEastAsia" w:eastAsiaTheme="majorEastAsia"/>
                <w:color w:val="auto"/>
                <w:sz w:val="24"/>
                <w:szCs w:val="24"/>
              </w:rPr>
              <w:t>根据《环境影响评价技术导则-地下水环境》（HJ610-2016）确定，本项目地下水评价等级为三级；</w:t>
            </w:r>
          </w:p>
          <w:p>
            <w:pPr>
              <w:pStyle w:val="17"/>
              <w:adjustRightInd w:val="0"/>
              <w:snapToGrid w:val="0"/>
              <w:spacing w:line="360" w:lineRule="auto"/>
              <w:ind w:firstLine="482" w:firstLineChars="200"/>
              <w:rPr>
                <w:rFonts w:asciiTheme="majorEastAsia" w:hAnsiTheme="majorEastAsia" w:eastAsiaTheme="majorEastAsia"/>
                <w:b/>
                <w:color w:val="auto"/>
                <w:sz w:val="24"/>
                <w:szCs w:val="24"/>
                <w:lang w:val="zh-CN"/>
              </w:rPr>
            </w:pPr>
            <w:r>
              <w:rPr>
                <w:rFonts w:asciiTheme="majorEastAsia" w:hAnsiTheme="majorEastAsia" w:eastAsiaTheme="majorEastAsia"/>
                <w:b/>
                <w:color w:val="auto"/>
                <w:sz w:val="24"/>
                <w:szCs w:val="24"/>
              </w:rPr>
              <w:t>5.3</w:t>
            </w:r>
            <w:r>
              <w:rPr>
                <w:rFonts w:asciiTheme="majorEastAsia" w:hAnsiTheme="majorEastAsia" w:eastAsiaTheme="majorEastAsia"/>
                <w:b/>
                <w:color w:val="auto"/>
                <w:sz w:val="24"/>
                <w:szCs w:val="24"/>
                <w:lang w:val="zh-CN"/>
              </w:rPr>
              <w:t>环境空气</w:t>
            </w:r>
          </w:p>
          <w:p>
            <w:pPr>
              <w:pStyle w:val="17"/>
              <w:adjustRightInd w:val="0"/>
              <w:snapToGrid w:val="0"/>
              <w:spacing w:line="360" w:lineRule="auto"/>
              <w:ind w:firstLine="461"/>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根据《环境影响评价技术导则-大气环境》（HJ2.2-2018）确定，本项目环境空气评价等级为二级；</w:t>
            </w:r>
          </w:p>
          <w:p>
            <w:pPr>
              <w:pStyle w:val="17"/>
              <w:adjustRightInd w:val="0"/>
              <w:snapToGrid w:val="0"/>
              <w:spacing w:line="360" w:lineRule="auto"/>
              <w:ind w:firstLine="482" w:firstLineChars="200"/>
              <w:rPr>
                <w:rFonts w:asciiTheme="majorEastAsia" w:hAnsiTheme="majorEastAsia" w:eastAsiaTheme="majorEastAsia"/>
                <w:b/>
                <w:color w:val="auto"/>
                <w:sz w:val="24"/>
                <w:szCs w:val="24"/>
                <w:lang w:val="zh-CN"/>
              </w:rPr>
            </w:pPr>
            <w:r>
              <w:rPr>
                <w:rFonts w:asciiTheme="majorEastAsia" w:hAnsiTheme="majorEastAsia" w:eastAsiaTheme="majorEastAsia"/>
                <w:b/>
                <w:color w:val="auto"/>
                <w:sz w:val="24"/>
                <w:szCs w:val="24"/>
              </w:rPr>
              <w:t>5.4</w:t>
            </w:r>
            <w:r>
              <w:rPr>
                <w:rFonts w:asciiTheme="majorEastAsia" w:hAnsiTheme="majorEastAsia" w:eastAsiaTheme="majorEastAsia"/>
                <w:b/>
                <w:color w:val="auto"/>
                <w:sz w:val="24"/>
                <w:szCs w:val="24"/>
                <w:lang w:val="zh-CN"/>
              </w:rPr>
              <w:t>声环境</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根据《环境影响评价技术导则-声环境》（HJ2.4-2009）确定，本项目声环境评价等级为二级评价；</w:t>
            </w:r>
          </w:p>
          <w:p>
            <w:pPr>
              <w:adjustRightInd w:val="0"/>
              <w:snapToGrid w:val="0"/>
              <w:spacing w:line="360" w:lineRule="auto"/>
              <w:ind w:firstLine="482" w:firstLineChars="200"/>
              <w:rPr>
                <w:rFonts w:asciiTheme="majorEastAsia" w:hAnsiTheme="majorEastAsia" w:eastAsiaTheme="majorEastAsia"/>
                <w:b/>
                <w:color w:val="auto"/>
                <w:sz w:val="24"/>
              </w:rPr>
            </w:pPr>
            <w:r>
              <w:rPr>
                <w:rFonts w:asciiTheme="majorEastAsia" w:hAnsiTheme="majorEastAsia" w:eastAsiaTheme="majorEastAsia"/>
                <w:b/>
                <w:color w:val="auto"/>
                <w:sz w:val="24"/>
              </w:rPr>
              <w:t>5.5环境风险</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根据《建设项目环境风险评价技术导则》（HJ169-2018）中4.3中表1，确定本项目环境风险评价等级为简单分析。</w:t>
            </w:r>
          </w:p>
          <w:p>
            <w:pPr>
              <w:adjustRightInd w:val="0"/>
              <w:snapToGrid w:val="0"/>
              <w:spacing w:line="360" w:lineRule="auto"/>
              <w:ind w:firstLine="472" w:firstLineChars="196"/>
              <w:rPr>
                <w:rFonts w:asciiTheme="majorEastAsia" w:hAnsiTheme="majorEastAsia" w:eastAsiaTheme="majorEastAsia"/>
                <w:b/>
                <w:color w:val="auto"/>
                <w:sz w:val="24"/>
              </w:rPr>
            </w:pPr>
            <w:r>
              <w:rPr>
                <w:rFonts w:asciiTheme="majorEastAsia" w:hAnsiTheme="majorEastAsia" w:eastAsiaTheme="majorEastAsia"/>
                <w:b/>
                <w:color w:val="auto"/>
                <w:sz w:val="24"/>
              </w:rPr>
              <w:t>6、产业政策及规划合性分析</w:t>
            </w:r>
          </w:p>
          <w:p>
            <w:pPr>
              <w:autoSpaceDE w:val="0"/>
              <w:autoSpaceDN w:val="0"/>
              <w:adjustRightInd w:val="0"/>
              <w:snapToGrid w:val="0"/>
              <w:spacing w:line="360" w:lineRule="auto"/>
              <w:ind w:firstLine="482" w:firstLineChars="200"/>
              <w:jc w:val="left"/>
              <w:rPr>
                <w:rFonts w:asciiTheme="majorEastAsia" w:hAnsiTheme="majorEastAsia" w:eastAsiaTheme="majorEastAsia"/>
                <w:b/>
                <w:color w:val="auto"/>
                <w:sz w:val="24"/>
              </w:rPr>
            </w:pPr>
            <w:r>
              <w:rPr>
                <w:rFonts w:asciiTheme="majorEastAsia" w:hAnsiTheme="majorEastAsia" w:eastAsiaTheme="majorEastAsia"/>
                <w:b/>
                <w:color w:val="auto"/>
                <w:sz w:val="24"/>
              </w:rPr>
              <w:t>6.1产业政策符合性分析</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sz w:val="24"/>
              </w:rPr>
            </w:pPr>
            <w:r>
              <w:rPr>
                <w:rFonts w:asciiTheme="majorEastAsia" w:hAnsiTheme="majorEastAsia" w:eastAsiaTheme="majorEastAsia"/>
                <w:color w:val="auto"/>
                <w:sz w:val="24"/>
              </w:rPr>
              <w:t>根据《产业结构调整指导目录（2011年本）》（2013年修改）（国家发展和改革委员会第21号令），本项目属于其鼓励类中“三十八、环境保护与资源节约综合利用15、‘三废’综合利用及治理工程”项目，符合国家的产业政策。</w:t>
            </w:r>
          </w:p>
          <w:p>
            <w:pPr>
              <w:adjustRightInd w:val="0"/>
              <w:snapToGrid w:val="0"/>
              <w:spacing w:line="360" w:lineRule="auto"/>
              <w:ind w:firstLine="482" w:firstLineChars="200"/>
              <w:rPr>
                <w:rFonts w:asciiTheme="majorEastAsia" w:hAnsiTheme="majorEastAsia" w:eastAsiaTheme="majorEastAsia"/>
                <w:b/>
                <w:color w:val="auto"/>
                <w:sz w:val="24"/>
              </w:rPr>
            </w:pPr>
            <w:r>
              <w:rPr>
                <w:rFonts w:asciiTheme="majorEastAsia" w:hAnsiTheme="majorEastAsia" w:eastAsiaTheme="majorEastAsia"/>
                <w:b/>
                <w:color w:val="auto"/>
                <w:sz w:val="24"/>
              </w:rPr>
              <w:t>6.2规划符合性分析</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根据《中华人民共和国土地管理法》、《建设项目用地预审管理办法》的有关规定，本项目位于庆阳市宁县金村村北庄组，建设项目用地符合金村乡土地利用总体规划，宁县国土资源局关于金村乡金村村生活污水截污处置工程集体建设用地的预审意见见附件。</w:t>
            </w:r>
          </w:p>
          <w:p>
            <w:pPr>
              <w:adjustRightInd w:val="0"/>
              <w:snapToGrid w:val="0"/>
              <w:spacing w:line="360" w:lineRule="auto"/>
              <w:ind w:firstLine="482" w:firstLineChars="200"/>
              <w:rPr>
                <w:rFonts w:asciiTheme="majorEastAsia" w:hAnsiTheme="majorEastAsia" w:eastAsiaTheme="majorEastAsia"/>
                <w:b/>
                <w:color w:val="auto"/>
                <w:sz w:val="24"/>
              </w:rPr>
            </w:pPr>
            <w:r>
              <w:rPr>
                <w:rFonts w:asciiTheme="majorEastAsia" w:hAnsiTheme="majorEastAsia" w:eastAsiaTheme="majorEastAsia"/>
                <w:b/>
                <w:color w:val="auto"/>
                <w:sz w:val="24"/>
              </w:rPr>
              <w:t>6.3“三线一单”符合性分析</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“三线一单”，指的是生态保护红线、环境质量底线、资源利用上线和环境准入清单。</w:t>
            </w:r>
          </w:p>
          <w:p>
            <w:pPr>
              <w:adjustRightInd w:val="0"/>
              <w:snapToGrid w:val="0"/>
              <w:spacing w:line="360" w:lineRule="auto"/>
              <w:rPr>
                <w:rFonts w:asciiTheme="majorEastAsia" w:hAnsiTheme="majorEastAsia" w:eastAsiaTheme="majorEastAsia"/>
                <w:color w:val="auto"/>
                <w:sz w:val="24"/>
              </w:rPr>
            </w:pPr>
            <w:r>
              <w:rPr>
                <w:rFonts w:asciiTheme="majorEastAsia" w:hAnsiTheme="majorEastAsia" w:eastAsiaTheme="majorEastAsia"/>
                <w:color w:val="auto"/>
                <w:sz w:val="24"/>
              </w:rPr>
              <w:t>本项目“三线一单”符合性分析见下表：</w:t>
            </w:r>
          </w:p>
          <w:p>
            <w:pPr>
              <w:adjustRightInd w:val="0"/>
              <w:snapToGrid w:val="0"/>
              <w:spacing w:line="360" w:lineRule="auto"/>
              <w:jc w:val="center"/>
              <w:rPr>
                <w:rFonts w:asciiTheme="majorEastAsia" w:hAnsiTheme="majorEastAsia" w:eastAsiaTheme="majorEastAsia"/>
                <w:b/>
                <w:color w:val="auto"/>
                <w:sz w:val="24"/>
              </w:rPr>
            </w:pPr>
          </w:p>
          <w:p>
            <w:pPr>
              <w:adjustRightInd w:val="0"/>
              <w:snapToGrid w:val="0"/>
              <w:spacing w:line="360" w:lineRule="auto"/>
              <w:jc w:val="center"/>
              <w:rPr>
                <w:rFonts w:asciiTheme="majorEastAsia" w:hAnsiTheme="majorEastAsia" w:eastAsiaTheme="majorEastAsia"/>
                <w:b/>
                <w:color w:val="auto"/>
                <w:sz w:val="24"/>
              </w:rPr>
            </w:pPr>
            <w:r>
              <w:rPr>
                <w:rFonts w:asciiTheme="majorEastAsia" w:hAnsiTheme="majorEastAsia" w:eastAsiaTheme="majorEastAsia"/>
                <w:b/>
                <w:color w:val="auto"/>
                <w:sz w:val="24"/>
              </w:rPr>
              <w:t>表1  “三线一单”符合性分析</w:t>
            </w:r>
          </w:p>
          <w:tbl>
            <w:tblPr>
              <w:tblStyle w:val="38"/>
              <w:tblW w:w="9382"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51"/>
              <w:gridCol w:w="7215"/>
              <w:gridCol w:w="916"/>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73" w:hRule="atLeast"/>
                <w:jc w:val="center"/>
              </w:trPr>
              <w:tc>
                <w:tcPr>
                  <w:tcW w:w="1251"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内容</w:t>
                  </w:r>
                </w:p>
              </w:tc>
              <w:tc>
                <w:tcPr>
                  <w:tcW w:w="721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符合性分析</w:t>
                  </w:r>
                </w:p>
              </w:tc>
              <w:tc>
                <w:tcPr>
                  <w:tcW w:w="916"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整改措施建议</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826" w:hRule="atLeast"/>
                <w:jc w:val="center"/>
              </w:trPr>
              <w:tc>
                <w:tcPr>
                  <w:tcW w:w="1251"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szCs w:val="21"/>
                    </w:rPr>
                    <w:t>生态保护红线</w:t>
                  </w:r>
                </w:p>
              </w:tc>
              <w:tc>
                <w:tcPr>
                  <w:tcW w:w="7215" w:type="dxa"/>
                  <w:vAlign w:val="center"/>
                </w:tcPr>
                <w:p>
                  <w:pPr>
                    <w:widowControl/>
                    <w:adjustRightInd w:val="0"/>
                    <w:snapToGrid w:val="0"/>
                    <w:ind w:firstLine="420" w:firstLineChars="200"/>
                    <w:rPr>
                      <w:rFonts w:asciiTheme="majorEastAsia" w:hAnsiTheme="majorEastAsia" w:eastAsiaTheme="majorEastAsia"/>
                      <w:bCs/>
                      <w:color w:val="auto"/>
                      <w:spacing w:val="-6"/>
                      <w:kern w:val="0"/>
                      <w:szCs w:val="21"/>
                    </w:rPr>
                  </w:pPr>
                  <w:r>
                    <w:rPr>
                      <w:rFonts w:asciiTheme="majorEastAsia" w:hAnsiTheme="majorEastAsia" w:eastAsiaTheme="majorEastAsia"/>
                      <w:color w:val="auto"/>
                      <w:szCs w:val="21"/>
                    </w:rPr>
                    <w:t>本项目位于宁县金村乡金村村西侧，周边无自然保护区、饮用水源保护区等生态保护目标，符合生态保护红线要求。</w:t>
                  </w:r>
                </w:p>
              </w:tc>
              <w:tc>
                <w:tcPr>
                  <w:tcW w:w="916"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95" w:hRule="atLeast"/>
                <w:jc w:val="center"/>
              </w:trPr>
              <w:tc>
                <w:tcPr>
                  <w:tcW w:w="1251"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szCs w:val="21"/>
                    </w:rPr>
                    <w:t>资源利用上线</w:t>
                  </w:r>
                </w:p>
              </w:tc>
              <w:tc>
                <w:tcPr>
                  <w:tcW w:w="7215" w:type="dxa"/>
                  <w:vAlign w:val="center"/>
                </w:tcPr>
                <w:p>
                  <w:pPr>
                    <w:widowControl/>
                    <w:adjustRightInd w:val="0"/>
                    <w:snapToGrid w:val="0"/>
                    <w:ind w:firstLine="396" w:firstLineChars="200"/>
                    <w:rPr>
                      <w:rFonts w:asciiTheme="majorEastAsia" w:hAnsiTheme="majorEastAsia" w:eastAsiaTheme="majorEastAsia"/>
                      <w:bCs/>
                      <w:color w:val="auto"/>
                      <w:spacing w:val="-6"/>
                      <w:kern w:val="0"/>
                      <w:szCs w:val="21"/>
                    </w:rPr>
                  </w:pPr>
                  <w:r>
                    <w:rPr>
                      <w:rFonts w:asciiTheme="majorEastAsia" w:hAnsiTheme="majorEastAsia" w:eastAsiaTheme="majorEastAsia"/>
                      <w:bCs/>
                      <w:color w:val="auto"/>
                      <w:spacing w:val="-6"/>
                      <w:kern w:val="0"/>
                      <w:szCs w:val="21"/>
                    </w:rPr>
                    <w:t>本项目运营过程中有一定量的电、水资源的消耗，项目资源消耗量相对区域资源利用总量较少，符合资源利用上限要求。</w:t>
                  </w:r>
                </w:p>
              </w:tc>
              <w:tc>
                <w:tcPr>
                  <w:tcW w:w="916"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660" w:hRule="atLeast"/>
                <w:jc w:val="center"/>
              </w:trPr>
              <w:tc>
                <w:tcPr>
                  <w:tcW w:w="1251"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szCs w:val="21"/>
                    </w:rPr>
                    <w:t>环境质量底线</w:t>
                  </w:r>
                </w:p>
              </w:tc>
              <w:tc>
                <w:tcPr>
                  <w:tcW w:w="7215" w:type="dxa"/>
                  <w:vAlign w:val="center"/>
                </w:tcPr>
                <w:p>
                  <w:pPr>
                    <w:widowControl/>
                    <w:adjustRightInd w:val="0"/>
                    <w:snapToGrid w:val="0"/>
                    <w:ind w:firstLine="396" w:firstLineChars="200"/>
                    <w:rPr>
                      <w:rFonts w:asciiTheme="majorEastAsia" w:hAnsiTheme="majorEastAsia" w:eastAsiaTheme="majorEastAsia"/>
                      <w:bCs/>
                      <w:color w:val="auto"/>
                      <w:spacing w:val="-6"/>
                      <w:kern w:val="0"/>
                      <w:szCs w:val="21"/>
                    </w:rPr>
                  </w:pPr>
                  <w:r>
                    <w:rPr>
                      <w:rFonts w:asciiTheme="majorEastAsia" w:hAnsiTheme="majorEastAsia" w:eastAsiaTheme="majorEastAsia"/>
                      <w:bCs/>
                      <w:color w:val="auto"/>
                      <w:spacing w:val="-6"/>
                      <w:kern w:val="0"/>
                      <w:szCs w:val="21"/>
                    </w:rPr>
                    <w:t>项目选址区域为环境空气功能区二类区，执行二级标准。根据环境空气质量现状的监测数据，项目选址区域环境空气质量能够满足《环境空气质量标准》（GB3095-2012）二级标准要求，空气质量好，尚有容量进行项目建设，同时本项目建成后企业废气排放量小，能满足《环境空气质量标准》二级标准的要求。</w:t>
                  </w:r>
                </w:p>
                <w:p>
                  <w:pPr>
                    <w:widowControl/>
                    <w:adjustRightInd w:val="0"/>
                    <w:snapToGrid w:val="0"/>
                    <w:ind w:firstLine="396" w:firstLineChars="200"/>
                    <w:rPr>
                      <w:rFonts w:asciiTheme="majorEastAsia" w:hAnsiTheme="majorEastAsia" w:eastAsiaTheme="majorEastAsia"/>
                      <w:bCs/>
                      <w:color w:val="auto"/>
                      <w:spacing w:val="-6"/>
                      <w:kern w:val="0"/>
                      <w:szCs w:val="21"/>
                    </w:rPr>
                  </w:pPr>
                  <w:r>
                    <w:rPr>
                      <w:rFonts w:asciiTheme="majorEastAsia" w:hAnsiTheme="majorEastAsia" w:eastAsiaTheme="majorEastAsia"/>
                      <w:bCs/>
                      <w:color w:val="auto"/>
                      <w:spacing w:val="-6"/>
                      <w:kern w:val="0"/>
                      <w:szCs w:val="21"/>
                    </w:rPr>
                    <w:t>项目</w:t>
                  </w:r>
                  <w:r>
                    <w:rPr>
                      <w:rFonts w:asciiTheme="majorEastAsia" w:hAnsiTheme="majorEastAsia" w:eastAsiaTheme="majorEastAsia"/>
                      <w:color w:val="auto"/>
                      <w:szCs w:val="21"/>
                    </w:rPr>
                    <w:t>所在地地表水为柏树底河，属于马莲河支流，起始断面为洪德站，终止断面为入泾口，属于马莲河环县、庆城、合水、宁县工业、农业用水区，属</w:t>
                  </w:r>
                  <w:r>
                    <w:rPr>
                      <w:rFonts w:asciiTheme="majorEastAsia" w:hAnsiTheme="majorEastAsia" w:eastAsiaTheme="majorEastAsia"/>
                      <w:color w:val="auto"/>
                      <w:szCs w:val="21"/>
                    </w:rPr>
                    <w:fldChar w:fldCharType="begin"/>
                  </w:r>
                  <w:r>
                    <w:rPr>
                      <w:rFonts w:asciiTheme="majorEastAsia" w:hAnsiTheme="majorEastAsia" w:eastAsiaTheme="majorEastAsia"/>
                      <w:color w:val="auto"/>
                      <w:szCs w:val="21"/>
                    </w:rPr>
                    <w:instrText xml:space="preserve"> = 3 \* ROMAN </w:instrText>
                  </w:r>
                  <w:r>
                    <w:rPr>
                      <w:rFonts w:asciiTheme="majorEastAsia" w:hAnsiTheme="majorEastAsia" w:eastAsiaTheme="majorEastAsia"/>
                      <w:color w:val="auto"/>
                      <w:szCs w:val="21"/>
                    </w:rPr>
                    <w:fldChar w:fldCharType="separate"/>
                  </w:r>
                  <w:r>
                    <w:rPr>
                      <w:rFonts w:asciiTheme="majorEastAsia" w:hAnsiTheme="majorEastAsia" w:eastAsiaTheme="majorEastAsia"/>
                      <w:color w:val="auto"/>
                      <w:szCs w:val="21"/>
                    </w:rPr>
                    <w:t>IV</w:t>
                  </w:r>
                  <w:r>
                    <w:rPr>
                      <w:rFonts w:asciiTheme="majorEastAsia" w:hAnsiTheme="majorEastAsia" w:eastAsiaTheme="majorEastAsia"/>
                      <w:color w:val="auto"/>
                      <w:szCs w:val="21"/>
                    </w:rPr>
                    <w:fldChar w:fldCharType="end"/>
                  </w:r>
                  <w:r>
                    <w:rPr>
                      <w:rFonts w:asciiTheme="majorEastAsia" w:hAnsiTheme="majorEastAsia" w:eastAsiaTheme="majorEastAsia"/>
                      <w:color w:val="auto"/>
                      <w:szCs w:val="21"/>
                    </w:rPr>
                    <w:t>类水域功能区。本项目所属柏树底河为马莲河支流，故按</w:t>
                  </w:r>
                  <w:r>
                    <w:rPr>
                      <w:rFonts w:hint="eastAsia" w:cs="宋体" w:asciiTheme="majorEastAsia" w:hAnsiTheme="majorEastAsia" w:eastAsiaTheme="majorEastAsia"/>
                      <w:color w:val="auto"/>
                      <w:szCs w:val="21"/>
                    </w:rPr>
                    <w:t>Ⅲ</w:t>
                  </w:r>
                  <w:r>
                    <w:rPr>
                      <w:rFonts w:asciiTheme="majorEastAsia" w:hAnsiTheme="majorEastAsia" w:eastAsiaTheme="majorEastAsia"/>
                      <w:color w:val="auto"/>
                      <w:szCs w:val="21"/>
                    </w:rPr>
                    <w:t>类水域功能区划分</w:t>
                  </w:r>
                  <w:r>
                    <w:rPr>
                      <w:rFonts w:asciiTheme="majorEastAsia" w:hAnsiTheme="majorEastAsia" w:eastAsiaTheme="majorEastAsia"/>
                      <w:bCs/>
                      <w:color w:val="auto"/>
                      <w:spacing w:val="-6"/>
                      <w:kern w:val="0"/>
                      <w:szCs w:val="21"/>
                    </w:rPr>
                    <w:t>本项目废水</w:t>
                  </w:r>
                  <w:r>
                    <w:rPr>
                      <w:rFonts w:asciiTheme="majorEastAsia" w:hAnsiTheme="majorEastAsia" w:eastAsiaTheme="majorEastAsia"/>
                      <w:color w:val="auto"/>
                      <w:kern w:val="0"/>
                      <w:szCs w:val="21"/>
                    </w:rPr>
                    <w:t>处理达到《城镇污水处理厂污染物排放标准》（GB18918-2002）中一级A标准后排放。</w:t>
                  </w:r>
                  <w:r>
                    <w:rPr>
                      <w:rFonts w:asciiTheme="majorEastAsia" w:hAnsiTheme="majorEastAsia" w:eastAsiaTheme="majorEastAsia"/>
                      <w:bCs/>
                      <w:color w:val="auto"/>
                      <w:spacing w:val="-6"/>
                      <w:kern w:val="0"/>
                      <w:szCs w:val="21"/>
                    </w:rPr>
                    <w:t>项目建成后对水环境质量影响较小。</w:t>
                  </w:r>
                </w:p>
                <w:p>
                  <w:pPr>
                    <w:widowControl/>
                    <w:adjustRightInd w:val="0"/>
                    <w:snapToGrid w:val="0"/>
                    <w:ind w:firstLine="396" w:firstLineChars="200"/>
                    <w:rPr>
                      <w:rFonts w:asciiTheme="majorEastAsia" w:hAnsiTheme="majorEastAsia" w:eastAsiaTheme="majorEastAsia"/>
                      <w:bCs/>
                      <w:color w:val="auto"/>
                      <w:spacing w:val="-6"/>
                      <w:kern w:val="0"/>
                      <w:szCs w:val="21"/>
                    </w:rPr>
                  </w:pPr>
                  <w:r>
                    <w:rPr>
                      <w:rFonts w:asciiTheme="majorEastAsia" w:hAnsiTheme="majorEastAsia" w:eastAsiaTheme="majorEastAsia"/>
                      <w:bCs/>
                      <w:color w:val="auto"/>
                      <w:spacing w:val="-6"/>
                      <w:kern w:val="0"/>
                      <w:szCs w:val="21"/>
                    </w:rPr>
                    <w:t>本项目所在区域为2类声环境功能区，根据环境噪声现状监测结果，项目区域目前能够满足《声环境质量标准》2类标准要求，本项目建成后噪声产生量小，能满足《声环境质量标准》3类标准要求，本项目建设运营不会改变项目所在区域的声环境功能，因此项目建设声环境质量是符合要求的。</w:t>
                  </w:r>
                </w:p>
                <w:p>
                  <w:pPr>
                    <w:widowControl/>
                    <w:adjustRightInd w:val="0"/>
                    <w:snapToGrid w:val="0"/>
                    <w:ind w:firstLine="396" w:firstLineChars="200"/>
                    <w:rPr>
                      <w:rFonts w:asciiTheme="majorEastAsia" w:hAnsiTheme="majorEastAsia" w:eastAsiaTheme="majorEastAsia"/>
                      <w:bCs/>
                      <w:color w:val="auto"/>
                      <w:spacing w:val="-6"/>
                      <w:kern w:val="0"/>
                      <w:szCs w:val="21"/>
                    </w:rPr>
                  </w:pPr>
                  <w:r>
                    <w:rPr>
                      <w:rFonts w:asciiTheme="majorEastAsia" w:hAnsiTheme="majorEastAsia" w:eastAsiaTheme="majorEastAsia"/>
                      <w:bCs/>
                      <w:color w:val="auto"/>
                      <w:spacing w:val="-6"/>
                      <w:kern w:val="0"/>
                      <w:szCs w:val="21"/>
                    </w:rPr>
                    <w:t>综上，本项目建设符合环境质量底线要求。</w:t>
                  </w:r>
                </w:p>
              </w:tc>
              <w:tc>
                <w:tcPr>
                  <w:tcW w:w="916"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551" w:hRule="atLeast"/>
                <w:jc w:val="center"/>
              </w:trPr>
              <w:tc>
                <w:tcPr>
                  <w:tcW w:w="1251"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szCs w:val="21"/>
                    </w:rPr>
                    <w:t>环境准入负面清单</w:t>
                  </w:r>
                </w:p>
              </w:tc>
              <w:tc>
                <w:tcPr>
                  <w:tcW w:w="7215" w:type="dxa"/>
                  <w:vAlign w:val="center"/>
                </w:tcPr>
                <w:p>
                  <w:pPr>
                    <w:widowControl/>
                    <w:adjustRightInd w:val="0"/>
                    <w:snapToGrid w:val="0"/>
                    <w:ind w:firstLine="396" w:firstLineChars="200"/>
                    <w:rPr>
                      <w:rFonts w:asciiTheme="majorEastAsia" w:hAnsiTheme="majorEastAsia" w:eastAsiaTheme="majorEastAsia"/>
                      <w:bCs/>
                      <w:color w:val="auto"/>
                      <w:spacing w:val="-6"/>
                      <w:kern w:val="0"/>
                      <w:szCs w:val="21"/>
                    </w:rPr>
                  </w:pPr>
                  <w:r>
                    <w:rPr>
                      <w:rFonts w:asciiTheme="majorEastAsia" w:hAnsiTheme="majorEastAsia" w:eastAsiaTheme="majorEastAsia"/>
                      <w:bCs/>
                      <w:color w:val="auto"/>
                      <w:spacing w:val="-6"/>
                      <w:kern w:val="0"/>
                      <w:szCs w:val="21"/>
                    </w:rPr>
                    <w:t>目前项目选址区域暂无明确的环境准入负面清单，根据《产业结构调整指导目录（2011年本）》（2013年修改）（国家发展和改革委员会第21号令），本项目属于其鼓励类中“三十八、环境保护与资源节约综合利用15、‘三废’综合利用及治理工程”项目，，不属于高污染、高能耗和资源型的产业类型。因此本项目应为环境准入允许类别。</w:t>
                  </w:r>
                </w:p>
              </w:tc>
              <w:tc>
                <w:tcPr>
                  <w:tcW w:w="916"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w:t>
                  </w:r>
                </w:p>
              </w:tc>
            </w:tr>
          </w:tbl>
          <w:p>
            <w:pPr>
              <w:pStyle w:val="17"/>
              <w:adjustRightInd w:val="0"/>
              <w:snapToGrid w:val="0"/>
              <w:spacing w:line="360" w:lineRule="auto"/>
              <w:ind w:firstLine="482" w:firstLineChars="200"/>
              <w:rPr>
                <w:rFonts w:asciiTheme="majorEastAsia" w:hAnsiTheme="majorEastAsia" w:eastAsiaTheme="majorEastAsia"/>
                <w:b/>
                <w:color w:val="auto"/>
                <w:sz w:val="24"/>
                <w:szCs w:val="24"/>
              </w:rPr>
            </w:pPr>
          </w:p>
          <w:p>
            <w:pPr>
              <w:pStyle w:val="17"/>
              <w:adjustRightInd w:val="0"/>
              <w:snapToGrid w:val="0"/>
              <w:spacing w:line="360" w:lineRule="auto"/>
              <w:ind w:firstLine="482" w:firstLineChars="200"/>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7、本项目概况</w:t>
            </w:r>
          </w:p>
          <w:p>
            <w:pPr>
              <w:pStyle w:val="17"/>
              <w:adjustRightInd w:val="0"/>
              <w:snapToGrid w:val="0"/>
              <w:spacing w:line="360" w:lineRule="auto"/>
              <w:ind w:firstLine="482" w:firstLineChars="200"/>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7.1本项目基本情况</w:t>
            </w:r>
          </w:p>
          <w:p>
            <w:pPr>
              <w:pStyle w:val="17"/>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szCs w:val="24"/>
              </w:rPr>
              <w:t>项目名称：</w:t>
            </w:r>
            <w:r>
              <w:rPr>
                <w:rFonts w:asciiTheme="majorEastAsia" w:hAnsiTheme="majorEastAsia" w:eastAsiaTheme="majorEastAsia"/>
                <w:color w:val="auto"/>
                <w:sz w:val="24"/>
              </w:rPr>
              <w:t>宁县金村乡金村村生活污水截污处置工程</w:t>
            </w:r>
            <w:r>
              <w:rPr>
                <w:rFonts w:asciiTheme="majorEastAsia" w:hAnsiTheme="majorEastAsia" w:eastAsiaTheme="majorEastAsia"/>
                <w:color w:val="auto"/>
                <w:sz w:val="24"/>
                <w:szCs w:val="24"/>
              </w:rPr>
              <w:t>；</w:t>
            </w:r>
          </w:p>
          <w:p>
            <w:pPr>
              <w:pStyle w:val="17"/>
              <w:adjustRightInd w:val="0"/>
              <w:snapToGrid w:val="0"/>
              <w:spacing w:line="360" w:lineRule="auto"/>
              <w:ind w:firstLine="480" w:firstLineChars="200"/>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建设性质：新建；</w:t>
            </w:r>
          </w:p>
          <w:p>
            <w:pPr>
              <w:pStyle w:val="17"/>
              <w:adjustRightInd w:val="0"/>
              <w:snapToGrid w:val="0"/>
              <w:spacing w:line="360" w:lineRule="auto"/>
              <w:ind w:firstLine="480" w:firstLineChars="200"/>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建设单位：</w:t>
            </w:r>
            <w:r>
              <w:rPr>
                <w:rFonts w:asciiTheme="majorEastAsia" w:hAnsiTheme="majorEastAsia" w:eastAsiaTheme="majorEastAsia"/>
                <w:color w:val="auto"/>
                <w:sz w:val="24"/>
              </w:rPr>
              <w:t>金村乡人民政府；</w:t>
            </w:r>
          </w:p>
          <w:p>
            <w:pPr>
              <w:adjustRightInd w:val="0"/>
              <w:snapToGrid w:val="0"/>
              <w:spacing w:line="360" w:lineRule="auto"/>
              <w:jc w:val="center"/>
              <w:rPr>
                <w:rFonts w:asciiTheme="majorEastAsia" w:hAnsiTheme="majorEastAsia" w:eastAsiaTheme="majorEastAsia"/>
                <w:color w:val="auto"/>
                <w:sz w:val="24"/>
              </w:rPr>
            </w:pPr>
            <w:r>
              <w:rPr>
                <w:rFonts w:hint="eastAsia" w:asciiTheme="majorEastAsia" w:hAnsiTheme="majorEastAsia" w:eastAsiaTheme="majorEastAsia"/>
                <w:color w:val="auto"/>
                <w:sz w:val="24"/>
              </w:rPr>
              <w:t xml:space="preserve">   </w:t>
            </w:r>
            <w:r>
              <w:rPr>
                <w:rFonts w:asciiTheme="majorEastAsia" w:hAnsiTheme="majorEastAsia" w:eastAsiaTheme="majorEastAsia"/>
                <w:color w:val="auto"/>
                <w:sz w:val="24"/>
              </w:rPr>
              <w:t>建设地点：位于宁县金村乡金村村西侧，厂区中心地理坐标为E108°17'28.05"，N35°39'02.20"。项目具体地理位置见图2</w:t>
            </w:r>
            <w:r>
              <w:rPr>
                <w:rFonts w:hint="eastAsia" w:asciiTheme="majorEastAsia" w:hAnsiTheme="majorEastAsia" w:eastAsiaTheme="majorEastAsia"/>
                <w:color w:val="auto"/>
                <w:sz w:val="24"/>
              </w:rPr>
              <w:t>（略）</w:t>
            </w:r>
            <w:r>
              <w:rPr>
                <w:rFonts w:asciiTheme="majorEastAsia" w:hAnsiTheme="majorEastAsia" w:eastAsiaTheme="majorEastAsia"/>
                <w:color w:val="auto"/>
                <w:sz w:val="24"/>
              </w:rPr>
              <w:t>；项目四邻图见图3</w:t>
            </w:r>
            <w:r>
              <w:rPr>
                <w:rFonts w:hint="eastAsia" w:asciiTheme="majorEastAsia" w:hAnsiTheme="majorEastAsia" w:eastAsiaTheme="majorEastAsia"/>
                <w:color w:val="auto"/>
                <w:sz w:val="24"/>
              </w:rPr>
              <w:t>（略）</w:t>
            </w:r>
            <w:r>
              <w:rPr>
                <w:rFonts w:asciiTheme="majorEastAsia" w:hAnsiTheme="majorEastAsia" w:eastAsiaTheme="majorEastAsia"/>
                <w:color w:val="auto"/>
                <w:sz w:val="24"/>
              </w:rPr>
              <w:t>。</w:t>
            </w:r>
          </w:p>
          <w:p>
            <w:pPr>
              <w:pStyle w:val="17"/>
              <w:adjustRightInd w:val="0"/>
              <w:snapToGrid w:val="0"/>
              <w:spacing w:line="360" w:lineRule="auto"/>
              <w:ind w:firstLine="482" w:firstLineChars="200"/>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7.2本项目建设内容</w:t>
            </w:r>
          </w:p>
          <w:p>
            <w:pPr>
              <w:pStyle w:val="17"/>
              <w:adjustRightInd w:val="0"/>
              <w:snapToGrid w:val="0"/>
              <w:spacing w:line="360" w:lineRule="auto"/>
              <w:ind w:firstLine="480" w:firstLineChars="200"/>
              <w:jc w:val="left"/>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本项目占地面积1.5亩，设计工程主要建设内容：</w:t>
            </w:r>
          </w:p>
          <w:p>
            <w:pPr>
              <w:pStyle w:val="17"/>
              <w:adjustRightInd w:val="0"/>
              <w:snapToGrid w:val="0"/>
              <w:spacing w:line="360" w:lineRule="auto"/>
              <w:ind w:firstLine="480" w:firstLineChars="200"/>
              <w:jc w:val="left"/>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污水处理工程：新建污水处理站200m</w:t>
            </w:r>
            <w:r>
              <w:rPr>
                <w:rFonts w:asciiTheme="majorEastAsia" w:hAnsiTheme="majorEastAsia" w:eastAsiaTheme="majorEastAsia"/>
                <w:color w:val="auto"/>
                <w:sz w:val="24"/>
                <w:szCs w:val="24"/>
                <w:vertAlign w:val="superscript"/>
              </w:rPr>
              <w:t>2</w:t>
            </w:r>
            <w:r>
              <w:rPr>
                <w:rFonts w:asciiTheme="majorEastAsia" w:hAnsiTheme="majorEastAsia" w:eastAsiaTheme="majorEastAsia"/>
                <w:color w:val="auto"/>
                <w:sz w:val="24"/>
                <w:szCs w:val="24"/>
              </w:rPr>
              <w:t>/d；钢混结构预处理池1座、格栅井1座、调节池1座、设备基础2座;新建砖混结构巴氏计量槽1座、管沟1座、储泥池1座、成品钢化玻璃罩一个、业主自定水质检测系统1套、消毒系统1套、人工格栅3台、机械格栅1台、加药装置2套、提升泵2台、风机2台、A/0HMBR-100系统2台、启闭机及闸门2套、紫外消毒装置1套、双曲面搅拌器1套、配套管阀1套、曝气搅拌系统1套;进水管50m、出水管50m、钢砼雨水检查井5座、重型球墨铸铁井盖及井座5套、防坠网5套。</w:t>
            </w:r>
          </w:p>
          <w:p>
            <w:pPr>
              <w:pStyle w:val="17"/>
              <w:adjustRightInd w:val="0"/>
              <w:snapToGrid w:val="0"/>
              <w:spacing w:line="360" w:lineRule="auto"/>
              <w:ind w:firstLine="480" w:firstLineChars="200"/>
              <w:jc w:val="left"/>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污水管网工程：新建DN300 HDPE双壁波纹管（环刚度为 SN8）污水主管共计2100m，DN300HDPE双壁波纹管（环刚度为 SN8）污水预留管350m，下沟钢管140m；建设1000x1000钢筋混凝土污水检查井82座，建设1000x1000钢筋混凝土污水预留检查井38座，建设2500x1200钢筋混凝土污水检查井15座；恢复破除路面3470m</w:t>
            </w:r>
            <w:r>
              <w:rPr>
                <w:rFonts w:asciiTheme="majorEastAsia" w:hAnsiTheme="majorEastAsia" w:eastAsiaTheme="majorEastAsia"/>
                <w:color w:val="auto"/>
                <w:sz w:val="24"/>
                <w:szCs w:val="24"/>
                <w:vertAlign w:val="superscript"/>
              </w:rPr>
              <w:t>2</w:t>
            </w:r>
            <w:r>
              <w:rPr>
                <w:rFonts w:asciiTheme="majorEastAsia" w:hAnsiTheme="majorEastAsia" w:eastAsiaTheme="majorEastAsia"/>
                <w:color w:val="auto"/>
                <w:sz w:val="24"/>
                <w:szCs w:val="24"/>
              </w:rPr>
              <w:t>。</w:t>
            </w:r>
          </w:p>
          <w:p>
            <w:pPr>
              <w:pStyle w:val="17"/>
              <w:adjustRightInd w:val="0"/>
              <w:snapToGrid w:val="0"/>
              <w:spacing w:line="360" w:lineRule="auto"/>
              <w:ind w:firstLine="480" w:firstLineChars="200"/>
              <w:jc w:val="left"/>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新建框架结构管理用房1座，建筑面积30m</w:t>
            </w:r>
            <w:r>
              <w:rPr>
                <w:rFonts w:asciiTheme="majorEastAsia" w:hAnsiTheme="majorEastAsia" w:eastAsiaTheme="majorEastAsia"/>
                <w:color w:val="auto"/>
                <w:sz w:val="24"/>
                <w:szCs w:val="24"/>
                <w:vertAlign w:val="superscript"/>
              </w:rPr>
              <w:t>2</w:t>
            </w:r>
            <w:r>
              <w:rPr>
                <w:rFonts w:asciiTheme="majorEastAsia" w:hAnsiTheme="majorEastAsia" w:eastAsiaTheme="majorEastAsia"/>
                <w:color w:val="auto"/>
                <w:sz w:val="24"/>
                <w:szCs w:val="24"/>
              </w:rPr>
              <w:t>，层高3.30m，室内外高差0.45m；新建砖混结构设备用房1座，建筑面积40m</w:t>
            </w:r>
            <w:r>
              <w:rPr>
                <w:rFonts w:asciiTheme="majorEastAsia" w:hAnsiTheme="majorEastAsia" w:eastAsiaTheme="majorEastAsia"/>
                <w:color w:val="auto"/>
                <w:sz w:val="24"/>
                <w:szCs w:val="24"/>
                <w:vertAlign w:val="superscript"/>
              </w:rPr>
              <w:t>2</w:t>
            </w:r>
            <w:r>
              <w:rPr>
                <w:rFonts w:asciiTheme="majorEastAsia" w:hAnsiTheme="majorEastAsia" w:eastAsiaTheme="majorEastAsia"/>
                <w:color w:val="auto"/>
                <w:sz w:val="24"/>
                <w:szCs w:val="24"/>
              </w:rPr>
              <w:t>，层高4.50m，室内外高差0.45m；砖砌围墙124m，大门1座，10KV电力外线1km，道路广场385m</w:t>
            </w:r>
            <w:r>
              <w:rPr>
                <w:rFonts w:asciiTheme="majorEastAsia" w:hAnsiTheme="majorEastAsia" w:eastAsiaTheme="majorEastAsia"/>
                <w:color w:val="auto"/>
                <w:sz w:val="24"/>
                <w:szCs w:val="24"/>
                <w:vertAlign w:val="superscript"/>
              </w:rPr>
              <w:t>2</w:t>
            </w:r>
            <w:r>
              <w:rPr>
                <w:rFonts w:asciiTheme="majorEastAsia" w:hAnsiTheme="majorEastAsia" w:eastAsiaTheme="majorEastAsia"/>
                <w:color w:val="auto"/>
                <w:sz w:val="24"/>
                <w:szCs w:val="24"/>
              </w:rPr>
              <w:t>，场地绿化358m</w:t>
            </w:r>
            <w:r>
              <w:rPr>
                <w:rFonts w:asciiTheme="majorEastAsia" w:hAnsiTheme="majorEastAsia" w:eastAsiaTheme="majorEastAsia"/>
                <w:color w:val="auto"/>
                <w:sz w:val="24"/>
                <w:szCs w:val="24"/>
                <w:vertAlign w:val="superscript"/>
              </w:rPr>
              <w:t>2</w:t>
            </w:r>
            <w:r>
              <w:rPr>
                <w:rFonts w:asciiTheme="majorEastAsia" w:hAnsiTheme="majorEastAsia" w:eastAsiaTheme="majorEastAsia"/>
                <w:color w:val="auto"/>
                <w:sz w:val="24"/>
                <w:szCs w:val="24"/>
              </w:rPr>
              <w:t>。</w:t>
            </w:r>
          </w:p>
          <w:p>
            <w:pPr>
              <w:pStyle w:val="17"/>
              <w:adjustRightInd w:val="0"/>
              <w:snapToGrid w:val="0"/>
              <w:spacing w:line="360" w:lineRule="auto"/>
              <w:ind w:firstLine="480" w:firstLineChars="200"/>
              <w:jc w:val="left"/>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本项目主要建设内容见表2。</w:t>
            </w:r>
          </w:p>
          <w:p>
            <w:pPr>
              <w:pStyle w:val="17"/>
              <w:adjustRightInd w:val="0"/>
              <w:snapToGrid w:val="0"/>
              <w:spacing w:line="360" w:lineRule="auto"/>
              <w:ind w:firstLine="482" w:firstLineChars="20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表2本项目主要工程内容一览表</w:t>
            </w:r>
          </w:p>
          <w:tbl>
            <w:tblPr>
              <w:tblStyle w:val="38"/>
              <w:tblW w:w="8882"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20" w:type="dxa"/>
                <w:bottom w:w="0" w:type="dxa"/>
                <w:right w:w="20" w:type="dxa"/>
              </w:tblCellMar>
            </w:tblPr>
            <w:tblGrid>
              <w:gridCol w:w="478"/>
              <w:gridCol w:w="1559"/>
              <w:gridCol w:w="6095"/>
              <w:gridCol w:w="750"/>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0" w:type="dxa"/>
                  <w:bottom w:w="0" w:type="dxa"/>
                  <w:right w:w="20" w:type="dxa"/>
                </w:tblCellMar>
              </w:tblPrEx>
              <w:trPr>
                <w:cantSplit/>
                <w:jc w:val="center"/>
              </w:trPr>
              <w:tc>
                <w:tcPr>
                  <w:tcW w:w="2037" w:type="dxa"/>
                  <w:gridSpan w:val="2"/>
                  <w:vAlign w:val="center"/>
                </w:tcPr>
                <w:p>
                  <w:pPr>
                    <w:widowControl/>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工程名称</w:t>
                  </w:r>
                </w:p>
              </w:tc>
              <w:tc>
                <w:tcPr>
                  <w:tcW w:w="6095"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工程内容及功能</w:t>
                  </w:r>
                </w:p>
              </w:tc>
              <w:tc>
                <w:tcPr>
                  <w:tcW w:w="750"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备注</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0" w:type="dxa"/>
                  <w:bottom w:w="0" w:type="dxa"/>
                  <w:right w:w="20" w:type="dxa"/>
                </w:tblCellMar>
              </w:tblPrEx>
              <w:trPr>
                <w:cantSplit/>
                <w:jc w:val="center"/>
              </w:trPr>
              <w:tc>
                <w:tcPr>
                  <w:tcW w:w="478" w:type="dxa"/>
                  <w:vMerge w:val="restart"/>
                  <w:vAlign w:val="center"/>
                </w:tcPr>
                <w:p>
                  <w:pPr>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主</w:t>
                  </w:r>
                </w:p>
                <w:p>
                  <w:pPr>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体</w:t>
                  </w:r>
                </w:p>
                <w:p>
                  <w:pPr>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工</w:t>
                  </w:r>
                </w:p>
                <w:p>
                  <w:pPr>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程</w:t>
                  </w:r>
                </w:p>
              </w:tc>
              <w:tc>
                <w:tcPr>
                  <w:tcW w:w="1559" w:type="dxa"/>
                  <w:vAlign w:val="center"/>
                </w:tcPr>
                <w:p>
                  <w:pPr>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预处理池</w:t>
                  </w:r>
                </w:p>
              </w:tc>
              <w:tc>
                <w:tcPr>
                  <w:tcW w:w="6095"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bCs/>
                      <w:color w:val="auto"/>
                      <w:spacing w:val="-6"/>
                      <w:kern w:val="0"/>
                      <w:szCs w:val="21"/>
                    </w:rPr>
                    <w:t>污水进入预处理池，对污水进行沉淀及厌氧处理，去除污水中的泥沙、固体颗粒物等，并使大分子有机污染物，水解成小分子有机物，提高后续处理设施的处理效率。</w:t>
                  </w:r>
                </w:p>
              </w:tc>
              <w:tc>
                <w:tcPr>
                  <w:tcW w:w="750"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地下式</w:t>
                  </w:r>
                </w:p>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新建</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0" w:type="dxa"/>
                  <w:bottom w:w="0" w:type="dxa"/>
                  <w:right w:w="20" w:type="dxa"/>
                </w:tblCellMar>
              </w:tblPrEx>
              <w:trPr>
                <w:cantSplit/>
                <w:jc w:val="center"/>
              </w:trPr>
              <w:tc>
                <w:tcPr>
                  <w:tcW w:w="478" w:type="dxa"/>
                  <w:vMerge w:val="continue"/>
                  <w:vAlign w:val="center"/>
                </w:tcPr>
                <w:p>
                  <w:pPr>
                    <w:adjustRightInd w:val="0"/>
                    <w:snapToGrid w:val="0"/>
                    <w:jc w:val="center"/>
                    <w:rPr>
                      <w:rFonts w:asciiTheme="majorEastAsia" w:hAnsiTheme="majorEastAsia" w:eastAsiaTheme="majorEastAsia"/>
                      <w:color w:val="auto"/>
                      <w:kern w:val="0"/>
                      <w:szCs w:val="21"/>
                    </w:rPr>
                  </w:pPr>
                </w:p>
              </w:tc>
              <w:tc>
                <w:tcPr>
                  <w:tcW w:w="1559" w:type="dxa"/>
                  <w:vAlign w:val="center"/>
                </w:tcPr>
                <w:p>
                  <w:pPr>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格栅池</w:t>
                  </w:r>
                </w:p>
              </w:tc>
              <w:tc>
                <w:tcPr>
                  <w:tcW w:w="6095"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去除废水中的较大的固体悬浮物等杂质，从而保证后续处理系统的正常运行及有效减轻其处理负荷，为系统长期稳定运行提供保证。</w:t>
                  </w:r>
                </w:p>
              </w:tc>
              <w:tc>
                <w:tcPr>
                  <w:tcW w:w="750"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地下式</w:t>
                  </w:r>
                </w:p>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新建</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0" w:type="dxa"/>
                  <w:bottom w:w="0" w:type="dxa"/>
                  <w:right w:w="20" w:type="dxa"/>
                </w:tblCellMar>
              </w:tblPrEx>
              <w:trPr>
                <w:cantSplit/>
                <w:jc w:val="center"/>
              </w:trPr>
              <w:tc>
                <w:tcPr>
                  <w:tcW w:w="478" w:type="dxa"/>
                  <w:vMerge w:val="continue"/>
                  <w:vAlign w:val="center"/>
                </w:tcPr>
                <w:p>
                  <w:pPr>
                    <w:adjustRightInd w:val="0"/>
                    <w:snapToGrid w:val="0"/>
                    <w:jc w:val="center"/>
                    <w:rPr>
                      <w:rFonts w:asciiTheme="majorEastAsia" w:hAnsiTheme="majorEastAsia" w:eastAsiaTheme="majorEastAsia"/>
                      <w:bCs/>
                      <w:color w:val="auto"/>
                      <w:kern w:val="0"/>
                      <w:szCs w:val="21"/>
                    </w:rPr>
                  </w:pPr>
                </w:p>
              </w:tc>
              <w:tc>
                <w:tcPr>
                  <w:tcW w:w="1559" w:type="dxa"/>
                  <w:vAlign w:val="center"/>
                </w:tcPr>
                <w:p>
                  <w:pPr>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调节池</w:t>
                  </w:r>
                </w:p>
              </w:tc>
              <w:tc>
                <w:tcPr>
                  <w:tcW w:w="6095"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保证污水处理站后续处理系统的稳定运行，对污水水量及水质进行调节。</w:t>
                  </w:r>
                </w:p>
              </w:tc>
              <w:tc>
                <w:tcPr>
                  <w:tcW w:w="750"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地下式</w:t>
                  </w:r>
                </w:p>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新建</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0" w:type="dxa"/>
                  <w:bottom w:w="0" w:type="dxa"/>
                  <w:right w:w="20" w:type="dxa"/>
                </w:tblCellMar>
              </w:tblPrEx>
              <w:trPr>
                <w:cantSplit/>
                <w:jc w:val="center"/>
              </w:trPr>
              <w:tc>
                <w:tcPr>
                  <w:tcW w:w="478" w:type="dxa"/>
                  <w:vMerge w:val="continue"/>
                  <w:vAlign w:val="center"/>
                </w:tcPr>
                <w:p>
                  <w:pPr>
                    <w:adjustRightInd w:val="0"/>
                    <w:snapToGrid w:val="0"/>
                    <w:jc w:val="center"/>
                    <w:rPr>
                      <w:rFonts w:asciiTheme="majorEastAsia" w:hAnsiTheme="majorEastAsia" w:eastAsiaTheme="majorEastAsia"/>
                      <w:bCs/>
                      <w:color w:val="auto"/>
                      <w:kern w:val="0"/>
                      <w:szCs w:val="21"/>
                    </w:rPr>
                  </w:pPr>
                </w:p>
              </w:tc>
              <w:tc>
                <w:tcPr>
                  <w:tcW w:w="1559"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A</w:t>
                  </w:r>
                  <w:r>
                    <w:rPr>
                      <w:rFonts w:asciiTheme="majorEastAsia" w:hAnsiTheme="majorEastAsia" w:eastAsiaTheme="majorEastAsia"/>
                      <w:bCs/>
                      <w:color w:val="auto"/>
                      <w:kern w:val="0"/>
                      <w:szCs w:val="21"/>
                      <w:vertAlign w:val="superscript"/>
                    </w:rPr>
                    <w:t>2</w:t>
                  </w:r>
                  <w:r>
                    <w:rPr>
                      <w:rFonts w:asciiTheme="majorEastAsia" w:hAnsiTheme="majorEastAsia" w:eastAsiaTheme="majorEastAsia"/>
                      <w:bCs/>
                      <w:color w:val="auto"/>
                      <w:kern w:val="0"/>
                      <w:szCs w:val="21"/>
                    </w:rPr>
                    <w:t>/O+MBR一体化组合式污水处理设备</w:t>
                  </w:r>
                </w:p>
              </w:tc>
              <w:tc>
                <w:tcPr>
                  <w:tcW w:w="6095"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对生活污水、高浓度有机污水、难降解有机污水具有非常高的处理效率，本项目是生活污水，污水污染物含量高、可生化性好，非常适宜采用本处理工艺，而</w:t>
                  </w:r>
                  <w:r>
                    <w:rPr>
                      <w:rFonts w:asciiTheme="majorEastAsia" w:hAnsiTheme="majorEastAsia" w:eastAsiaTheme="majorEastAsia"/>
                      <w:bCs/>
                      <w:color w:val="auto"/>
                      <w:kern w:val="0"/>
                      <w:szCs w:val="21"/>
                    </w:rPr>
                    <w:t>A</w:t>
                  </w:r>
                  <w:r>
                    <w:rPr>
                      <w:rFonts w:asciiTheme="majorEastAsia" w:hAnsiTheme="majorEastAsia" w:eastAsiaTheme="majorEastAsia"/>
                      <w:bCs/>
                      <w:color w:val="auto"/>
                      <w:kern w:val="0"/>
                      <w:szCs w:val="21"/>
                      <w:vertAlign w:val="superscript"/>
                    </w:rPr>
                    <w:t>2</w:t>
                  </w:r>
                  <w:r>
                    <w:rPr>
                      <w:rFonts w:asciiTheme="majorEastAsia" w:hAnsiTheme="majorEastAsia" w:eastAsiaTheme="majorEastAsia"/>
                      <w:bCs/>
                      <w:color w:val="auto"/>
                      <w:kern w:val="0"/>
                      <w:szCs w:val="21"/>
                    </w:rPr>
                    <w:t>/O+MBR一体化组合式污水处理设备</w:t>
                  </w:r>
                  <w:r>
                    <w:rPr>
                      <w:rFonts w:asciiTheme="majorEastAsia" w:hAnsiTheme="majorEastAsia" w:eastAsiaTheme="majorEastAsia"/>
                      <w:color w:val="auto"/>
                      <w:kern w:val="0"/>
                      <w:szCs w:val="21"/>
                    </w:rPr>
                    <w:t>工艺可实现菌体共生，同步处理处理不同污染物，大幅提高系统适应能力、处理效率。</w:t>
                  </w:r>
                </w:p>
              </w:tc>
              <w:tc>
                <w:tcPr>
                  <w:tcW w:w="750"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新建</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0" w:type="dxa"/>
                  <w:bottom w:w="0" w:type="dxa"/>
                  <w:right w:w="20" w:type="dxa"/>
                </w:tblCellMar>
              </w:tblPrEx>
              <w:trPr>
                <w:cantSplit/>
                <w:jc w:val="center"/>
              </w:trPr>
              <w:tc>
                <w:tcPr>
                  <w:tcW w:w="478" w:type="dxa"/>
                  <w:vMerge w:val="continue"/>
                  <w:vAlign w:val="center"/>
                </w:tcPr>
                <w:p>
                  <w:pPr>
                    <w:adjustRightInd w:val="0"/>
                    <w:snapToGrid w:val="0"/>
                    <w:jc w:val="center"/>
                    <w:rPr>
                      <w:rFonts w:asciiTheme="majorEastAsia" w:hAnsiTheme="majorEastAsia" w:eastAsiaTheme="majorEastAsia"/>
                      <w:bCs/>
                      <w:color w:val="auto"/>
                      <w:kern w:val="0"/>
                      <w:szCs w:val="21"/>
                    </w:rPr>
                  </w:pPr>
                </w:p>
              </w:tc>
              <w:tc>
                <w:tcPr>
                  <w:tcW w:w="1559"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巴氏计量槽</w:t>
                  </w:r>
                </w:p>
              </w:tc>
              <w:tc>
                <w:tcPr>
                  <w:tcW w:w="6095"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用于消毒处理后的污水</w:t>
                  </w:r>
                </w:p>
              </w:tc>
              <w:tc>
                <w:tcPr>
                  <w:tcW w:w="750"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新建</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0" w:type="dxa"/>
                  <w:bottom w:w="0" w:type="dxa"/>
                  <w:right w:w="20" w:type="dxa"/>
                </w:tblCellMar>
              </w:tblPrEx>
              <w:trPr>
                <w:cantSplit/>
                <w:jc w:val="center"/>
              </w:trPr>
              <w:tc>
                <w:tcPr>
                  <w:tcW w:w="478" w:type="dxa"/>
                  <w:vMerge w:val="restart"/>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辅助</w:t>
                  </w:r>
                </w:p>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工程</w:t>
                  </w:r>
                </w:p>
              </w:tc>
              <w:tc>
                <w:tcPr>
                  <w:tcW w:w="1559"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管理用房</w:t>
                  </w:r>
                </w:p>
              </w:tc>
              <w:tc>
                <w:tcPr>
                  <w:tcW w:w="6095"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建筑面积30.00平方米，层高为3.3米，室内外高差为0.45</w:t>
                  </w:r>
                </w:p>
              </w:tc>
              <w:tc>
                <w:tcPr>
                  <w:tcW w:w="750"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新建</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0" w:type="dxa"/>
                  <w:bottom w:w="0" w:type="dxa"/>
                  <w:right w:w="20" w:type="dxa"/>
                </w:tblCellMar>
              </w:tblPrEx>
              <w:trPr>
                <w:cantSplit/>
                <w:jc w:val="center"/>
              </w:trPr>
              <w:tc>
                <w:tcPr>
                  <w:tcW w:w="478" w:type="dxa"/>
                  <w:vMerge w:val="continue"/>
                  <w:vAlign w:val="center"/>
                </w:tcPr>
                <w:p>
                  <w:pPr>
                    <w:adjustRightInd w:val="0"/>
                    <w:snapToGrid w:val="0"/>
                    <w:jc w:val="center"/>
                    <w:rPr>
                      <w:rFonts w:asciiTheme="majorEastAsia" w:hAnsiTheme="majorEastAsia" w:eastAsiaTheme="majorEastAsia"/>
                      <w:bCs/>
                      <w:color w:val="auto"/>
                      <w:kern w:val="0"/>
                      <w:szCs w:val="21"/>
                    </w:rPr>
                  </w:pPr>
                </w:p>
              </w:tc>
              <w:tc>
                <w:tcPr>
                  <w:tcW w:w="1559"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设备用房</w:t>
                  </w:r>
                </w:p>
              </w:tc>
              <w:tc>
                <w:tcPr>
                  <w:tcW w:w="6095"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建筑面积62.07平方米，层高为4.5米，室内外高差为0.45</w:t>
                  </w:r>
                </w:p>
              </w:tc>
              <w:tc>
                <w:tcPr>
                  <w:tcW w:w="750"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新建</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0" w:type="dxa"/>
                  <w:bottom w:w="0" w:type="dxa"/>
                  <w:right w:w="20" w:type="dxa"/>
                </w:tblCellMar>
              </w:tblPrEx>
              <w:trPr>
                <w:cantSplit/>
                <w:jc w:val="center"/>
              </w:trPr>
              <w:tc>
                <w:tcPr>
                  <w:tcW w:w="478" w:type="dxa"/>
                  <w:vMerge w:val="continue"/>
                  <w:vAlign w:val="center"/>
                </w:tcPr>
                <w:p>
                  <w:pPr>
                    <w:adjustRightInd w:val="0"/>
                    <w:snapToGrid w:val="0"/>
                    <w:jc w:val="center"/>
                    <w:rPr>
                      <w:rFonts w:asciiTheme="majorEastAsia" w:hAnsiTheme="majorEastAsia" w:eastAsiaTheme="majorEastAsia"/>
                      <w:bCs/>
                      <w:color w:val="auto"/>
                      <w:kern w:val="0"/>
                      <w:szCs w:val="21"/>
                    </w:rPr>
                  </w:pPr>
                </w:p>
              </w:tc>
              <w:tc>
                <w:tcPr>
                  <w:tcW w:w="1559"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污水管网</w:t>
                  </w:r>
                </w:p>
              </w:tc>
              <w:tc>
                <w:tcPr>
                  <w:tcW w:w="6095"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新建DN300HDPE双壁波纹管（环刚度为SN8）污水主管共计2100m，DN300HDPE双壁波纹管（环刚度为SN8）污水预留管350m，下沟钢管140m</w:t>
                  </w:r>
                </w:p>
              </w:tc>
              <w:tc>
                <w:tcPr>
                  <w:tcW w:w="750"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新建</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0" w:type="dxa"/>
                  <w:bottom w:w="0" w:type="dxa"/>
                  <w:right w:w="20" w:type="dxa"/>
                </w:tblCellMar>
              </w:tblPrEx>
              <w:trPr>
                <w:cantSplit/>
                <w:jc w:val="center"/>
              </w:trPr>
              <w:tc>
                <w:tcPr>
                  <w:tcW w:w="478" w:type="dxa"/>
                  <w:vMerge w:val="restart"/>
                  <w:vAlign w:val="center"/>
                </w:tcPr>
                <w:p>
                  <w:pPr>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公</w:t>
                  </w:r>
                </w:p>
                <w:p>
                  <w:pPr>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用</w:t>
                  </w:r>
                </w:p>
                <w:p>
                  <w:pPr>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工</w:t>
                  </w:r>
                </w:p>
                <w:p>
                  <w:pPr>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程</w:t>
                  </w:r>
                </w:p>
              </w:tc>
              <w:tc>
                <w:tcPr>
                  <w:tcW w:w="1559"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供水</w:t>
                  </w:r>
                </w:p>
              </w:tc>
              <w:tc>
                <w:tcPr>
                  <w:tcW w:w="6095"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本项目生活用水及消防用水来源于村内机井</w:t>
                  </w:r>
                </w:p>
              </w:tc>
              <w:tc>
                <w:tcPr>
                  <w:tcW w:w="750" w:type="dxa"/>
                  <w:vAlign w:val="center"/>
                </w:tcPr>
                <w:p>
                  <w:pPr>
                    <w:adjustRightInd w:val="0"/>
                    <w:snapToGrid w:val="0"/>
                    <w:jc w:val="center"/>
                    <w:rPr>
                      <w:rFonts w:asciiTheme="majorEastAsia" w:hAnsiTheme="majorEastAsia" w:eastAsiaTheme="majorEastAsia"/>
                      <w:bCs/>
                      <w:color w:val="auto"/>
                      <w:kern w:val="0"/>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0" w:type="dxa"/>
                  <w:bottom w:w="0" w:type="dxa"/>
                  <w:right w:w="20" w:type="dxa"/>
                </w:tblCellMar>
              </w:tblPrEx>
              <w:trPr>
                <w:cantSplit/>
                <w:jc w:val="center"/>
              </w:trPr>
              <w:tc>
                <w:tcPr>
                  <w:tcW w:w="478" w:type="dxa"/>
                  <w:vMerge w:val="continue"/>
                  <w:vAlign w:val="center"/>
                </w:tcPr>
                <w:p>
                  <w:pPr>
                    <w:adjustRightInd w:val="0"/>
                    <w:snapToGrid w:val="0"/>
                    <w:jc w:val="center"/>
                    <w:rPr>
                      <w:rFonts w:asciiTheme="majorEastAsia" w:hAnsiTheme="majorEastAsia" w:eastAsiaTheme="majorEastAsia"/>
                      <w:color w:val="auto"/>
                      <w:kern w:val="0"/>
                      <w:szCs w:val="21"/>
                    </w:rPr>
                  </w:pPr>
                </w:p>
              </w:tc>
              <w:tc>
                <w:tcPr>
                  <w:tcW w:w="1559"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排水</w:t>
                  </w:r>
                </w:p>
              </w:tc>
              <w:tc>
                <w:tcPr>
                  <w:tcW w:w="6095"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项目排水包括生活污水，生产废水及雨水，厂区采用雨污分流机制</w:t>
                  </w:r>
                </w:p>
              </w:tc>
              <w:tc>
                <w:tcPr>
                  <w:tcW w:w="750" w:type="dxa"/>
                  <w:vAlign w:val="center"/>
                </w:tcPr>
                <w:p>
                  <w:pPr>
                    <w:adjustRightInd w:val="0"/>
                    <w:snapToGrid w:val="0"/>
                    <w:jc w:val="center"/>
                    <w:rPr>
                      <w:rFonts w:asciiTheme="majorEastAsia" w:hAnsiTheme="majorEastAsia" w:eastAsiaTheme="majorEastAsia"/>
                      <w:bCs/>
                      <w:color w:val="auto"/>
                      <w:kern w:val="0"/>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0" w:type="dxa"/>
                  <w:bottom w:w="0" w:type="dxa"/>
                  <w:right w:w="20" w:type="dxa"/>
                </w:tblCellMar>
              </w:tblPrEx>
              <w:trPr>
                <w:cantSplit/>
                <w:jc w:val="center"/>
              </w:trPr>
              <w:tc>
                <w:tcPr>
                  <w:tcW w:w="478" w:type="dxa"/>
                  <w:vMerge w:val="continue"/>
                  <w:vAlign w:val="center"/>
                </w:tcPr>
                <w:p>
                  <w:pPr>
                    <w:adjustRightInd w:val="0"/>
                    <w:snapToGrid w:val="0"/>
                    <w:jc w:val="center"/>
                    <w:rPr>
                      <w:rFonts w:asciiTheme="majorEastAsia" w:hAnsiTheme="majorEastAsia" w:eastAsiaTheme="majorEastAsia"/>
                      <w:color w:val="auto"/>
                      <w:kern w:val="0"/>
                      <w:szCs w:val="21"/>
                    </w:rPr>
                  </w:pPr>
                </w:p>
              </w:tc>
              <w:tc>
                <w:tcPr>
                  <w:tcW w:w="1559"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供电</w:t>
                  </w:r>
                </w:p>
              </w:tc>
              <w:tc>
                <w:tcPr>
                  <w:tcW w:w="6095"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本工程设计主要包括污水厂厂区围墙以内所有构筑物及用电设备的供配电、照明、防雷及接地系统等相关电气设计。供电电压为10kV，厂外供电线路及电源进户线由当地电力部门承担，设计分界点为以 10kV 进线负荷开关的下桩头为界，下桩头以下部分，包括进线电缆头</w:t>
                  </w:r>
                </w:p>
              </w:tc>
              <w:tc>
                <w:tcPr>
                  <w:tcW w:w="750" w:type="dxa"/>
                  <w:vAlign w:val="center"/>
                </w:tcPr>
                <w:p>
                  <w:pPr>
                    <w:adjustRightInd w:val="0"/>
                    <w:snapToGrid w:val="0"/>
                    <w:jc w:val="center"/>
                    <w:rPr>
                      <w:rFonts w:asciiTheme="majorEastAsia" w:hAnsiTheme="majorEastAsia" w:eastAsiaTheme="majorEastAsia"/>
                      <w:bCs/>
                      <w:color w:val="auto"/>
                      <w:kern w:val="0"/>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0" w:type="dxa"/>
                  <w:bottom w:w="0" w:type="dxa"/>
                  <w:right w:w="20" w:type="dxa"/>
                </w:tblCellMar>
              </w:tblPrEx>
              <w:trPr>
                <w:cantSplit/>
                <w:jc w:val="center"/>
              </w:trPr>
              <w:tc>
                <w:tcPr>
                  <w:tcW w:w="478" w:type="dxa"/>
                  <w:vMerge w:val="continue"/>
                  <w:vAlign w:val="center"/>
                </w:tcPr>
                <w:p>
                  <w:pPr>
                    <w:adjustRightInd w:val="0"/>
                    <w:snapToGrid w:val="0"/>
                    <w:jc w:val="center"/>
                    <w:rPr>
                      <w:rFonts w:asciiTheme="majorEastAsia" w:hAnsiTheme="majorEastAsia" w:eastAsiaTheme="majorEastAsia"/>
                      <w:color w:val="auto"/>
                      <w:kern w:val="0"/>
                      <w:szCs w:val="21"/>
                    </w:rPr>
                  </w:pPr>
                </w:p>
              </w:tc>
              <w:tc>
                <w:tcPr>
                  <w:tcW w:w="1559"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供暖</w:t>
                  </w:r>
                </w:p>
              </w:tc>
              <w:tc>
                <w:tcPr>
                  <w:tcW w:w="6095"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本项目冬季采暖采用电暖方式</w:t>
                  </w:r>
                </w:p>
              </w:tc>
              <w:tc>
                <w:tcPr>
                  <w:tcW w:w="750" w:type="dxa"/>
                  <w:vAlign w:val="center"/>
                </w:tcPr>
                <w:p>
                  <w:pPr>
                    <w:adjustRightInd w:val="0"/>
                    <w:snapToGrid w:val="0"/>
                    <w:jc w:val="center"/>
                    <w:rPr>
                      <w:rFonts w:asciiTheme="majorEastAsia" w:hAnsiTheme="majorEastAsia" w:eastAsiaTheme="majorEastAsia"/>
                      <w:bCs/>
                      <w:color w:val="auto"/>
                      <w:kern w:val="0"/>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0" w:type="dxa"/>
                  <w:bottom w:w="0" w:type="dxa"/>
                  <w:right w:w="20" w:type="dxa"/>
                </w:tblCellMar>
              </w:tblPrEx>
              <w:trPr>
                <w:cantSplit/>
                <w:jc w:val="center"/>
              </w:trPr>
              <w:tc>
                <w:tcPr>
                  <w:tcW w:w="478" w:type="dxa"/>
                  <w:vMerge w:val="restart"/>
                  <w:vAlign w:val="center"/>
                </w:tcPr>
                <w:p>
                  <w:pPr>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环</w:t>
                  </w:r>
                </w:p>
                <w:p>
                  <w:pPr>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保</w:t>
                  </w:r>
                </w:p>
                <w:p>
                  <w:pPr>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工</w:t>
                  </w:r>
                </w:p>
                <w:p>
                  <w:pPr>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程</w:t>
                  </w:r>
                </w:p>
              </w:tc>
              <w:tc>
                <w:tcPr>
                  <w:tcW w:w="1559" w:type="dxa"/>
                  <w:vAlign w:val="center"/>
                </w:tcPr>
                <w:p>
                  <w:pPr>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废水处理</w:t>
                  </w:r>
                </w:p>
              </w:tc>
              <w:tc>
                <w:tcPr>
                  <w:tcW w:w="6095"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生活污水依托纳入本工程污水处理设施集中处理，污水厂处理后的达标尾水排入沟道后排至柏树底河，最终排入马莲河。</w:t>
                  </w:r>
                </w:p>
              </w:tc>
              <w:tc>
                <w:tcPr>
                  <w:tcW w:w="750" w:type="dxa"/>
                  <w:vAlign w:val="center"/>
                </w:tcPr>
                <w:p>
                  <w:pPr>
                    <w:adjustRightInd w:val="0"/>
                    <w:snapToGrid w:val="0"/>
                    <w:jc w:val="center"/>
                    <w:rPr>
                      <w:rFonts w:asciiTheme="majorEastAsia" w:hAnsiTheme="majorEastAsia" w:eastAsiaTheme="majorEastAsia"/>
                      <w:bCs/>
                      <w:color w:val="auto"/>
                      <w:kern w:val="0"/>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0" w:type="dxa"/>
                  <w:bottom w:w="0" w:type="dxa"/>
                  <w:right w:w="20" w:type="dxa"/>
                </w:tblCellMar>
              </w:tblPrEx>
              <w:trPr>
                <w:cantSplit/>
                <w:jc w:val="center"/>
              </w:trPr>
              <w:tc>
                <w:tcPr>
                  <w:tcW w:w="478" w:type="dxa"/>
                  <w:vMerge w:val="continue"/>
                  <w:vAlign w:val="center"/>
                </w:tcPr>
                <w:p>
                  <w:pPr>
                    <w:adjustRightInd w:val="0"/>
                    <w:snapToGrid w:val="0"/>
                    <w:jc w:val="center"/>
                    <w:rPr>
                      <w:rFonts w:asciiTheme="majorEastAsia" w:hAnsiTheme="majorEastAsia" w:eastAsiaTheme="majorEastAsia"/>
                      <w:color w:val="auto"/>
                      <w:kern w:val="0"/>
                      <w:szCs w:val="21"/>
                    </w:rPr>
                  </w:pPr>
                </w:p>
              </w:tc>
              <w:tc>
                <w:tcPr>
                  <w:tcW w:w="1559" w:type="dxa"/>
                  <w:vAlign w:val="center"/>
                </w:tcPr>
                <w:p>
                  <w:pPr>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噪声治理</w:t>
                  </w:r>
                </w:p>
              </w:tc>
              <w:tc>
                <w:tcPr>
                  <w:tcW w:w="6095"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对噪声较大的设备将安装新型隔音设备，从而达到降噪目的；加强设备维护，避免设备不正常运转产生的高噪声</w:t>
                  </w:r>
                </w:p>
              </w:tc>
              <w:tc>
                <w:tcPr>
                  <w:tcW w:w="750" w:type="dxa"/>
                  <w:vAlign w:val="center"/>
                </w:tcPr>
                <w:p>
                  <w:pPr>
                    <w:adjustRightInd w:val="0"/>
                    <w:snapToGrid w:val="0"/>
                    <w:jc w:val="center"/>
                    <w:rPr>
                      <w:rFonts w:asciiTheme="majorEastAsia" w:hAnsiTheme="majorEastAsia" w:eastAsiaTheme="majorEastAsia"/>
                      <w:bCs/>
                      <w:color w:val="auto"/>
                      <w:kern w:val="0"/>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0" w:type="dxa"/>
                  <w:bottom w:w="0" w:type="dxa"/>
                  <w:right w:w="20" w:type="dxa"/>
                </w:tblCellMar>
              </w:tblPrEx>
              <w:trPr>
                <w:cantSplit/>
                <w:jc w:val="center"/>
              </w:trPr>
              <w:tc>
                <w:tcPr>
                  <w:tcW w:w="478" w:type="dxa"/>
                  <w:vMerge w:val="continue"/>
                  <w:vAlign w:val="center"/>
                </w:tcPr>
                <w:p>
                  <w:pPr>
                    <w:adjustRightInd w:val="0"/>
                    <w:snapToGrid w:val="0"/>
                    <w:jc w:val="center"/>
                    <w:rPr>
                      <w:rFonts w:asciiTheme="majorEastAsia" w:hAnsiTheme="majorEastAsia" w:eastAsiaTheme="majorEastAsia"/>
                      <w:color w:val="auto"/>
                      <w:kern w:val="0"/>
                      <w:szCs w:val="21"/>
                    </w:rPr>
                  </w:pPr>
                </w:p>
              </w:tc>
              <w:tc>
                <w:tcPr>
                  <w:tcW w:w="1559" w:type="dxa"/>
                  <w:vAlign w:val="center"/>
                </w:tcPr>
                <w:p>
                  <w:pPr>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废气治理</w:t>
                  </w:r>
                </w:p>
              </w:tc>
              <w:tc>
                <w:tcPr>
                  <w:tcW w:w="6095"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本项目对储泥池，池顶采用玻璃钢盖板密封，污泥脱水机房和设备间也为全封闭式结构，同时本工程对厂区进行绿化，处理后均能达标排放</w:t>
                  </w:r>
                </w:p>
              </w:tc>
              <w:tc>
                <w:tcPr>
                  <w:tcW w:w="750" w:type="dxa"/>
                  <w:vAlign w:val="center"/>
                </w:tcPr>
                <w:p>
                  <w:pPr>
                    <w:adjustRightInd w:val="0"/>
                    <w:snapToGrid w:val="0"/>
                    <w:jc w:val="center"/>
                    <w:rPr>
                      <w:rFonts w:asciiTheme="majorEastAsia" w:hAnsiTheme="majorEastAsia" w:eastAsiaTheme="majorEastAsia"/>
                      <w:bCs/>
                      <w:color w:val="auto"/>
                      <w:kern w:val="0"/>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0" w:type="dxa"/>
                  <w:bottom w:w="0" w:type="dxa"/>
                  <w:right w:w="20" w:type="dxa"/>
                </w:tblCellMar>
              </w:tblPrEx>
              <w:trPr>
                <w:cantSplit/>
                <w:jc w:val="center"/>
              </w:trPr>
              <w:tc>
                <w:tcPr>
                  <w:tcW w:w="478" w:type="dxa"/>
                  <w:vMerge w:val="continue"/>
                  <w:vAlign w:val="center"/>
                </w:tcPr>
                <w:p>
                  <w:pPr>
                    <w:adjustRightInd w:val="0"/>
                    <w:snapToGrid w:val="0"/>
                    <w:jc w:val="center"/>
                    <w:rPr>
                      <w:rFonts w:asciiTheme="majorEastAsia" w:hAnsiTheme="majorEastAsia" w:eastAsiaTheme="majorEastAsia"/>
                      <w:color w:val="auto"/>
                      <w:kern w:val="0"/>
                      <w:szCs w:val="21"/>
                    </w:rPr>
                  </w:pPr>
                </w:p>
              </w:tc>
              <w:tc>
                <w:tcPr>
                  <w:tcW w:w="1559"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固废处理</w:t>
                  </w:r>
                </w:p>
              </w:tc>
              <w:tc>
                <w:tcPr>
                  <w:tcW w:w="6095"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bCs/>
                      <w:color w:val="auto"/>
                      <w:kern w:val="0"/>
                      <w:szCs w:val="21"/>
                    </w:rPr>
                    <w:t>本项目产生的均为一般固废，不涉及危险废物，全部运至宁县生活垃圾填埋场填埋处置。</w:t>
                  </w:r>
                </w:p>
              </w:tc>
              <w:tc>
                <w:tcPr>
                  <w:tcW w:w="750" w:type="dxa"/>
                  <w:vAlign w:val="center"/>
                </w:tcPr>
                <w:p>
                  <w:pPr>
                    <w:adjustRightInd w:val="0"/>
                    <w:snapToGrid w:val="0"/>
                    <w:jc w:val="center"/>
                    <w:rPr>
                      <w:rFonts w:asciiTheme="majorEastAsia" w:hAnsiTheme="majorEastAsia" w:eastAsiaTheme="majorEastAsia"/>
                      <w:bCs/>
                      <w:color w:val="auto"/>
                      <w:kern w:val="0"/>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0" w:type="dxa"/>
                  <w:bottom w:w="0" w:type="dxa"/>
                  <w:right w:w="20" w:type="dxa"/>
                </w:tblCellMar>
              </w:tblPrEx>
              <w:trPr>
                <w:cantSplit/>
                <w:jc w:val="center"/>
              </w:trPr>
              <w:tc>
                <w:tcPr>
                  <w:tcW w:w="478" w:type="dxa"/>
                  <w:vMerge w:val="restart"/>
                  <w:vAlign w:val="center"/>
                </w:tcPr>
                <w:p>
                  <w:pPr>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风险防范工程</w:t>
                  </w:r>
                </w:p>
              </w:tc>
              <w:tc>
                <w:tcPr>
                  <w:tcW w:w="1559"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防渗措施</w:t>
                  </w:r>
                </w:p>
              </w:tc>
              <w:tc>
                <w:tcPr>
                  <w:tcW w:w="6095" w:type="dxa"/>
                  <w:vAlign w:val="center"/>
                </w:tcPr>
                <w:p>
                  <w:pPr>
                    <w:adjustRightInd w:val="0"/>
                    <w:snapToGrid w:val="0"/>
                    <w:jc w:val="center"/>
                    <w:rPr>
                      <w:rFonts w:asciiTheme="majorEastAsia" w:hAnsiTheme="majorEastAsia" w:eastAsiaTheme="majorEastAsia"/>
                      <w:bCs/>
                      <w:color w:val="auto"/>
                      <w:kern w:val="0"/>
                      <w:szCs w:val="21"/>
                    </w:rPr>
                  </w:pPr>
                  <w:r>
                    <w:rPr>
                      <w:rFonts w:asciiTheme="majorEastAsia" w:hAnsiTheme="majorEastAsia" w:eastAsiaTheme="majorEastAsia"/>
                      <w:color w:val="auto"/>
                      <w:szCs w:val="21"/>
                    </w:rPr>
                    <w:t>项目污水处理厂内生产区地面全部做水泥硬化处理；各构筑物和管道基础、池外壁所有与土接触的砼表面、垫层与底板接触面，均严格按照设计要求涂环氧沥青或聚氨酯沥青涂层等防腐材料，厚度≥500μm；</w:t>
                  </w:r>
                </w:p>
              </w:tc>
              <w:tc>
                <w:tcPr>
                  <w:tcW w:w="750" w:type="dxa"/>
                  <w:vAlign w:val="center"/>
                </w:tcPr>
                <w:p>
                  <w:pPr>
                    <w:adjustRightInd w:val="0"/>
                    <w:snapToGrid w:val="0"/>
                    <w:jc w:val="center"/>
                    <w:rPr>
                      <w:rFonts w:asciiTheme="majorEastAsia" w:hAnsiTheme="majorEastAsia" w:eastAsiaTheme="majorEastAsia"/>
                      <w:bCs/>
                      <w:color w:val="auto"/>
                      <w:kern w:val="0"/>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0" w:type="dxa"/>
                  <w:bottom w:w="0" w:type="dxa"/>
                  <w:right w:w="20" w:type="dxa"/>
                </w:tblCellMar>
              </w:tblPrEx>
              <w:trPr>
                <w:cantSplit/>
                <w:jc w:val="center"/>
              </w:trPr>
              <w:tc>
                <w:tcPr>
                  <w:tcW w:w="478" w:type="dxa"/>
                  <w:vMerge w:val="continue"/>
                  <w:vAlign w:val="center"/>
                </w:tcPr>
                <w:p>
                  <w:pPr>
                    <w:adjustRightInd w:val="0"/>
                    <w:snapToGrid w:val="0"/>
                    <w:jc w:val="center"/>
                    <w:rPr>
                      <w:rFonts w:asciiTheme="majorEastAsia" w:hAnsiTheme="majorEastAsia" w:eastAsiaTheme="majorEastAsia"/>
                      <w:color w:val="auto"/>
                      <w:kern w:val="0"/>
                      <w:szCs w:val="21"/>
                    </w:rPr>
                  </w:pPr>
                </w:p>
              </w:tc>
              <w:tc>
                <w:tcPr>
                  <w:tcW w:w="1559"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监控措施</w:t>
                  </w:r>
                </w:p>
              </w:tc>
              <w:tc>
                <w:tcPr>
                  <w:tcW w:w="6095"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在项目场地下游设置1口地下水环境跟踪监测井</w:t>
                  </w:r>
                </w:p>
              </w:tc>
              <w:tc>
                <w:tcPr>
                  <w:tcW w:w="750" w:type="dxa"/>
                  <w:vAlign w:val="center"/>
                </w:tcPr>
                <w:p>
                  <w:pPr>
                    <w:adjustRightInd w:val="0"/>
                    <w:snapToGrid w:val="0"/>
                    <w:jc w:val="center"/>
                    <w:rPr>
                      <w:rFonts w:asciiTheme="majorEastAsia" w:hAnsiTheme="majorEastAsia" w:eastAsiaTheme="majorEastAsia"/>
                      <w:bCs/>
                      <w:color w:val="auto"/>
                      <w:kern w:val="0"/>
                      <w:szCs w:val="21"/>
                    </w:rPr>
                  </w:pPr>
                </w:p>
              </w:tc>
            </w:tr>
          </w:tbl>
          <w:p>
            <w:pPr>
              <w:pStyle w:val="17"/>
              <w:adjustRightInd w:val="0"/>
              <w:snapToGrid w:val="0"/>
              <w:spacing w:line="360" w:lineRule="auto"/>
              <w:ind w:firstLine="482" w:firstLineChars="200"/>
              <w:rPr>
                <w:rFonts w:asciiTheme="majorEastAsia" w:hAnsiTheme="majorEastAsia" w:eastAsiaTheme="majorEastAsia"/>
                <w:b/>
                <w:color w:val="auto"/>
                <w:sz w:val="24"/>
                <w:szCs w:val="24"/>
              </w:rPr>
            </w:pPr>
            <w:bookmarkStart w:id="0" w:name="_Toc218247437"/>
            <w:bookmarkStart w:id="1" w:name="_Toc257294995"/>
            <w:bookmarkStart w:id="2" w:name="_Toc218834718"/>
            <w:r>
              <w:rPr>
                <w:rFonts w:asciiTheme="majorEastAsia" w:hAnsiTheme="majorEastAsia" w:eastAsiaTheme="majorEastAsia"/>
                <w:b/>
                <w:color w:val="auto"/>
                <w:sz w:val="24"/>
                <w:szCs w:val="24"/>
              </w:rPr>
              <w:t>7.3本工程主要构筑物</w:t>
            </w:r>
          </w:p>
          <w:p>
            <w:pPr>
              <w:pStyle w:val="17"/>
              <w:adjustRightInd w:val="0"/>
              <w:snapToGrid w:val="0"/>
              <w:spacing w:line="360" w:lineRule="auto"/>
              <w:ind w:firstLine="480" w:firstLineChars="200"/>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主要污水处理构（建）筑物见表3。</w:t>
            </w:r>
          </w:p>
          <w:p>
            <w:pPr>
              <w:pStyle w:val="17"/>
              <w:adjustRightInd w:val="0"/>
              <w:snapToGrid w:val="0"/>
              <w:spacing w:line="360" w:lineRule="auto"/>
              <w:ind w:firstLine="482" w:firstLineChars="200"/>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表3本工程主要构（建）筑物一览表</w:t>
            </w:r>
          </w:p>
          <w:tbl>
            <w:tblPr>
              <w:tblStyle w:val="38"/>
              <w:tblW w:w="8882"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61"/>
              <w:gridCol w:w="1985"/>
              <w:gridCol w:w="2847"/>
              <w:gridCol w:w="960"/>
              <w:gridCol w:w="1095"/>
              <w:gridCol w:w="1234"/>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61"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序号</w:t>
                  </w:r>
                </w:p>
              </w:tc>
              <w:tc>
                <w:tcPr>
                  <w:tcW w:w="198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构筑物名称</w:t>
                  </w:r>
                </w:p>
              </w:tc>
              <w:tc>
                <w:tcPr>
                  <w:tcW w:w="2847"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规格</w:t>
                  </w:r>
                </w:p>
              </w:tc>
              <w:tc>
                <w:tcPr>
                  <w:tcW w:w="960"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数量</w:t>
                  </w:r>
                </w:p>
              </w:tc>
              <w:tc>
                <w:tcPr>
                  <w:tcW w:w="109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单位</w:t>
                  </w:r>
                </w:p>
              </w:tc>
              <w:tc>
                <w:tcPr>
                  <w:tcW w:w="1234"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备注</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61"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w:t>
                  </w:r>
                </w:p>
              </w:tc>
              <w:tc>
                <w:tcPr>
                  <w:tcW w:w="198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预处理池</w:t>
                  </w:r>
                </w:p>
              </w:tc>
              <w:tc>
                <w:tcPr>
                  <w:tcW w:w="2847"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L×B×H=8.0m×2.5m×4.0m</w:t>
                  </w:r>
                </w:p>
              </w:tc>
              <w:tc>
                <w:tcPr>
                  <w:tcW w:w="960"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w:t>
                  </w:r>
                </w:p>
              </w:tc>
              <w:tc>
                <w:tcPr>
                  <w:tcW w:w="109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座</w:t>
                  </w:r>
                </w:p>
              </w:tc>
              <w:tc>
                <w:tcPr>
                  <w:tcW w:w="1234"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钢混结构</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61" w:type="dxa"/>
                  <w:vAlign w:val="center"/>
                </w:tcPr>
                <w:p>
                  <w:pPr>
                    <w:widowControl/>
                    <w:adjustRightInd w:val="0"/>
                    <w:snapToGrid w:val="0"/>
                    <w:jc w:val="center"/>
                    <w:rPr>
                      <w:rFonts w:asciiTheme="majorEastAsia" w:hAnsiTheme="majorEastAsia" w:eastAsiaTheme="majorEastAsia"/>
                      <w:color w:val="auto"/>
                      <w:kern w:val="0"/>
                      <w:szCs w:val="21"/>
                    </w:rPr>
                  </w:pPr>
                </w:p>
              </w:tc>
              <w:tc>
                <w:tcPr>
                  <w:tcW w:w="198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格栅井</w:t>
                  </w:r>
                </w:p>
              </w:tc>
              <w:tc>
                <w:tcPr>
                  <w:tcW w:w="2847" w:type="dxa"/>
                  <w:vAlign w:val="center"/>
                </w:tcPr>
                <w:p>
                  <w:pPr>
                    <w:widowControl/>
                    <w:adjustRightInd w:val="0"/>
                    <w:snapToGrid w:val="0"/>
                    <w:jc w:val="center"/>
                    <w:rPr>
                      <w:rFonts w:asciiTheme="majorEastAsia" w:hAnsiTheme="majorEastAsia" w:eastAsiaTheme="majorEastAsia"/>
                      <w:bCs/>
                      <w:color w:val="auto"/>
                      <w:spacing w:val="-6"/>
                      <w:kern w:val="0"/>
                      <w:szCs w:val="21"/>
                    </w:rPr>
                  </w:pPr>
                  <w:r>
                    <w:rPr>
                      <w:rFonts w:asciiTheme="majorEastAsia" w:hAnsiTheme="majorEastAsia" w:eastAsiaTheme="majorEastAsia"/>
                      <w:color w:val="auto"/>
                      <w:kern w:val="0"/>
                      <w:szCs w:val="21"/>
                    </w:rPr>
                    <w:t>L×B×H=8.0m×2.3m×4.0m</w:t>
                  </w:r>
                </w:p>
              </w:tc>
              <w:tc>
                <w:tcPr>
                  <w:tcW w:w="960"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w:t>
                  </w:r>
                </w:p>
              </w:tc>
              <w:tc>
                <w:tcPr>
                  <w:tcW w:w="109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座</w:t>
                  </w:r>
                </w:p>
              </w:tc>
              <w:tc>
                <w:tcPr>
                  <w:tcW w:w="1234"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钢混结构</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61" w:type="dxa"/>
                  <w:vAlign w:val="center"/>
                </w:tcPr>
                <w:p>
                  <w:pPr>
                    <w:widowControl/>
                    <w:adjustRightInd w:val="0"/>
                    <w:snapToGrid w:val="0"/>
                    <w:jc w:val="center"/>
                    <w:rPr>
                      <w:rFonts w:asciiTheme="majorEastAsia" w:hAnsiTheme="majorEastAsia" w:eastAsiaTheme="majorEastAsia"/>
                      <w:color w:val="auto"/>
                      <w:kern w:val="0"/>
                      <w:szCs w:val="21"/>
                    </w:rPr>
                  </w:pPr>
                </w:p>
              </w:tc>
              <w:tc>
                <w:tcPr>
                  <w:tcW w:w="198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调节池</w:t>
                  </w:r>
                </w:p>
              </w:tc>
              <w:tc>
                <w:tcPr>
                  <w:tcW w:w="2847" w:type="dxa"/>
                  <w:vAlign w:val="center"/>
                </w:tcPr>
                <w:p>
                  <w:pPr>
                    <w:widowControl/>
                    <w:adjustRightInd w:val="0"/>
                    <w:snapToGrid w:val="0"/>
                    <w:jc w:val="center"/>
                    <w:rPr>
                      <w:rFonts w:asciiTheme="majorEastAsia" w:hAnsiTheme="majorEastAsia" w:eastAsiaTheme="majorEastAsia"/>
                      <w:bCs/>
                      <w:color w:val="auto"/>
                      <w:spacing w:val="-6"/>
                      <w:kern w:val="0"/>
                      <w:szCs w:val="21"/>
                    </w:rPr>
                  </w:pPr>
                  <w:r>
                    <w:rPr>
                      <w:rFonts w:asciiTheme="majorEastAsia" w:hAnsiTheme="majorEastAsia" w:eastAsiaTheme="majorEastAsia"/>
                      <w:color w:val="auto"/>
                      <w:kern w:val="0"/>
                      <w:szCs w:val="21"/>
                    </w:rPr>
                    <w:t>L×B×H=8.0m×8.0m×4.0m</w:t>
                  </w:r>
                </w:p>
              </w:tc>
              <w:tc>
                <w:tcPr>
                  <w:tcW w:w="960"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w:t>
                  </w:r>
                </w:p>
              </w:tc>
              <w:tc>
                <w:tcPr>
                  <w:tcW w:w="109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座</w:t>
                  </w:r>
                </w:p>
              </w:tc>
              <w:tc>
                <w:tcPr>
                  <w:tcW w:w="1234"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钢混结构</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61" w:type="dxa"/>
                  <w:vAlign w:val="center"/>
                </w:tcPr>
                <w:p>
                  <w:pPr>
                    <w:widowControl/>
                    <w:adjustRightInd w:val="0"/>
                    <w:snapToGrid w:val="0"/>
                    <w:jc w:val="center"/>
                    <w:rPr>
                      <w:rFonts w:asciiTheme="majorEastAsia" w:hAnsiTheme="majorEastAsia" w:eastAsiaTheme="majorEastAsia"/>
                      <w:color w:val="auto"/>
                      <w:kern w:val="0"/>
                      <w:szCs w:val="21"/>
                    </w:rPr>
                  </w:pPr>
                </w:p>
              </w:tc>
              <w:tc>
                <w:tcPr>
                  <w:tcW w:w="198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设备基础</w:t>
                  </w:r>
                </w:p>
              </w:tc>
              <w:tc>
                <w:tcPr>
                  <w:tcW w:w="2847" w:type="dxa"/>
                  <w:vAlign w:val="center"/>
                </w:tcPr>
                <w:p>
                  <w:pPr>
                    <w:widowControl/>
                    <w:adjustRightInd w:val="0"/>
                    <w:snapToGrid w:val="0"/>
                    <w:jc w:val="center"/>
                    <w:rPr>
                      <w:rFonts w:asciiTheme="majorEastAsia" w:hAnsiTheme="majorEastAsia" w:eastAsiaTheme="majorEastAsia"/>
                      <w:bCs/>
                      <w:color w:val="auto"/>
                      <w:spacing w:val="-6"/>
                      <w:kern w:val="0"/>
                      <w:szCs w:val="21"/>
                    </w:rPr>
                  </w:pPr>
                  <w:r>
                    <w:rPr>
                      <w:rFonts w:asciiTheme="majorEastAsia" w:hAnsiTheme="majorEastAsia" w:eastAsiaTheme="majorEastAsia"/>
                      <w:color w:val="auto"/>
                      <w:kern w:val="0"/>
                      <w:szCs w:val="21"/>
                    </w:rPr>
                    <w:t>L×B×H=8.0m×3.0m×0.4m</w:t>
                  </w:r>
                </w:p>
              </w:tc>
              <w:tc>
                <w:tcPr>
                  <w:tcW w:w="960"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2</w:t>
                  </w:r>
                </w:p>
              </w:tc>
              <w:tc>
                <w:tcPr>
                  <w:tcW w:w="109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座</w:t>
                  </w:r>
                </w:p>
              </w:tc>
              <w:tc>
                <w:tcPr>
                  <w:tcW w:w="1234"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钢混结构</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61" w:type="dxa"/>
                  <w:vAlign w:val="center"/>
                </w:tcPr>
                <w:p>
                  <w:pPr>
                    <w:widowControl/>
                    <w:adjustRightInd w:val="0"/>
                    <w:snapToGrid w:val="0"/>
                    <w:jc w:val="center"/>
                    <w:rPr>
                      <w:rFonts w:asciiTheme="majorEastAsia" w:hAnsiTheme="majorEastAsia" w:eastAsiaTheme="majorEastAsia"/>
                      <w:color w:val="auto"/>
                      <w:kern w:val="0"/>
                      <w:szCs w:val="21"/>
                    </w:rPr>
                  </w:pPr>
                </w:p>
              </w:tc>
              <w:tc>
                <w:tcPr>
                  <w:tcW w:w="198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巴氏计量槽</w:t>
                  </w:r>
                </w:p>
              </w:tc>
              <w:tc>
                <w:tcPr>
                  <w:tcW w:w="2847" w:type="dxa"/>
                  <w:vAlign w:val="center"/>
                </w:tcPr>
                <w:p>
                  <w:pPr>
                    <w:widowControl/>
                    <w:adjustRightInd w:val="0"/>
                    <w:snapToGrid w:val="0"/>
                    <w:jc w:val="center"/>
                    <w:rPr>
                      <w:rFonts w:asciiTheme="majorEastAsia" w:hAnsiTheme="majorEastAsia" w:eastAsiaTheme="majorEastAsia"/>
                      <w:bCs/>
                      <w:color w:val="auto"/>
                      <w:spacing w:val="-6"/>
                      <w:kern w:val="0"/>
                      <w:szCs w:val="21"/>
                    </w:rPr>
                  </w:pPr>
                  <w:r>
                    <w:rPr>
                      <w:rFonts w:asciiTheme="majorEastAsia" w:hAnsiTheme="majorEastAsia" w:eastAsiaTheme="majorEastAsia"/>
                      <w:color w:val="auto"/>
                      <w:kern w:val="0"/>
                      <w:szCs w:val="21"/>
                    </w:rPr>
                    <w:t>L×B×H=1.5m×0.8m×1.8m</w:t>
                  </w:r>
                </w:p>
              </w:tc>
              <w:tc>
                <w:tcPr>
                  <w:tcW w:w="960"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w:t>
                  </w:r>
                </w:p>
              </w:tc>
              <w:tc>
                <w:tcPr>
                  <w:tcW w:w="109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座</w:t>
                  </w:r>
                </w:p>
              </w:tc>
              <w:tc>
                <w:tcPr>
                  <w:tcW w:w="1234"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砖混结构</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61" w:type="dxa"/>
                  <w:vAlign w:val="center"/>
                </w:tcPr>
                <w:p>
                  <w:pPr>
                    <w:widowControl/>
                    <w:adjustRightInd w:val="0"/>
                    <w:snapToGrid w:val="0"/>
                    <w:jc w:val="center"/>
                    <w:rPr>
                      <w:rFonts w:asciiTheme="majorEastAsia" w:hAnsiTheme="majorEastAsia" w:eastAsiaTheme="majorEastAsia"/>
                      <w:color w:val="auto"/>
                      <w:kern w:val="0"/>
                      <w:szCs w:val="21"/>
                    </w:rPr>
                  </w:pPr>
                </w:p>
              </w:tc>
              <w:tc>
                <w:tcPr>
                  <w:tcW w:w="198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管沟</w:t>
                  </w:r>
                </w:p>
              </w:tc>
              <w:tc>
                <w:tcPr>
                  <w:tcW w:w="2847" w:type="dxa"/>
                  <w:vAlign w:val="center"/>
                </w:tcPr>
                <w:p>
                  <w:pPr>
                    <w:widowControl/>
                    <w:adjustRightInd w:val="0"/>
                    <w:snapToGrid w:val="0"/>
                    <w:jc w:val="center"/>
                    <w:rPr>
                      <w:rFonts w:asciiTheme="majorEastAsia" w:hAnsiTheme="majorEastAsia" w:eastAsiaTheme="majorEastAsia"/>
                      <w:bCs/>
                      <w:color w:val="auto"/>
                      <w:spacing w:val="-6"/>
                      <w:kern w:val="0"/>
                      <w:szCs w:val="21"/>
                    </w:rPr>
                  </w:pPr>
                  <w:r>
                    <w:rPr>
                      <w:rFonts w:asciiTheme="majorEastAsia" w:hAnsiTheme="majorEastAsia" w:eastAsiaTheme="majorEastAsia"/>
                      <w:color w:val="auto"/>
                      <w:kern w:val="0"/>
                      <w:szCs w:val="21"/>
                    </w:rPr>
                    <w:t>L×B×H=20.0m×0.8m×1.8m</w:t>
                  </w:r>
                </w:p>
              </w:tc>
              <w:tc>
                <w:tcPr>
                  <w:tcW w:w="960"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w:t>
                  </w:r>
                </w:p>
              </w:tc>
              <w:tc>
                <w:tcPr>
                  <w:tcW w:w="109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座</w:t>
                  </w:r>
                </w:p>
              </w:tc>
              <w:tc>
                <w:tcPr>
                  <w:tcW w:w="1234"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砖混结构</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61" w:type="dxa"/>
                  <w:vAlign w:val="center"/>
                </w:tcPr>
                <w:p>
                  <w:pPr>
                    <w:widowControl/>
                    <w:adjustRightInd w:val="0"/>
                    <w:snapToGrid w:val="0"/>
                    <w:jc w:val="center"/>
                    <w:rPr>
                      <w:rFonts w:asciiTheme="majorEastAsia" w:hAnsiTheme="majorEastAsia" w:eastAsiaTheme="majorEastAsia"/>
                      <w:color w:val="auto"/>
                      <w:kern w:val="0"/>
                      <w:szCs w:val="21"/>
                    </w:rPr>
                  </w:pPr>
                </w:p>
              </w:tc>
              <w:tc>
                <w:tcPr>
                  <w:tcW w:w="198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设备间</w:t>
                  </w:r>
                </w:p>
              </w:tc>
              <w:tc>
                <w:tcPr>
                  <w:tcW w:w="2847" w:type="dxa"/>
                  <w:vAlign w:val="center"/>
                </w:tcPr>
                <w:p>
                  <w:pPr>
                    <w:widowControl/>
                    <w:adjustRightInd w:val="0"/>
                    <w:snapToGrid w:val="0"/>
                    <w:jc w:val="center"/>
                    <w:rPr>
                      <w:rFonts w:asciiTheme="majorEastAsia" w:hAnsiTheme="majorEastAsia" w:eastAsiaTheme="majorEastAsia"/>
                      <w:bCs/>
                      <w:color w:val="auto"/>
                      <w:spacing w:val="-6"/>
                      <w:kern w:val="0"/>
                      <w:szCs w:val="21"/>
                    </w:rPr>
                  </w:pPr>
                  <w:r>
                    <w:rPr>
                      <w:rFonts w:asciiTheme="majorEastAsia" w:hAnsiTheme="majorEastAsia" w:eastAsiaTheme="majorEastAsia"/>
                      <w:color w:val="auto"/>
                      <w:kern w:val="0"/>
                      <w:szCs w:val="21"/>
                    </w:rPr>
                    <w:t>L×B×H=8.0m×5.0m×4.5m</w:t>
                  </w:r>
                </w:p>
              </w:tc>
              <w:tc>
                <w:tcPr>
                  <w:tcW w:w="960"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w:t>
                  </w:r>
                </w:p>
              </w:tc>
              <w:tc>
                <w:tcPr>
                  <w:tcW w:w="109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座</w:t>
                  </w:r>
                </w:p>
              </w:tc>
              <w:tc>
                <w:tcPr>
                  <w:tcW w:w="1234"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砖混结构</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61" w:type="dxa"/>
                  <w:vAlign w:val="center"/>
                </w:tcPr>
                <w:p>
                  <w:pPr>
                    <w:widowControl/>
                    <w:adjustRightInd w:val="0"/>
                    <w:snapToGrid w:val="0"/>
                    <w:jc w:val="center"/>
                    <w:rPr>
                      <w:rFonts w:asciiTheme="majorEastAsia" w:hAnsiTheme="majorEastAsia" w:eastAsiaTheme="majorEastAsia"/>
                      <w:color w:val="auto"/>
                      <w:kern w:val="0"/>
                      <w:szCs w:val="21"/>
                    </w:rPr>
                  </w:pPr>
                </w:p>
              </w:tc>
              <w:tc>
                <w:tcPr>
                  <w:tcW w:w="198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管理用房</w:t>
                  </w:r>
                </w:p>
              </w:tc>
              <w:tc>
                <w:tcPr>
                  <w:tcW w:w="2847" w:type="dxa"/>
                  <w:vAlign w:val="center"/>
                </w:tcPr>
                <w:p>
                  <w:pPr>
                    <w:widowControl/>
                    <w:adjustRightInd w:val="0"/>
                    <w:snapToGrid w:val="0"/>
                    <w:jc w:val="center"/>
                    <w:rPr>
                      <w:rFonts w:asciiTheme="majorEastAsia" w:hAnsiTheme="majorEastAsia" w:eastAsiaTheme="majorEastAsia"/>
                      <w:bCs/>
                      <w:color w:val="auto"/>
                      <w:spacing w:val="-6"/>
                      <w:kern w:val="0"/>
                      <w:szCs w:val="21"/>
                    </w:rPr>
                  </w:pPr>
                  <w:r>
                    <w:rPr>
                      <w:rFonts w:asciiTheme="majorEastAsia" w:hAnsiTheme="majorEastAsia" w:eastAsiaTheme="majorEastAsia"/>
                      <w:color w:val="auto"/>
                      <w:kern w:val="0"/>
                      <w:szCs w:val="21"/>
                    </w:rPr>
                    <w:t>30m</w:t>
                  </w:r>
                  <w:r>
                    <w:rPr>
                      <w:rFonts w:asciiTheme="majorEastAsia" w:hAnsiTheme="majorEastAsia" w:eastAsiaTheme="majorEastAsia"/>
                      <w:color w:val="auto"/>
                      <w:kern w:val="0"/>
                      <w:szCs w:val="21"/>
                      <w:vertAlign w:val="superscript"/>
                    </w:rPr>
                    <w:t>2</w:t>
                  </w:r>
                </w:p>
              </w:tc>
              <w:tc>
                <w:tcPr>
                  <w:tcW w:w="960"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w:t>
                  </w:r>
                </w:p>
              </w:tc>
              <w:tc>
                <w:tcPr>
                  <w:tcW w:w="109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座</w:t>
                  </w:r>
                </w:p>
              </w:tc>
              <w:tc>
                <w:tcPr>
                  <w:tcW w:w="1234"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框架结构</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61" w:type="dxa"/>
                  <w:vAlign w:val="center"/>
                </w:tcPr>
                <w:p>
                  <w:pPr>
                    <w:widowControl/>
                    <w:adjustRightInd w:val="0"/>
                    <w:snapToGrid w:val="0"/>
                    <w:jc w:val="center"/>
                    <w:rPr>
                      <w:rFonts w:asciiTheme="majorEastAsia" w:hAnsiTheme="majorEastAsia" w:eastAsiaTheme="majorEastAsia"/>
                      <w:color w:val="auto"/>
                      <w:kern w:val="0"/>
                      <w:szCs w:val="21"/>
                    </w:rPr>
                  </w:pPr>
                </w:p>
              </w:tc>
              <w:tc>
                <w:tcPr>
                  <w:tcW w:w="198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储泥池</w:t>
                  </w:r>
                </w:p>
              </w:tc>
              <w:tc>
                <w:tcPr>
                  <w:tcW w:w="2847" w:type="dxa"/>
                  <w:vAlign w:val="center"/>
                </w:tcPr>
                <w:p>
                  <w:pPr>
                    <w:widowControl/>
                    <w:adjustRightInd w:val="0"/>
                    <w:snapToGrid w:val="0"/>
                    <w:jc w:val="center"/>
                    <w:rPr>
                      <w:rFonts w:asciiTheme="majorEastAsia" w:hAnsiTheme="majorEastAsia" w:eastAsiaTheme="majorEastAsia"/>
                      <w:bCs/>
                      <w:color w:val="auto"/>
                      <w:spacing w:val="-6"/>
                      <w:kern w:val="0"/>
                      <w:szCs w:val="21"/>
                    </w:rPr>
                  </w:pPr>
                  <w:r>
                    <w:rPr>
                      <w:rFonts w:asciiTheme="majorEastAsia" w:hAnsiTheme="majorEastAsia" w:eastAsiaTheme="majorEastAsia"/>
                      <w:color w:val="auto"/>
                      <w:kern w:val="0"/>
                      <w:szCs w:val="21"/>
                    </w:rPr>
                    <w:t>L×B×H=2.5m×2.5m×5.0m</w:t>
                  </w:r>
                </w:p>
              </w:tc>
              <w:tc>
                <w:tcPr>
                  <w:tcW w:w="960"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w:t>
                  </w:r>
                </w:p>
              </w:tc>
              <w:tc>
                <w:tcPr>
                  <w:tcW w:w="109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座</w:t>
                  </w:r>
                </w:p>
              </w:tc>
              <w:tc>
                <w:tcPr>
                  <w:tcW w:w="1234"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砖混结构</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61" w:type="dxa"/>
                  <w:vAlign w:val="center"/>
                </w:tcPr>
                <w:p>
                  <w:pPr>
                    <w:widowControl/>
                    <w:adjustRightInd w:val="0"/>
                    <w:snapToGrid w:val="0"/>
                    <w:jc w:val="center"/>
                    <w:rPr>
                      <w:rFonts w:asciiTheme="majorEastAsia" w:hAnsiTheme="majorEastAsia" w:eastAsiaTheme="majorEastAsia"/>
                      <w:color w:val="auto"/>
                      <w:kern w:val="0"/>
                      <w:szCs w:val="21"/>
                    </w:rPr>
                  </w:pPr>
                </w:p>
              </w:tc>
              <w:tc>
                <w:tcPr>
                  <w:tcW w:w="198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钢化玻璃罩</w:t>
                  </w:r>
                </w:p>
              </w:tc>
              <w:tc>
                <w:tcPr>
                  <w:tcW w:w="2847" w:type="dxa"/>
                  <w:vAlign w:val="center"/>
                </w:tcPr>
                <w:p>
                  <w:pPr>
                    <w:widowControl/>
                    <w:adjustRightInd w:val="0"/>
                    <w:snapToGrid w:val="0"/>
                    <w:jc w:val="center"/>
                    <w:rPr>
                      <w:rFonts w:asciiTheme="majorEastAsia" w:hAnsiTheme="majorEastAsia" w:eastAsiaTheme="majorEastAsia"/>
                      <w:bCs/>
                      <w:color w:val="auto"/>
                      <w:spacing w:val="-6"/>
                      <w:kern w:val="0"/>
                      <w:szCs w:val="21"/>
                    </w:rPr>
                  </w:pPr>
                  <w:r>
                    <w:rPr>
                      <w:rFonts w:asciiTheme="majorEastAsia" w:hAnsiTheme="majorEastAsia" w:eastAsiaTheme="majorEastAsia"/>
                      <w:color w:val="auto"/>
                      <w:kern w:val="0"/>
                      <w:szCs w:val="21"/>
                    </w:rPr>
                    <w:t>L×B=3.0m×3.0m</w:t>
                  </w:r>
                </w:p>
              </w:tc>
              <w:tc>
                <w:tcPr>
                  <w:tcW w:w="960"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w:t>
                  </w:r>
                </w:p>
              </w:tc>
              <w:tc>
                <w:tcPr>
                  <w:tcW w:w="109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个</w:t>
                  </w:r>
                </w:p>
              </w:tc>
              <w:tc>
                <w:tcPr>
                  <w:tcW w:w="1234"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成品</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61" w:type="dxa"/>
                  <w:vAlign w:val="center"/>
                </w:tcPr>
                <w:p>
                  <w:pPr>
                    <w:widowControl/>
                    <w:adjustRightInd w:val="0"/>
                    <w:snapToGrid w:val="0"/>
                    <w:jc w:val="center"/>
                    <w:rPr>
                      <w:rFonts w:asciiTheme="majorEastAsia" w:hAnsiTheme="majorEastAsia" w:eastAsiaTheme="majorEastAsia"/>
                      <w:color w:val="auto"/>
                      <w:kern w:val="0"/>
                      <w:szCs w:val="21"/>
                    </w:rPr>
                  </w:pPr>
                </w:p>
              </w:tc>
              <w:tc>
                <w:tcPr>
                  <w:tcW w:w="198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水质检测系统</w:t>
                  </w:r>
                </w:p>
              </w:tc>
              <w:tc>
                <w:tcPr>
                  <w:tcW w:w="2847" w:type="dxa"/>
                  <w:vAlign w:val="center"/>
                </w:tcPr>
                <w:p>
                  <w:pPr>
                    <w:widowControl/>
                    <w:adjustRightInd w:val="0"/>
                    <w:snapToGrid w:val="0"/>
                    <w:jc w:val="center"/>
                    <w:rPr>
                      <w:rFonts w:asciiTheme="majorEastAsia" w:hAnsiTheme="majorEastAsia" w:eastAsiaTheme="majorEastAsia"/>
                      <w:bCs/>
                      <w:color w:val="auto"/>
                      <w:spacing w:val="-6"/>
                      <w:kern w:val="0"/>
                      <w:szCs w:val="21"/>
                    </w:rPr>
                  </w:pPr>
                  <w:r>
                    <w:rPr>
                      <w:rFonts w:asciiTheme="majorEastAsia" w:hAnsiTheme="majorEastAsia" w:eastAsiaTheme="majorEastAsia"/>
                      <w:color w:val="auto"/>
                      <w:kern w:val="0"/>
                      <w:szCs w:val="21"/>
                    </w:rPr>
                    <w:t>/</w:t>
                  </w:r>
                </w:p>
              </w:tc>
              <w:tc>
                <w:tcPr>
                  <w:tcW w:w="960"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w:t>
                  </w:r>
                </w:p>
              </w:tc>
              <w:tc>
                <w:tcPr>
                  <w:tcW w:w="109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套</w:t>
                  </w:r>
                </w:p>
              </w:tc>
              <w:tc>
                <w:tcPr>
                  <w:tcW w:w="1234"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成套设备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61" w:type="dxa"/>
                  <w:vAlign w:val="center"/>
                </w:tcPr>
                <w:p>
                  <w:pPr>
                    <w:widowControl/>
                    <w:adjustRightInd w:val="0"/>
                    <w:snapToGrid w:val="0"/>
                    <w:jc w:val="center"/>
                    <w:rPr>
                      <w:rFonts w:asciiTheme="majorEastAsia" w:hAnsiTheme="majorEastAsia" w:eastAsiaTheme="majorEastAsia"/>
                      <w:color w:val="auto"/>
                      <w:kern w:val="0"/>
                      <w:szCs w:val="21"/>
                    </w:rPr>
                  </w:pPr>
                </w:p>
              </w:tc>
              <w:tc>
                <w:tcPr>
                  <w:tcW w:w="198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消毒系统</w:t>
                  </w:r>
                </w:p>
              </w:tc>
              <w:tc>
                <w:tcPr>
                  <w:tcW w:w="2847" w:type="dxa"/>
                  <w:vAlign w:val="center"/>
                </w:tcPr>
                <w:p>
                  <w:pPr>
                    <w:widowControl/>
                    <w:adjustRightInd w:val="0"/>
                    <w:snapToGrid w:val="0"/>
                    <w:jc w:val="center"/>
                    <w:rPr>
                      <w:rFonts w:asciiTheme="majorEastAsia" w:hAnsiTheme="majorEastAsia" w:eastAsiaTheme="majorEastAsia"/>
                      <w:bCs/>
                      <w:color w:val="auto"/>
                      <w:spacing w:val="-6"/>
                      <w:kern w:val="0"/>
                      <w:szCs w:val="21"/>
                    </w:rPr>
                  </w:pPr>
                  <w:r>
                    <w:rPr>
                      <w:rFonts w:asciiTheme="majorEastAsia" w:hAnsiTheme="majorEastAsia" w:eastAsiaTheme="majorEastAsia"/>
                      <w:bCs/>
                      <w:color w:val="auto"/>
                      <w:spacing w:val="-6"/>
                      <w:kern w:val="0"/>
                      <w:szCs w:val="21"/>
                    </w:rPr>
                    <w:t>消毒剂：次氯酸钠原液</w:t>
                  </w:r>
                </w:p>
              </w:tc>
              <w:tc>
                <w:tcPr>
                  <w:tcW w:w="960"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w:t>
                  </w:r>
                </w:p>
              </w:tc>
              <w:tc>
                <w:tcPr>
                  <w:tcW w:w="1095"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套</w:t>
                  </w:r>
                </w:p>
              </w:tc>
              <w:tc>
                <w:tcPr>
                  <w:tcW w:w="1234"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成套设备</w:t>
                  </w:r>
                </w:p>
              </w:tc>
            </w:tr>
          </w:tbl>
          <w:p>
            <w:pPr>
              <w:adjustRightInd w:val="0"/>
              <w:snapToGrid w:val="0"/>
              <w:spacing w:line="360" w:lineRule="auto"/>
              <w:ind w:firstLine="498" w:firstLineChars="200"/>
              <w:rPr>
                <w:rFonts w:asciiTheme="majorEastAsia" w:hAnsiTheme="majorEastAsia" w:eastAsiaTheme="majorEastAsia"/>
                <w:b/>
                <w:color w:val="auto"/>
                <w:spacing w:val="4"/>
                <w:sz w:val="24"/>
              </w:rPr>
            </w:pPr>
            <w:r>
              <w:rPr>
                <w:rFonts w:asciiTheme="majorEastAsia" w:hAnsiTheme="majorEastAsia" w:eastAsiaTheme="majorEastAsia"/>
                <w:b/>
                <w:color w:val="auto"/>
                <w:spacing w:val="4"/>
                <w:sz w:val="24"/>
              </w:rPr>
              <w:t>7.4本工程主要设备</w:t>
            </w:r>
          </w:p>
          <w:p>
            <w:pPr>
              <w:adjustRightInd w:val="0"/>
              <w:snapToGrid w:val="0"/>
              <w:spacing w:line="360" w:lineRule="auto"/>
              <w:ind w:firstLine="496" w:firstLineChars="200"/>
              <w:rPr>
                <w:rFonts w:asciiTheme="majorEastAsia" w:hAnsiTheme="majorEastAsia" w:eastAsiaTheme="majorEastAsia"/>
                <w:color w:val="auto"/>
                <w:spacing w:val="4"/>
                <w:sz w:val="24"/>
              </w:rPr>
            </w:pPr>
            <w:r>
              <w:rPr>
                <w:rFonts w:asciiTheme="majorEastAsia" w:hAnsiTheme="majorEastAsia" w:eastAsiaTheme="majorEastAsia"/>
                <w:color w:val="auto"/>
                <w:spacing w:val="4"/>
                <w:sz w:val="24"/>
              </w:rPr>
              <w:t>本项目主要生产设备详见表4，</w:t>
            </w:r>
            <w:r>
              <w:rPr>
                <w:rFonts w:asciiTheme="majorEastAsia" w:hAnsiTheme="majorEastAsia" w:eastAsiaTheme="majorEastAsia"/>
                <w:color w:val="auto"/>
                <w:sz w:val="24"/>
              </w:rPr>
              <w:t>主要经济技术指标</w:t>
            </w:r>
            <w:r>
              <w:rPr>
                <w:rFonts w:asciiTheme="majorEastAsia" w:hAnsiTheme="majorEastAsia" w:eastAsiaTheme="majorEastAsia"/>
                <w:color w:val="auto"/>
                <w:spacing w:val="4"/>
                <w:sz w:val="24"/>
              </w:rPr>
              <w:t>见表5。</w:t>
            </w:r>
          </w:p>
          <w:p>
            <w:pPr>
              <w:adjustRightInd w:val="0"/>
              <w:snapToGrid w:val="0"/>
              <w:spacing w:line="360" w:lineRule="auto"/>
              <w:ind w:firstLine="482" w:firstLineChars="200"/>
              <w:jc w:val="center"/>
              <w:rPr>
                <w:rFonts w:asciiTheme="majorEastAsia" w:hAnsiTheme="majorEastAsia" w:eastAsiaTheme="majorEastAsia"/>
                <w:b/>
                <w:bCs/>
                <w:color w:val="auto"/>
                <w:sz w:val="24"/>
              </w:rPr>
            </w:pPr>
            <w:r>
              <w:rPr>
                <w:rFonts w:asciiTheme="majorEastAsia" w:hAnsiTheme="majorEastAsia" w:eastAsiaTheme="majorEastAsia"/>
                <w:b/>
                <w:bCs/>
                <w:color w:val="auto"/>
                <w:sz w:val="24"/>
              </w:rPr>
              <w:t>表4本项目生产设备一览表</w:t>
            </w:r>
          </w:p>
          <w:bookmarkEnd w:id="0"/>
          <w:bookmarkEnd w:id="1"/>
          <w:bookmarkEnd w:id="2"/>
          <w:tbl>
            <w:tblPr>
              <w:tblStyle w:val="39"/>
              <w:tblW w:w="9351"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49"/>
              <w:gridCol w:w="1745"/>
              <w:gridCol w:w="752"/>
              <w:gridCol w:w="752"/>
              <w:gridCol w:w="4107"/>
              <w:gridCol w:w="1246"/>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 w:hRule="atLeast"/>
                <w:jc w:val="center"/>
              </w:trPr>
              <w:tc>
                <w:tcPr>
                  <w:tcW w:w="749"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序号</w:t>
                  </w:r>
                </w:p>
              </w:tc>
              <w:tc>
                <w:tcPr>
                  <w:tcW w:w="1745"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设备名称</w:t>
                  </w:r>
                </w:p>
              </w:tc>
              <w:tc>
                <w:tcPr>
                  <w:tcW w:w="75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数量</w:t>
                  </w:r>
                </w:p>
              </w:tc>
              <w:tc>
                <w:tcPr>
                  <w:tcW w:w="75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单位</w:t>
                  </w:r>
                </w:p>
              </w:tc>
              <w:tc>
                <w:tcPr>
                  <w:tcW w:w="410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规格参数</w:t>
                  </w:r>
                </w:p>
              </w:tc>
              <w:tc>
                <w:tcPr>
                  <w:tcW w:w="124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备注</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 w:hRule="atLeast"/>
                <w:jc w:val="center"/>
              </w:trPr>
              <w:tc>
                <w:tcPr>
                  <w:tcW w:w="749"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1</w:t>
                  </w:r>
                </w:p>
              </w:tc>
              <w:tc>
                <w:tcPr>
                  <w:tcW w:w="1745"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人工格栅</w:t>
                  </w:r>
                </w:p>
              </w:tc>
              <w:tc>
                <w:tcPr>
                  <w:tcW w:w="75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1</w:t>
                  </w:r>
                </w:p>
              </w:tc>
              <w:tc>
                <w:tcPr>
                  <w:tcW w:w="75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台</w:t>
                  </w:r>
                </w:p>
              </w:tc>
              <w:tc>
                <w:tcPr>
                  <w:tcW w:w="410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B=900mm   栅隙：10mm</w:t>
                  </w:r>
                </w:p>
              </w:tc>
              <w:tc>
                <w:tcPr>
                  <w:tcW w:w="1246" w:type="dxa"/>
                  <w:vAlign w:val="center"/>
                </w:tcPr>
                <w:p>
                  <w:pPr>
                    <w:adjustRightInd w:val="0"/>
                    <w:snapToGrid w:val="0"/>
                    <w:jc w:val="center"/>
                    <w:rPr>
                      <w:rFonts w:asciiTheme="majorEastAsia" w:hAnsiTheme="majorEastAsia" w:eastAsiaTheme="maj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 w:hRule="atLeast"/>
                <w:jc w:val="center"/>
              </w:trPr>
              <w:tc>
                <w:tcPr>
                  <w:tcW w:w="749"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2</w:t>
                  </w:r>
                </w:p>
              </w:tc>
              <w:tc>
                <w:tcPr>
                  <w:tcW w:w="1745"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人工格栅</w:t>
                  </w:r>
                </w:p>
              </w:tc>
              <w:tc>
                <w:tcPr>
                  <w:tcW w:w="75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2</w:t>
                  </w:r>
                </w:p>
              </w:tc>
              <w:tc>
                <w:tcPr>
                  <w:tcW w:w="75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台</w:t>
                  </w:r>
                </w:p>
              </w:tc>
              <w:tc>
                <w:tcPr>
                  <w:tcW w:w="410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B=900mm   栅隙：2mm</w:t>
                  </w:r>
                </w:p>
              </w:tc>
              <w:tc>
                <w:tcPr>
                  <w:tcW w:w="1246" w:type="dxa"/>
                  <w:vAlign w:val="center"/>
                </w:tcPr>
                <w:p>
                  <w:pPr>
                    <w:adjustRightInd w:val="0"/>
                    <w:snapToGrid w:val="0"/>
                    <w:jc w:val="center"/>
                    <w:rPr>
                      <w:rFonts w:asciiTheme="majorEastAsia" w:hAnsiTheme="majorEastAsia" w:eastAsiaTheme="maj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 w:hRule="atLeast"/>
                <w:jc w:val="center"/>
              </w:trPr>
              <w:tc>
                <w:tcPr>
                  <w:tcW w:w="749"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3</w:t>
                  </w:r>
                </w:p>
              </w:tc>
              <w:tc>
                <w:tcPr>
                  <w:tcW w:w="1745"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机械格栅</w:t>
                  </w:r>
                </w:p>
              </w:tc>
              <w:tc>
                <w:tcPr>
                  <w:tcW w:w="75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1</w:t>
                  </w:r>
                </w:p>
              </w:tc>
              <w:tc>
                <w:tcPr>
                  <w:tcW w:w="75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台</w:t>
                  </w:r>
                </w:p>
              </w:tc>
              <w:tc>
                <w:tcPr>
                  <w:tcW w:w="410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B=900mm  N=1.1KW 栅隙：10mm</w:t>
                  </w:r>
                </w:p>
              </w:tc>
              <w:tc>
                <w:tcPr>
                  <w:tcW w:w="1246" w:type="dxa"/>
                  <w:vAlign w:val="center"/>
                </w:tcPr>
                <w:p>
                  <w:pPr>
                    <w:adjustRightInd w:val="0"/>
                    <w:snapToGrid w:val="0"/>
                    <w:jc w:val="center"/>
                    <w:rPr>
                      <w:rFonts w:asciiTheme="majorEastAsia" w:hAnsiTheme="majorEastAsia" w:eastAsiaTheme="maj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 w:hRule="atLeast"/>
                <w:jc w:val="center"/>
              </w:trPr>
              <w:tc>
                <w:tcPr>
                  <w:tcW w:w="749"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4</w:t>
                  </w:r>
                </w:p>
              </w:tc>
              <w:tc>
                <w:tcPr>
                  <w:tcW w:w="1745"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加药设置</w:t>
                  </w:r>
                </w:p>
              </w:tc>
              <w:tc>
                <w:tcPr>
                  <w:tcW w:w="75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2</w:t>
                  </w:r>
                </w:p>
              </w:tc>
              <w:tc>
                <w:tcPr>
                  <w:tcW w:w="75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套</w:t>
                  </w:r>
                </w:p>
              </w:tc>
              <w:tc>
                <w:tcPr>
                  <w:tcW w:w="410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N=1.2KW</w:t>
                  </w:r>
                </w:p>
              </w:tc>
              <w:tc>
                <w:tcPr>
                  <w:tcW w:w="1246" w:type="dxa"/>
                  <w:vAlign w:val="center"/>
                </w:tcPr>
                <w:p>
                  <w:pPr>
                    <w:adjustRightInd w:val="0"/>
                    <w:snapToGrid w:val="0"/>
                    <w:jc w:val="center"/>
                    <w:rPr>
                      <w:rFonts w:asciiTheme="majorEastAsia" w:hAnsiTheme="majorEastAsia" w:eastAsiaTheme="maj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 w:hRule="atLeast"/>
                <w:jc w:val="center"/>
              </w:trPr>
              <w:tc>
                <w:tcPr>
                  <w:tcW w:w="749"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5</w:t>
                  </w:r>
                </w:p>
              </w:tc>
              <w:tc>
                <w:tcPr>
                  <w:tcW w:w="1745"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提升泵</w:t>
                  </w:r>
                </w:p>
              </w:tc>
              <w:tc>
                <w:tcPr>
                  <w:tcW w:w="75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2</w:t>
                  </w:r>
                </w:p>
              </w:tc>
              <w:tc>
                <w:tcPr>
                  <w:tcW w:w="75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台</w:t>
                  </w:r>
                </w:p>
              </w:tc>
              <w:tc>
                <w:tcPr>
                  <w:tcW w:w="410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Q=10m</w:t>
                  </w:r>
                  <w:r>
                    <w:rPr>
                      <w:rFonts w:asciiTheme="majorEastAsia" w:hAnsiTheme="majorEastAsia" w:eastAsiaTheme="majorEastAsia"/>
                      <w:color w:val="auto"/>
                      <w:szCs w:val="21"/>
                      <w:vertAlign w:val="superscript"/>
                    </w:rPr>
                    <w:t>3</w:t>
                  </w:r>
                  <w:r>
                    <w:rPr>
                      <w:rFonts w:asciiTheme="majorEastAsia" w:hAnsiTheme="majorEastAsia" w:eastAsiaTheme="majorEastAsia"/>
                      <w:color w:val="auto"/>
                      <w:szCs w:val="21"/>
                    </w:rPr>
                    <w:t>/h  H=10m  N=0.75KW</w:t>
                  </w:r>
                </w:p>
              </w:tc>
              <w:tc>
                <w:tcPr>
                  <w:tcW w:w="124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一用一备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 w:hRule="atLeast"/>
                <w:jc w:val="center"/>
              </w:trPr>
              <w:tc>
                <w:tcPr>
                  <w:tcW w:w="749"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6</w:t>
                  </w:r>
                </w:p>
              </w:tc>
              <w:tc>
                <w:tcPr>
                  <w:tcW w:w="1745"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风机</w:t>
                  </w:r>
                </w:p>
              </w:tc>
              <w:tc>
                <w:tcPr>
                  <w:tcW w:w="75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2</w:t>
                  </w:r>
                </w:p>
              </w:tc>
              <w:tc>
                <w:tcPr>
                  <w:tcW w:w="75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台</w:t>
                  </w:r>
                </w:p>
              </w:tc>
              <w:tc>
                <w:tcPr>
                  <w:tcW w:w="410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Q=2.1m</w:t>
                  </w:r>
                  <w:r>
                    <w:rPr>
                      <w:rFonts w:asciiTheme="majorEastAsia" w:hAnsiTheme="majorEastAsia" w:eastAsiaTheme="majorEastAsia"/>
                      <w:color w:val="auto"/>
                      <w:szCs w:val="21"/>
                      <w:vertAlign w:val="superscript"/>
                    </w:rPr>
                    <w:t>3</w:t>
                  </w:r>
                  <w:r>
                    <w:rPr>
                      <w:rFonts w:asciiTheme="majorEastAsia" w:hAnsiTheme="majorEastAsia" w:eastAsiaTheme="majorEastAsia"/>
                      <w:color w:val="auto"/>
                      <w:szCs w:val="21"/>
                    </w:rPr>
                    <w:t>/min  N=2.2KW</w:t>
                  </w:r>
                </w:p>
              </w:tc>
              <w:tc>
                <w:tcPr>
                  <w:tcW w:w="124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一用一备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 w:hRule="atLeast"/>
                <w:jc w:val="center"/>
              </w:trPr>
              <w:tc>
                <w:tcPr>
                  <w:tcW w:w="749"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7</w:t>
                  </w:r>
                </w:p>
              </w:tc>
              <w:tc>
                <w:tcPr>
                  <w:tcW w:w="1745"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启闭机及闸门</w:t>
                  </w:r>
                </w:p>
              </w:tc>
              <w:tc>
                <w:tcPr>
                  <w:tcW w:w="75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2</w:t>
                  </w:r>
                </w:p>
              </w:tc>
              <w:tc>
                <w:tcPr>
                  <w:tcW w:w="75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套</w:t>
                  </w:r>
                </w:p>
              </w:tc>
              <w:tc>
                <w:tcPr>
                  <w:tcW w:w="410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kern w:val="0"/>
                      <w:szCs w:val="21"/>
                    </w:rPr>
                    <w:t>L×B=500mm×500mm</w:t>
                  </w:r>
                </w:p>
              </w:tc>
              <w:tc>
                <w:tcPr>
                  <w:tcW w:w="1246" w:type="dxa"/>
                  <w:vAlign w:val="center"/>
                </w:tcPr>
                <w:p>
                  <w:pPr>
                    <w:adjustRightInd w:val="0"/>
                    <w:snapToGrid w:val="0"/>
                    <w:jc w:val="center"/>
                    <w:rPr>
                      <w:rFonts w:asciiTheme="majorEastAsia" w:hAnsiTheme="majorEastAsia" w:eastAsiaTheme="maj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 w:hRule="atLeast"/>
                <w:jc w:val="center"/>
              </w:trPr>
              <w:tc>
                <w:tcPr>
                  <w:tcW w:w="749"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8</w:t>
                  </w:r>
                </w:p>
              </w:tc>
              <w:tc>
                <w:tcPr>
                  <w:tcW w:w="1745"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紫外消毒设置</w:t>
                  </w:r>
                </w:p>
              </w:tc>
              <w:tc>
                <w:tcPr>
                  <w:tcW w:w="75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1</w:t>
                  </w:r>
                </w:p>
              </w:tc>
              <w:tc>
                <w:tcPr>
                  <w:tcW w:w="75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套</w:t>
                  </w:r>
                </w:p>
              </w:tc>
              <w:tc>
                <w:tcPr>
                  <w:tcW w:w="410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Q=20m</w:t>
                  </w:r>
                  <w:r>
                    <w:rPr>
                      <w:rFonts w:asciiTheme="majorEastAsia" w:hAnsiTheme="majorEastAsia" w:eastAsiaTheme="majorEastAsia"/>
                      <w:color w:val="auto"/>
                      <w:szCs w:val="21"/>
                      <w:vertAlign w:val="superscript"/>
                    </w:rPr>
                    <w:t>3</w:t>
                  </w:r>
                  <w:r>
                    <w:rPr>
                      <w:rFonts w:asciiTheme="majorEastAsia" w:hAnsiTheme="majorEastAsia" w:eastAsiaTheme="majorEastAsia"/>
                      <w:color w:val="auto"/>
                      <w:szCs w:val="21"/>
                    </w:rPr>
                    <w:t>/h  N=0.24KW</w:t>
                  </w:r>
                </w:p>
              </w:tc>
              <w:tc>
                <w:tcPr>
                  <w:tcW w:w="1246" w:type="dxa"/>
                  <w:vAlign w:val="center"/>
                </w:tcPr>
                <w:p>
                  <w:pPr>
                    <w:adjustRightInd w:val="0"/>
                    <w:snapToGrid w:val="0"/>
                    <w:jc w:val="center"/>
                    <w:rPr>
                      <w:rFonts w:asciiTheme="majorEastAsia" w:hAnsiTheme="majorEastAsia" w:eastAsiaTheme="maj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 w:hRule="atLeast"/>
                <w:jc w:val="center"/>
              </w:trPr>
              <w:tc>
                <w:tcPr>
                  <w:tcW w:w="749"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9</w:t>
                  </w:r>
                </w:p>
              </w:tc>
              <w:tc>
                <w:tcPr>
                  <w:tcW w:w="1745"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双曲面搅拌器</w:t>
                  </w:r>
                </w:p>
              </w:tc>
              <w:tc>
                <w:tcPr>
                  <w:tcW w:w="75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1</w:t>
                  </w:r>
                </w:p>
              </w:tc>
              <w:tc>
                <w:tcPr>
                  <w:tcW w:w="75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套</w:t>
                  </w:r>
                </w:p>
              </w:tc>
              <w:tc>
                <w:tcPr>
                  <w:tcW w:w="410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D=1.5m  N=3.0KW</w:t>
                  </w:r>
                </w:p>
              </w:tc>
              <w:tc>
                <w:tcPr>
                  <w:tcW w:w="1246" w:type="dxa"/>
                  <w:vAlign w:val="center"/>
                </w:tcPr>
                <w:p>
                  <w:pPr>
                    <w:adjustRightInd w:val="0"/>
                    <w:snapToGrid w:val="0"/>
                    <w:jc w:val="center"/>
                    <w:rPr>
                      <w:rFonts w:asciiTheme="majorEastAsia" w:hAnsiTheme="majorEastAsia" w:eastAsiaTheme="maj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 w:hRule="atLeast"/>
                <w:jc w:val="center"/>
              </w:trPr>
              <w:tc>
                <w:tcPr>
                  <w:tcW w:w="749"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10</w:t>
                  </w:r>
                </w:p>
              </w:tc>
              <w:tc>
                <w:tcPr>
                  <w:tcW w:w="1745"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配套管阀</w:t>
                  </w:r>
                </w:p>
              </w:tc>
              <w:tc>
                <w:tcPr>
                  <w:tcW w:w="75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1</w:t>
                  </w:r>
                </w:p>
              </w:tc>
              <w:tc>
                <w:tcPr>
                  <w:tcW w:w="75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套</w:t>
                  </w:r>
                </w:p>
              </w:tc>
              <w:tc>
                <w:tcPr>
                  <w:tcW w:w="4107" w:type="dxa"/>
                  <w:vAlign w:val="center"/>
                </w:tcPr>
                <w:p>
                  <w:pPr>
                    <w:adjustRightInd w:val="0"/>
                    <w:snapToGrid w:val="0"/>
                    <w:jc w:val="center"/>
                    <w:rPr>
                      <w:rFonts w:asciiTheme="majorEastAsia" w:hAnsiTheme="majorEastAsia" w:eastAsiaTheme="majorEastAsia"/>
                      <w:color w:val="auto"/>
                      <w:szCs w:val="21"/>
                    </w:rPr>
                  </w:pPr>
                </w:p>
              </w:tc>
              <w:tc>
                <w:tcPr>
                  <w:tcW w:w="1246" w:type="dxa"/>
                  <w:vAlign w:val="center"/>
                </w:tcPr>
                <w:p>
                  <w:pPr>
                    <w:adjustRightInd w:val="0"/>
                    <w:snapToGrid w:val="0"/>
                    <w:jc w:val="center"/>
                    <w:rPr>
                      <w:rFonts w:asciiTheme="majorEastAsia" w:hAnsiTheme="majorEastAsia" w:eastAsiaTheme="maj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 w:hRule="atLeast"/>
                <w:jc w:val="center"/>
              </w:trPr>
              <w:tc>
                <w:tcPr>
                  <w:tcW w:w="749"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11</w:t>
                  </w:r>
                </w:p>
              </w:tc>
              <w:tc>
                <w:tcPr>
                  <w:tcW w:w="1745"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曝气搅拌系统</w:t>
                  </w:r>
                </w:p>
              </w:tc>
              <w:tc>
                <w:tcPr>
                  <w:tcW w:w="75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1</w:t>
                  </w:r>
                </w:p>
              </w:tc>
              <w:tc>
                <w:tcPr>
                  <w:tcW w:w="75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套</w:t>
                  </w:r>
                </w:p>
              </w:tc>
              <w:tc>
                <w:tcPr>
                  <w:tcW w:w="4107" w:type="dxa"/>
                  <w:vAlign w:val="center"/>
                </w:tcPr>
                <w:p>
                  <w:pPr>
                    <w:adjustRightInd w:val="0"/>
                    <w:snapToGrid w:val="0"/>
                    <w:jc w:val="center"/>
                    <w:rPr>
                      <w:rFonts w:asciiTheme="majorEastAsia" w:hAnsiTheme="majorEastAsia" w:eastAsiaTheme="majorEastAsia"/>
                      <w:color w:val="auto"/>
                      <w:szCs w:val="21"/>
                    </w:rPr>
                  </w:pPr>
                </w:p>
              </w:tc>
              <w:tc>
                <w:tcPr>
                  <w:tcW w:w="1246" w:type="dxa"/>
                  <w:vAlign w:val="center"/>
                </w:tcPr>
                <w:p>
                  <w:pPr>
                    <w:adjustRightInd w:val="0"/>
                    <w:snapToGrid w:val="0"/>
                    <w:jc w:val="center"/>
                    <w:rPr>
                      <w:rFonts w:asciiTheme="majorEastAsia" w:hAnsiTheme="majorEastAsia" w:eastAsiaTheme="majorEastAsia"/>
                      <w:color w:val="auto"/>
                      <w:szCs w:val="21"/>
                    </w:rPr>
                  </w:pPr>
                </w:p>
              </w:tc>
            </w:tr>
          </w:tbl>
          <w:p>
            <w:pPr>
              <w:snapToGrid w:val="0"/>
              <w:spacing w:line="360" w:lineRule="auto"/>
              <w:ind w:firstLine="3306" w:firstLineChars="1372"/>
              <w:rPr>
                <w:rFonts w:asciiTheme="majorEastAsia" w:hAnsiTheme="majorEastAsia" w:eastAsiaTheme="majorEastAsia"/>
                <w:b/>
                <w:color w:val="auto"/>
                <w:sz w:val="24"/>
              </w:rPr>
            </w:pPr>
            <w:r>
              <w:rPr>
                <w:rFonts w:asciiTheme="majorEastAsia" w:hAnsiTheme="majorEastAsia" w:eastAsiaTheme="majorEastAsia"/>
                <w:b/>
                <w:color w:val="auto"/>
                <w:sz w:val="24"/>
              </w:rPr>
              <w:t>表5主要经济技术指标表</w:t>
            </w:r>
          </w:p>
          <w:tbl>
            <w:tblPr>
              <w:tblStyle w:val="38"/>
              <w:tblW w:w="9432"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2"/>
              <w:gridCol w:w="3297"/>
              <w:gridCol w:w="1028"/>
              <w:gridCol w:w="1117"/>
              <w:gridCol w:w="322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3" w:hRule="atLeast"/>
                <w:tblHeader/>
                <w:jc w:val="center"/>
              </w:trPr>
              <w:tc>
                <w:tcPr>
                  <w:tcW w:w="762" w:type="dxa"/>
                  <w:vAlign w:val="center"/>
                </w:tcPr>
                <w:p>
                  <w:pPr>
                    <w:adjustRightInd w:val="0"/>
                    <w:snapToGrid w:val="0"/>
                    <w:jc w:val="center"/>
                    <w:rPr>
                      <w:rFonts w:asciiTheme="majorEastAsia" w:hAnsiTheme="majorEastAsia" w:eastAsiaTheme="majorEastAsia"/>
                      <w:b/>
                      <w:bCs/>
                      <w:color w:val="auto"/>
                      <w:szCs w:val="21"/>
                    </w:rPr>
                  </w:pPr>
                  <w:r>
                    <w:rPr>
                      <w:rFonts w:asciiTheme="majorEastAsia" w:hAnsiTheme="majorEastAsia" w:eastAsiaTheme="majorEastAsia"/>
                      <w:b/>
                      <w:bCs/>
                      <w:color w:val="auto"/>
                      <w:szCs w:val="21"/>
                    </w:rPr>
                    <w:t>序号</w:t>
                  </w:r>
                </w:p>
              </w:tc>
              <w:tc>
                <w:tcPr>
                  <w:tcW w:w="3297" w:type="dxa"/>
                  <w:vAlign w:val="center"/>
                </w:tcPr>
                <w:p>
                  <w:pPr>
                    <w:adjustRightInd w:val="0"/>
                    <w:snapToGrid w:val="0"/>
                    <w:jc w:val="center"/>
                    <w:rPr>
                      <w:rFonts w:asciiTheme="majorEastAsia" w:hAnsiTheme="majorEastAsia" w:eastAsiaTheme="majorEastAsia"/>
                      <w:b/>
                      <w:bCs/>
                      <w:color w:val="auto"/>
                      <w:szCs w:val="21"/>
                    </w:rPr>
                  </w:pPr>
                  <w:r>
                    <w:rPr>
                      <w:rFonts w:asciiTheme="majorEastAsia" w:hAnsiTheme="majorEastAsia" w:eastAsiaTheme="majorEastAsia"/>
                      <w:b/>
                      <w:bCs/>
                      <w:color w:val="auto"/>
                      <w:szCs w:val="21"/>
                    </w:rPr>
                    <w:t>指标名称</w:t>
                  </w:r>
                </w:p>
              </w:tc>
              <w:tc>
                <w:tcPr>
                  <w:tcW w:w="1028" w:type="dxa"/>
                  <w:vAlign w:val="center"/>
                </w:tcPr>
                <w:p>
                  <w:pPr>
                    <w:adjustRightInd w:val="0"/>
                    <w:snapToGrid w:val="0"/>
                    <w:jc w:val="center"/>
                    <w:rPr>
                      <w:rFonts w:asciiTheme="majorEastAsia" w:hAnsiTheme="majorEastAsia" w:eastAsiaTheme="majorEastAsia"/>
                      <w:b/>
                      <w:bCs/>
                      <w:color w:val="auto"/>
                      <w:szCs w:val="21"/>
                    </w:rPr>
                  </w:pPr>
                  <w:r>
                    <w:rPr>
                      <w:rFonts w:asciiTheme="majorEastAsia" w:hAnsiTheme="majorEastAsia" w:eastAsiaTheme="majorEastAsia"/>
                      <w:b/>
                      <w:bCs/>
                      <w:color w:val="auto"/>
                      <w:szCs w:val="21"/>
                    </w:rPr>
                    <w:t>单位</w:t>
                  </w:r>
                </w:p>
              </w:tc>
              <w:tc>
                <w:tcPr>
                  <w:tcW w:w="1117" w:type="dxa"/>
                  <w:vAlign w:val="center"/>
                </w:tcPr>
                <w:p>
                  <w:pPr>
                    <w:adjustRightInd w:val="0"/>
                    <w:snapToGrid w:val="0"/>
                    <w:jc w:val="center"/>
                    <w:rPr>
                      <w:rFonts w:asciiTheme="majorEastAsia" w:hAnsiTheme="majorEastAsia" w:eastAsiaTheme="majorEastAsia"/>
                      <w:b/>
                      <w:bCs/>
                      <w:color w:val="auto"/>
                      <w:szCs w:val="21"/>
                    </w:rPr>
                  </w:pPr>
                  <w:r>
                    <w:rPr>
                      <w:rFonts w:asciiTheme="majorEastAsia" w:hAnsiTheme="majorEastAsia" w:eastAsiaTheme="majorEastAsia"/>
                      <w:b/>
                      <w:bCs/>
                      <w:color w:val="auto"/>
                      <w:szCs w:val="21"/>
                    </w:rPr>
                    <w:t>数量</w:t>
                  </w:r>
                </w:p>
              </w:tc>
              <w:tc>
                <w:tcPr>
                  <w:tcW w:w="3228" w:type="dxa"/>
                  <w:vAlign w:val="center"/>
                </w:tcPr>
                <w:p>
                  <w:pPr>
                    <w:adjustRightInd w:val="0"/>
                    <w:snapToGrid w:val="0"/>
                    <w:jc w:val="center"/>
                    <w:rPr>
                      <w:rFonts w:asciiTheme="majorEastAsia" w:hAnsiTheme="majorEastAsia" w:eastAsiaTheme="majorEastAsia"/>
                      <w:b/>
                      <w:bCs/>
                      <w:color w:val="auto"/>
                      <w:szCs w:val="21"/>
                    </w:rPr>
                  </w:pPr>
                  <w:r>
                    <w:rPr>
                      <w:rFonts w:asciiTheme="majorEastAsia" w:hAnsiTheme="majorEastAsia" w:eastAsiaTheme="majorEastAsia"/>
                      <w:b/>
                      <w:bCs/>
                      <w:color w:val="auto"/>
                      <w:szCs w:val="21"/>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4" w:hRule="atLeast"/>
                <w:jc w:val="center"/>
              </w:trPr>
              <w:tc>
                <w:tcPr>
                  <w:tcW w:w="76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一</w:t>
                  </w:r>
                </w:p>
              </w:tc>
              <w:tc>
                <w:tcPr>
                  <w:tcW w:w="3297"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预处理池</w:t>
                  </w:r>
                </w:p>
              </w:tc>
              <w:tc>
                <w:tcPr>
                  <w:tcW w:w="102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m</w:t>
                  </w:r>
                  <w:r>
                    <w:rPr>
                      <w:rFonts w:asciiTheme="majorEastAsia" w:hAnsiTheme="majorEastAsia" w:eastAsiaTheme="majorEastAsia"/>
                      <w:color w:val="auto"/>
                      <w:szCs w:val="21"/>
                      <w:vertAlign w:val="superscript"/>
                    </w:rPr>
                    <w:t>3</w:t>
                  </w:r>
                </w:p>
              </w:tc>
              <w:tc>
                <w:tcPr>
                  <w:tcW w:w="111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80</w:t>
                  </w:r>
                </w:p>
              </w:tc>
              <w:tc>
                <w:tcPr>
                  <w:tcW w:w="3228" w:type="dxa"/>
                  <w:vAlign w:val="center"/>
                </w:tcPr>
                <w:p>
                  <w:pPr>
                    <w:adjustRightInd w:val="0"/>
                    <w:snapToGrid w:val="0"/>
                    <w:jc w:val="center"/>
                    <w:rPr>
                      <w:rFonts w:asciiTheme="majorEastAsia" w:hAnsiTheme="majorEastAsia" w:eastAsiaTheme="maj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762" w:type="dxa"/>
                  <w:vAlign w:val="center"/>
                </w:tcPr>
                <w:p>
                  <w:pPr>
                    <w:adjustRightInd w:val="0"/>
                    <w:snapToGrid w:val="0"/>
                    <w:jc w:val="center"/>
                    <w:rPr>
                      <w:rFonts w:asciiTheme="majorEastAsia" w:hAnsiTheme="majorEastAsia" w:eastAsiaTheme="majorEastAsia"/>
                      <w:color w:val="auto"/>
                      <w:szCs w:val="21"/>
                    </w:rPr>
                  </w:pPr>
                </w:p>
              </w:tc>
              <w:tc>
                <w:tcPr>
                  <w:tcW w:w="3297"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格栅井</w:t>
                  </w:r>
                </w:p>
              </w:tc>
              <w:tc>
                <w:tcPr>
                  <w:tcW w:w="102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m</w:t>
                  </w:r>
                  <w:r>
                    <w:rPr>
                      <w:rFonts w:asciiTheme="majorEastAsia" w:hAnsiTheme="majorEastAsia" w:eastAsiaTheme="majorEastAsia"/>
                      <w:color w:val="auto"/>
                      <w:szCs w:val="21"/>
                      <w:vertAlign w:val="superscript"/>
                    </w:rPr>
                    <w:t>3</w:t>
                  </w:r>
                </w:p>
              </w:tc>
              <w:tc>
                <w:tcPr>
                  <w:tcW w:w="111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73.6</w:t>
                  </w:r>
                </w:p>
              </w:tc>
              <w:tc>
                <w:tcPr>
                  <w:tcW w:w="3228" w:type="dxa"/>
                  <w:vAlign w:val="center"/>
                </w:tcPr>
                <w:p>
                  <w:pPr>
                    <w:adjustRightInd w:val="0"/>
                    <w:snapToGrid w:val="0"/>
                    <w:jc w:val="center"/>
                    <w:rPr>
                      <w:rFonts w:asciiTheme="majorEastAsia" w:hAnsiTheme="majorEastAsia" w:eastAsiaTheme="maj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62" w:type="dxa"/>
                  <w:vAlign w:val="center"/>
                </w:tcPr>
                <w:p>
                  <w:pPr>
                    <w:adjustRightInd w:val="0"/>
                    <w:snapToGrid w:val="0"/>
                    <w:jc w:val="center"/>
                    <w:rPr>
                      <w:rFonts w:asciiTheme="majorEastAsia" w:hAnsiTheme="majorEastAsia" w:eastAsiaTheme="majorEastAsia"/>
                      <w:color w:val="auto"/>
                      <w:szCs w:val="21"/>
                    </w:rPr>
                  </w:pPr>
                </w:p>
              </w:tc>
              <w:tc>
                <w:tcPr>
                  <w:tcW w:w="3297"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调节池</w:t>
                  </w:r>
                </w:p>
              </w:tc>
              <w:tc>
                <w:tcPr>
                  <w:tcW w:w="102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m</w:t>
                  </w:r>
                  <w:r>
                    <w:rPr>
                      <w:rFonts w:asciiTheme="majorEastAsia" w:hAnsiTheme="majorEastAsia" w:eastAsiaTheme="majorEastAsia"/>
                      <w:color w:val="auto"/>
                      <w:szCs w:val="21"/>
                      <w:vertAlign w:val="superscript"/>
                    </w:rPr>
                    <w:t>3</w:t>
                  </w:r>
                </w:p>
              </w:tc>
              <w:tc>
                <w:tcPr>
                  <w:tcW w:w="111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256</w:t>
                  </w:r>
                </w:p>
              </w:tc>
              <w:tc>
                <w:tcPr>
                  <w:tcW w:w="3228" w:type="dxa"/>
                  <w:vAlign w:val="center"/>
                </w:tcPr>
                <w:p>
                  <w:pPr>
                    <w:adjustRightInd w:val="0"/>
                    <w:snapToGrid w:val="0"/>
                    <w:jc w:val="center"/>
                    <w:rPr>
                      <w:rFonts w:asciiTheme="majorEastAsia" w:hAnsiTheme="majorEastAsia" w:eastAsiaTheme="maj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762" w:type="dxa"/>
                  <w:vAlign w:val="center"/>
                </w:tcPr>
                <w:p>
                  <w:pPr>
                    <w:adjustRightInd w:val="0"/>
                    <w:snapToGrid w:val="0"/>
                    <w:jc w:val="center"/>
                    <w:rPr>
                      <w:rFonts w:asciiTheme="majorEastAsia" w:hAnsiTheme="majorEastAsia" w:eastAsiaTheme="majorEastAsia"/>
                      <w:color w:val="auto"/>
                      <w:szCs w:val="21"/>
                    </w:rPr>
                  </w:pPr>
                </w:p>
              </w:tc>
              <w:tc>
                <w:tcPr>
                  <w:tcW w:w="3297"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设备基础</w:t>
                  </w:r>
                </w:p>
              </w:tc>
              <w:tc>
                <w:tcPr>
                  <w:tcW w:w="102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m</w:t>
                  </w:r>
                  <w:r>
                    <w:rPr>
                      <w:rFonts w:asciiTheme="majorEastAsia" w:hAnsiTheme="majorEastAsia" w:eastAsiaTheme="majorEastAsia"/>
                      <w:color w:val="auto"/>
                      <w:szCs w:val="21"/>
                      <w:vertAlign w:val="superscript"/>
                    </w:rPr>
                    <w:t>3</w:t>
                  </w:r>
                </w:p>
              </w:tc>
              <w:tc>
                <w:tcPr>
                  <w:tcW w:w="111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9.6</w:t>
                  </w:r>
                </w:p>
              </w:tc>
              <w:tc>
                <w:tcPr>
                  <w:tcW w:w="3228" w:type="dxa"/>
                  <w:vAlign w:val="center"/>
                </w:tcPr>
                <w:p>
                  <w:pPr>
                    <w:adjustRightInd w:val="0"/>
                    <w:snapToGrid w:val="0"/>
                    <w:jc w:val="center"/>
                    <w:rPr>
                      <w:rFonts w:asciiTheme="majorEastAsia" w:hAnsiTheme="majorEastAsia" w:eastAsiaTheme="maj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6" w:hRule="atLeast"/>
                <w:jc w:val="center"/>
              </w:trPr>
              <w:tc>
                <w:tcPr>
                  <w:tcW w:w="76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二</w:t>
                  </w:r>
                </w:p>
              </w:tc>
              <w:tc>
                <w:tcPr>
                  <w:tcW w:w="329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占地面积</w:t>
                  </w:r>
                </w:p>
              </w:tc>
              <w:tc>
                <w:tcPr>
                  <w:tcW w:w="102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亩</w:t>
                  </w:r>
                </w:p>
              </w:tc>
              <w:tc>
                <w:tcPr>
                  <w:tcW w:w="111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1.5</w:t>
                  </w:r>
                </w:p>
              </w:tc>
              <w:tc>
                <w:tcPr>
                  <w:tcW w:w="3228" w:type="dxa"/>
                  <w:vAlign w:val="center"/>
                </w:tcPr>
                <w:p>
                  <w:pPr>
                    <w:adjustRightInd w:val="0"/>
                    <w:snapToGrid w:val="0"/>
                    <w:jc w:val="center"/>
                    <w:rPr>
                      <w:rFonts w:asciiTheme="majorEastAsia" w:hAnsiTheme="majorEastAsia" w:eastAsiaTheme="maj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7" w:hRule="atLeast"/>
                <w:jc w:val="center"/>
              </w:trPr>
              <w:tc>
                <w:tcPr>
                  <w:tcW w:w="762" w:type="dxa"/>
                  <w:vAlign w:val="center"/>
                </w:tcPr>
                <w:p>
                  <w:pPr>
                    <w:adjustRightInd w:val="0"/>
                    <w:snapToGrid w:val="0"/>
                    <w:jc w:val="center"/>
                    <w:rPr>
                      <w:rFonts w:asciiTheme="majorEastAsia" w:hAnsiTheme="majorEastAsia" w:eastAsiaTheme="majorEastAsia"/>
                      <w:color w:val="auto"/>
                      <w:szCs w:val="21"/>
                    </w:rPr>
                  </w:pPr>
                </w:p>
              </w:tc>
              <w:tc>
                <w:tcPr>
                  <w:tcW w:w="329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bCs/>
                      <w:color w:val="auto"/>
                      <w:kern w:val="0"/>
                      <w:szCs w:val="21"/>
                    </w:rPr>
                    <w:t>管理用房</w:t>
                  </w:r>
                </w:p>
              </w:tc>
              <w:tc>
                <w:tcPr>
                  <w:tcW w:w="102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m</w:t>
                  </w:r>
                  <w:r>
                    <w:rPr>
                      <w:rFonts w:asciiTheme="majorEastAsia" w:hAnsiTheme="majorEastAsia" w:eastAsiaTheme="majorEastAsia"/>
                      <w:color w:val="auto"/>
                      <w:szCs w:val="21"/>
                      <w:vertAlign w:val="superscript"/>
                    </w:rPr>
                    <w:t>2</w:t>
                  </w:r>
                </w:p>
              </w:tc>
              <w:tc>
                <w:tcPr>
                  <w:tcW w:w="111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30</w:t>
                  </w:r>
                </w:p>
              </w:tc>
              <w:tc>
                <w:tcPr>
                  <w:tcW w:w="3228" w:type="dxa"/>
                  <w:vAlign w:val="center"/>
                </w:tcPr>
                <w:p>
                  <w:pPr>
                    <w:adjustRightInd w:val="0"/>
                    <w:snapToGrid w:val="0"/>
                    <w:jc w:val="center"/>
                    <w:rPr>
                      <w:rFonts w:asciiTheme="majorEastAsia" w:hAnsiTheme="majorEastAsia" w:eastAsiaTheme="maj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4" w:hRule="atLeast"/>
                <w:jc w:val="center"/>
              </w:trPr>
              <w:tc>
                <w:tcPr>
                  <w:tcW w:w="76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1</w:t>
                  </w:r>
                </w:p>
              </w:tc>
              <w:tc>
                <w:tcPr>
                  <w:tcW w:w="329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bCs/>
                      <w:color w:val="auto"/>
                      <w:kern w:val="0"/>
                      <w:szCs w:val="21"/>
                    </w:rPr>
                    <w:t>设备用房</w:t>
                  </w:r>
                </w:p>
              </w:tc>
              <w:tc>
                <w:tcPr>
                  <w:tcW w:w="102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m</w:t>
                  </w:r>
                  <w:r>
                    <w:rPr>
                      <w:rFonts w:asciiTheme="majorEastAsia" w:hAnsiTheme="majorEastAsia" w:eastAsiaTheme="majorEastAsia"/>
                      <w:color w:val="auto"/>
                      <w:szCs w:val="21"/>
                      <w:vertAlign w:val="superscript"/>
                    </w:rPr>
                    <w:t>2</w:t>
                  </w:r>
                </w:p>
              </w:tc>
              <w:tc>
                <w:tcPr>
                  <w:tcW w:w="111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62.07</w:t>
                  </w:r>
                </w:p>
              </w:tc>
              <w:tc>
                <w:tcPr>
                  <w:tcW w:w="322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层高3.30m，室内外高差0.45m；</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1" w:hRule="atLeast"/>
                <w:jc w:val="center"/>
              </w:trPr>
              <w:tc>
                <w:tcPr>
                  <w:tcW w:w="76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2</w:t>
                  </w:r>
                </w:p>
              </w:tc>
              <w:tc>
                <w:tcPr>
                  <w:tcW w:w="329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站房（混合结构）</w:t>
                  </w:r>
                </w:p>
              </w:tc>
              <w:tc>
                <w:tcPr>
                  <w:tcW w:w="102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m</w:t>
                  </w:r>
                  <w:r>
                    <w:rPr>
                      <w:rFonts w:asciiTheme="majorEastAsia" w:hAnsiTheme="majorEastAsia" w:eastAsiaTheme="majorEastAsia"/>
                      <w:color w:val="auto"/>
                      <w:szCs w:val="21"/>
                      <w:vertAlign w:val="superscript"/>
                    </w:rPr>
                    <w:t>2</w:t>
                  </w:r>
                </w:p>
              </w:tc>
              <w:tc>
                <w:tcPr>
                  <w:tcW w:w="111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300</w:t>
                  </w:r>
                </w:p>
              </w:tc>
              <w:tc>
                <w:tcPr>
                  <w:tcW w:w="322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层高4.50m，室内外高差0.45m</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76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六</w:t>
                  </w:r>
                </w:p>
              </w:tc>
              <w:tc>
                <w:tcPr>
                  <w:tcW w:w="329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主要原材料动力消耗</w:t>
                  </w:r>
                </w:p>
              </w:tc>
              <w:tc>
                <w:tcPr>
                  <w:tcW w:w="1028" w:type="dxa"/>
                  <w:vAlign w:val="center"/>
                </w:tcPr>
                <w:p>
                  <w:pPr>
                    <w:adjustRightInd w:val="0"/>
                    <w:snapToGrid w:val="0"/>
                    <w:jc w:val="center"/>
                    <w:rPr>
                      <w:rFonts w:asciiTheme="majorEastAsia" w:hAnsiTheme="majorEastAsia" w:eastAsiaTheme="majorEastAsia"/>
                      <w:color w:val="auto"/>
                      <w:szCs w:val="21"/>
                    </w:rPr>
                  </w:pPr>
                </w:p>
              </w:tc>
              <w:tc>
                <w:tcPr>
                  <w:tcW w:w="1117" w:type="dxa"/>
                  <w:vAlign w:val="center"/>
                </w:tcPr>
                <w:p>
                  <w:pPr>
                    <w:adjustRightInd w:val="0"/>
                    <w:snapToGrid w:val="0"/>
                    <w:jc w:val="center"/>
                    <w:rPr>
                      <w:rFonts w:asciiTheme="majorEastAsia" w:hAnsiTheme="majorEastAsia" w:eastAsiaTheme="majorEastAsia"/>
                      <w:color w:val="auto"/>
                      <w:szCs w:val="21"/>
                    </w:rPr>
                  </w:pPr>
                </w:p>
              </w:tc>
              <w:tc>
                <w:tcPr>
                  <w:tcW w:w="3228" w:type="dxa"/>
                  <w:vAlign w:val="center"/>
                </w:tcPr>
                <w:p>
                  <w:pPr>
                    <w:adjustRightInd w:val="0"/>
                    <w:snapToGrid w:val="0"/>
                    <w:jc w:val="center"/>
                    <w:rPr>
                      <w:rFonts w:asciiTheme="majorEastAsia" w:hAnsiTheme="majorEastAsia" w:eastAsiaTheme="maj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7" w:hRule="atLeast"/>
                <w:jc w:val="center"/>
              </w:trPr>
              <w:tc>
                <w:tcPr>
                  <w:tcW w:w="76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1</w:t>
                  </w:r>
                </w:p>
              </w:tc>
              <w:tc>
                <w:tcPr>
                  <w:tcW w:w="329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10%成品次氯酸钠溶液</w:t>
                  </w:r>
                </w:p>
              </w:tc>
              <w:tc>
                <w:tcPr>
                  <w:tcW w:w="102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kg/L</w:t>
                  </w:r>
                </w:p>
              </w:tc>
              <w:tc>
                <w:tcPr>
                  <w:tcW w:w="1117" w:type="dxa"/>
                  <w:vAlign w:val="center"/>
                </w:tcPr>
                <w:p>
                  <w:pPr>
                    <w:jc w:val="center"/>
                    <w:rPr>
                      <w:rFonts w:asciiTheme="majorEastAsia" w:hAnsiTheme="majorEastAsia" w:eastAsiaTheme="majorEastAsia"/>
                      <w:color w:val="auto"/>
                      <w:szCs w:val="21"/>
                    </w:rPr>
                  </w:pPr>
                  <w:r>
                    <w:rPr>
                      <w:rFonts w:asciiTheme="majorEastAsia" w:hAnsiTheme="majorEastAsia" w:eastAsiaTheme="majorEastAsia"/>
                      <w:color w:val="auto"/>
                      <w:szCs w:val="21"/>
                    </w:rPr>
                    <w:t>0.16</w:t>
                  </w:r>
                </w:p>
              </w:tc>
              <w:tc>
                <w:tcPr>
                  <w:tcW w:w="3228" w:type="dxa"/>
                  <w:vAlign w:val="center"/>
                </w:tcPr>
                <w:p>
                  <w:pPr>
                    <w:adjustRightInd w:val="0"/>
                    <w:snapToGrid w:val="0"/>
                    <w:jc w:val="center"/>
                    <w:rPr>
                      <w:rFonts w:asciiTheme="majorEastAsia" w:hAnsiTheme="majorEastAsia" w:eastAsiaTheme="maj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4" w:hRule="atLeast"/>
                <w:jc w:val="center"/>
              </w:trPr>
              <w:tc>
                <w:tcPr>
                  <w:tcW w:w="76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2</w:t>
                  </w:r>
                </w:p>
              </w:tc>
              <w:tc>
                <w:tcPr>
                  <w:tcW w:w="329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除臭剂</w:t>
                  </w:r>
                </w:p>
              </w:tc>
              <w:tc>
                <w:tcPr>
                  <w:tcW w:w="102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瓶</w:t>
                  </w:r>
                </w:p>
              </w:tc>
              <w:tc>
                <w:tcPr>
                  <w:tcW w:w="1117" w:type="dxa"/>
                  <w:vAlign w:val="center"/>
                </w:tcPr>
                <w:p>
                  <w:pPr>
                    <w:jc w:val="center"/>
                    <w:rPr>
                      <w:rFonts w:asciiTheme="majorEastAsia" w:hAnsiTheme="majorEastAsia" w:eastAsiaTheme="majorEastAsia"/>
                      <w:color w:val="auto"/>
                      <w:szCs w:val="21"/>
                    </w:rPr>
                  </w:pPr>
                  <w:r>
                    <w:rPr>
                      <w:rFonts w:asciiTheme="majorEastAsia" w:hAnsiTheme="majorEastAsia" w:eastAsiaTheme="majorEastAsia"/>
                      <w:color w:val="auto"/>
                      <w:szCs w:val="21"/>
                    </w:rPr>
                    <w:t>5</w:t>
                  </w:r>
                </w:p>
              </w:tc>
              <w:tc>
                <w:tcPr>
                  <w:tcW w:w="322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1000ml/瓶</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76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七</w:t>
                  </w:r>
                </w:p>
              </w:tc>
              <w:tc>
                <w:tcPr>
                  <w:tcW w:w="329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劳动定员</w:t>
                  </w:r>
                </w:p>
              </w:tc>
              <w:tc>
                <w:tcPr>
                  <w:tcW w:w="102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人</w:t>
                  </w:r>
                </w:p>
              </w:tc>
              <w:tc>
                <w:tcPr>
                  <w:tcW w:w="1117" w:type="dxa"/>
                  <w:vAlign w:val="center"/>
                </w:tcPr>
                <w:p>
                  <w:pPr>
                    <w:jc w:val="center"/>
                    <w:rPr>
                      <w:rFonts w:asciiTheme="majorEastAsia" w:hAnsiTheme="majorEastAsia" w:eastAsiaTheme="majorEastAsia"/>
                      <w:color w:val="auto"/>
                      <w:szCs w:val="21"/>
                    </w:rPr>
                  </w:pPr>
                  <w:r>
                    <w:rPr>
                      <w:rFonts w:asciiTheme="majorEastAsia" w:hAnsiTheme="majorEastAsia" w:eastAsiaTheme="majorEastAsia"/>
                      <w:color w:val="auto"/>
                      <w:szCs w:val="21"/>
                    </w:rPr>
                    <w:t>3</w:t>
                  </w:r>
                </w:p>
              </w:tc>
              <w:tc>
                <w:tcPr>
                  <w:tcW w:w="3228" w:type="dxa"/>
                  <w:vAlign w:val="center"/>
                </w:tcPr>
                <w:p>
                  <w:pPr>
                    <w:adjustRightInd w:val="0"/>
                    <w:snapToGrid w:val="0"/>
                    <w:jc w:val="center"/>
                    <w:rPr>
                      <w:rFonts w:asciiTheme="majorEastAsia" w:hAnsiTheme="majorEastAsia" w:eastAsiaTheme="maj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1" w:hRule="atLeast"/>
                <w:jc w:val="center"/>
              </w:trPr>
              <w:tc>
                <w:tcPr>
                  <w:tcW w:w="76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八</w:t>
                  </w:r>
                </w:p>
              </w:tc>
              <w:tc>
                <w:tcPr>
                  <w:tcW w:w="329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总投资估算</w:t>
                  </w:r>
                </w:p>
              </w:tc>
              <w:tc>
                <w:tcPr>
                  <w:tcW w:w="102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万元</w:t>
                  </w:r>
                </w:p>
              </w:tc>
              <w:tc>
                <w:tcPr>
                  <w:tcW w:w="111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597.22</w:t>
                  </w:r>
                </w:p>
              </w:tc>
              <w:tc>
                <w:tcPr>
                  <w:tcW w:w="3228" w:type="dxa"/>
                  <w:vAlign w:val="center"/>
                </w:tcPr>
                <w:p>
                  <w:pPr>
                    <w:adjustRightInd w:val="0"/>
                    <w:snapToGrid w:val="0"/>
                    <w:jc w:val="center"/>
                    <w:rPr>
                      <w:rFonts w:asciiTheme="majorEastAsia" w:hAnsiTheme="majorEastAsia" w:eastAsiaTheme="majorEastAsia"/>
                      <w:color w:val="auto"/>
                      <w:szCs w:val="21"/>
                    </w:rPr>
                  </w:pPr>
                </w:p>
              </w:tc>
            </w:tr>
          </w:tbl>
          <w:p>
            <w:pPr>
              <w:adjustRightInd w:val="0"/>
              <w:snapToGrid w:val="0"/>
              <w:spacing w:line="360" w:lineRule="auto"/>
              <w:ind w:firstLine="482" w:firstLineChars="200"/>
              <w:jc w:val="left"/>
              <w:rPr>
                <w:rFonts w:asciiTheme="majorEastAsia" w:hAnsiTheme="majorEastAsia" w:eastAsiaTheme="majorEastAsia"/>
                <w:b/>
                <w:color w:val="auto"/>
                <w:sz w:val="24"/>
              </w:rPr>
            </w:pPr>
            <w:r>
              <w:rPr>
                <w:rFonts w:asciiTheme="majorEastAsia" w:hAnsiTheme="majorEastAsia" w:eastAsiaTheme="majorEastAsia"/>
                <w:b/>
                <w:color w:val="auto"/>
                <w:sz w:val="24"/>
              </w:rPr>
              <w:t>7.5工程总投资</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总投资：项目估算总投资597.22万元，其中建安工程费用为503.48万元；工程建设其他费用为63.81万元；预备费用28.36万元，铺底流动资金为1.57万元。</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资金来源：环保专项资金。</w:t>
            </w:r>
          </w:p>
          <w:p>
            <w:pPr>
              <w:adjustRightInd w:val="0"/>
              <w:snapToGrid w:val="0"/>
              <w:spacing w:line="360" w:lineRule="auto"/>
              <w:ind w:firstLine="482" w:firstLineChars="200"/>
              <w:rPr>
                <w:rFonts w:asciiTheme="majorEastAsia" w:hAnsiTheme="majorEastAsia" w:eastAsiaTheme="majorEastAsia"/>
                <w:b/>
                <w:color w:val="auto"/>
                <w:sz w:val="24"/>
              </w:rPr>
            </w:pPr>
            <w:r>
              <w:rPr>
                <w:rFonts w:asciiTheme="majorEastAsia" w:hAnsiTheme="majorEastAsia" w:eastAsiaTheme="majorEastAsia"/>
                <w:b/>
                <w:color w:val="auto"/>
                <w:sz w:val="24"/>
              </w:rPr>
              <w:t>7.6劳动动员及工作制度</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根据污水处理厂实际情况，本项目职工定员3人，实行三班运转制。</w:t>
            </w:r>
          </w:p>
          <w:p>
            <w:pPr>
              <w:adjustRightInd w:val="0"/>
              <w:snapToGrid w:val="0"/>
              <w:spacing w:line="360" w:lineRule="auto"/>
              <w:ind w:firstLine="482" w:firstLineChars="200"/>
              <w:rPr>
                <w:rFonts w:asciiTheme="majorEastAsia" w:hAnsiTheme="majorEastAsia" w:eastAsiaTheme="majorEastAsia"/>
                <w:b/>
                <w:color w:val="auto"/>
                <w:sz w:val="24"/>
              </w:rPr>
            </w:pPr>
            <w:r>
              <w:rPr>
                <w:rFonts w:asciiTheme="majorEastAsia" w:hAnsiTheme="majorEastAsia" w:eastAsiaTheme="majorEastAsia"/>
                <w:b/>
                <w:color w:val="auto"/>
                <w:sz w:val="24"/>
              </w:rPr>
              <w:t>7.7服务范围</w:t>
            </w:r>
          </w:p>
          <w:p>
            <w:pPr>
              <w:pStyle w:val="12"/>
              <w:adjustRightInd w:val="0"/>
              <w:snapToGrid w:val="0"/>
              <w:ind w:firstLine="480" w:firstLineChars="200"/>
              <w:rPr>
                <w:rFonts w:asciiTheme="majorEastAsia" w:hAnsiTheme="majorEastAsia" w:eastAsiaTheme="majorEastAsia"/>
                <w:color w:val="auto"/>
              </w:rPr>
            </w:pPr>
            <w:r>
              <w:rPr>
                <w:rFonts w:asciiTheme="majorEastAsia" w:hAnsiTheme="majorEastAsia" w:eastAsiaTheme="majorEastAsia"/>
                <w:color w:val="auto"/>
              </w:rPr>
              <w:t>污水处理站主要服务宁县金村村。金村村街区污水收集后由管道重力流排至金村村拟建污水处理站，本次设计污水处理站接设计污水管道末端，处理范围为金村村街区生活污水，约120户，不包括工业废水；污水收集率达到95%以上。</w:t>
            </w:r>
          </w:p>
          <w:p>
            <w:pPr>
              <w:adjustRightInd w:val="0"/>
              <w:snapToGrid w:val="0"/>
              <w:spacing w:line="360" w:lineRule="auto"/>
              <w:ind w:firstLine="482" w:firstLineChars="200"/>
              <w:rPr>
                <w:rFonts w:asciiTheme="majorEastAsia" w:hAnsiTheme="majorEastAsia" w:eastAsiaTheme="majorEastAsia"/>
                <w:b/>
                <w:color w:val="auto"/>
                <w:sz w:val="24"/>
              </w:rPr>
            </w:pPr>
            <w:r>
              <w:rPr>
                <w:rFonts w:asciiTheme="majorEastAsia" w:hAnsiTheme="majorEastAsia" w:eastAsiaTheme="majorEastAsia"/>
                <w:b/>
                <w:color w:val="auto"/>
                <w:sz w:val="24"/>
              </w:rPr>
              <w:t>7.8污水产生量预测</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1、服务人口</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根据调查，目前街区供水人口约1600人。</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2、污水量预测</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根据《城市给水工程规划规范》（GB50282-2016）第4.0.3条规定，采用“城市综合用水量指标法”对项目区近远期用水量进行预测，以确定本工程的建设规模。</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根据《城市给水工程规划规范》（GB50282-2016）第4.0.3条规定，查表可知宁县金村乡金村村于三区II型小城市，城市综合用水量指标q1 =0.15~0.35万m³/（万人·d），结合城市发展情况，取近期q1 =0.15万m³/（万人·d）</w:t>
            </w:r>
          </w:p>
          <w:p>
            <w:pPr>
              <w:autoSpaceDE w:val="0"/>
              <w:autoSpaceDN w:val="0"/>
              <w:adjustRightInd w:val="0"/>
              <w:snapToGrid w:val="0"/>
              <w:spacing w:line="360" w:lineRule="auto"/>
              <w:jc w:val="center"/>
              <w:rPr>
                <w:rFonts w:asciiTheme="majorEastAsia" w:hAnsiTheme="majorEastAsia" w:eastAsiaTheme="majorEastAsia"/>
                <w:b/>
                <w:color w:val="auto"/>
                <w:kern w:val="0"/>
                <w:sz w:val="24"/>
              </w:rPr>
            </w:pPr>
            <w:r>
              <w:rPr>
                <w:rFonts w:asciiTheme="majorEastAsia" w:hAnsiTheme="majorEastAsia" w:eastAsiaTheme="majorEastAsia"/>
                <w:b/>
                <w:color w:val="auto"/>
                <w:kern w:val="0"/>
                <w:sz w:val="24"/>
              </w:rPr>
              <w:t>表6城市综合用水量指标</w:t>
            </w:r>
          </w:p>
          <w:tbl>
            <w:tblPr>
              <w:tblStyle w:val="39"/>
              <w:tblW w:w="8778"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44"/>
              <w:gridCol w:w="2308"/>
              <w:gridCol w:w="292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3544" w:type="dxa"/>
                  <w:vAlign w:val="center"/>
                </w:tcPr>
                <w:p>
                  <w:pPr>
                    <w:autoSpaceDE w:val="0"/>
                    <w:autoSpaceDN w:val="0"/>
                    <w:adjustRightInd w:val="0"/>
                    <w:snapToGrid w:val="0"/>
                    <w:spacing w:line="240" w:lineRule="exac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用水量指标[万m</w:t>
                  </w:r>
                  <w:r>
                    <w:rPr>
                      <w:rFonts w:asciiTheme="majorEastAsia" w:hAnsiTheme="majorEastAsia" w:eastAsiaTheme="majorEastAsia"/>
                      <w:color w:val="auto"/>
                      <w:kern w:val="0"/>
                      <w:szCs w:val="21"/>
                      <w:vertAlign w:val="superscript"/>
                    </w:rPr>
                    <w:t>3</w:t>
                  </w:r>
                  <w:r>
                    <w:rPr>
                      <w:rFonts w:asciiTheme="majorEastAsia" w:hAnsiTheme="majorEastAsia" w:eastAsiaTheme="majorEastAsia"/>
                      <w:color w:val="auto"/>
                      <w:kern w:val="0"/>
                      <w:szCs w:val="21"/>
                    </w:rPr>
                    <w:t>/（万人•d）]</w:t>
                  </w:r>
                </w:p>
              </w:tc>
              <w:tc>
                <w:tcPr>
                  <w:tcW w:w="2308" w:type="dxa"/>
                  <w:vAlign w:val="center"/>
                </w:tcPr>
                <w:p>
                  <w:pPr>
                    <w:autoSpaceDE w:val="0"/>
                    <w:autoSpaceDN w:val="0"/>
                    <w:adjustRightInd w:val="0"/>
                    <w:snapToGrid w:val="0"/>
                    <w:spacing w:line="240" w:lineRule="exac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人口（万人）</w:t>
                  </w:r>
                </w:p>
              </w:tc>
              <w:tc>
                <w:tcPr>
                  <w:tcW w:w="2926" w:type="dxa"/>
                  <w:vAlign w:val="center"/>
                </w:tcPr>
                <w:p>
                  <w:pPr>
                    <w:autoSpaceDE w:val="0"/>
                    <w:autoSpaceDN w:val="0"/>
                    <w:adjustRightInd w:val="0"/>
                    <w:snapToGrid w:val="0"/>
                    <w:spacing w:line="240" w:lineRule="exac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最高日用水量（m³/d）</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3544" w:type="dxa"/>
                  <w:vAlign w:val="center"/>
                </w:tcPr>
                <w:p>
                  <w:pPr>
                    <w:autoSpaceDE w:val="0"/>
                    <w:autoSpaceDN w:val="0"/>
                    <w:adjustRightInd w:val="0"/>
                    <w:snapToGrid w:val="0"/>
                    <w:spacing w:line="240" w:lineRule="exac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0.15</w:t>
                  </w:r>
                </w:p>
              </w:tc>
              <w:tc>
                <w:tcPr>
                  <w:tcW w:w="2308" w:type="dxa"/>
                  <w:vAlign w:val="center"/>
                </w:tcPr>
                <w:p>
                  <w:pPr>
                    <w:autoSpaceDE w:val="0"/>
                    <w:autoSpaceDN w:val="0"/>
                    <w:adjustRightInd w:val="0"/>
                    <w:snapToGrid w:val="0"/>
                    <w:spacing w:line="240" w:lineRule="exac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0.16</w:t>
                  </w:r>
                </w:p>
              </w:tc>
              <w:tc>
                <w:tcPr>
                  <w:tcW w:w="2926" w:type="dxa"/>
                  <w:vAlign w:val="center"/>
                </w:tcPr>
                <w:p>
                  <w:pPr>
                    <w:autoSpaceDE w:val="0"/>
                    <w:autoSpaceDN w:val="0"/>
                    <w:adjustRightInd w:val="0"/>
                    <w:snapToGrid w:val="0"/>
                    <w:spacing w:line="240" w:lineRule="exac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240</w:t>
                  </w:r>
                </w:p>
              </w:tc>
            </w:tr>
          </w:tbl>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再根据《城市排水工程规划规范》（GB50318-2017）第4.2.3条规定，按照城市综合生活污水选取排放系数，取为0.8</w:t>
            </w:r>
          </w:p>
          <w:p>
            <w:pPr>
              <w:autoSpaceDE w:val="0"/>
              <w:autoSpaceDN w:val="0"/>
              <w:adjustRightInd w:val="0"/>
              <w:snapToGrid w:val="0"/>
              <w:spacing w:line="360" w:lineRule="auto"/>
              <w:ind w:firstLine="482" w:firstLineChars="200"/>
              <w:jc w:val="center"/>
              <w:rPr>
                <w:rFonts w:asciiTheme="majorEastAsia" w:hAnsiTheme="majorEastAsia" w:eastAsiaTheme="majorEastAsia"/>
                <w:b/>
                <w:color w:val="auto"/>
                <w:kern w:val="0"/>
                <w:sz w:val="24"/>
              </w:rPr>
            </w:pPr>
            <w:r>
              <w:rPr>
                <w:rFonts w:asciiTheme="majorEastAsia" w:hAnsiTheme="majorEastAsia" w:eastAsiaTheme="majorEastAsia"/>
                <w:b/>
                <w:color w:val="auto"/>
                <w:kern w:val="0"/>
                <w:sz w:val="24"/>
              </w:rPr>
              <w:t>表7城市分类污水排放系数</w:t>
            </w:r>
          </w:p>
          <w:tbl>
            <w:tblPr>
              <w:tblStyle w:val="39"/>
              <w:tblW w:w="8864"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32"/>
              <w:gridCol w:w="443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4432" w:type="dxa"/>
                  <w:vAlign w:val="center"/>
                </w:tcPr>
                <w:p>
                  <w:pPr>
                    <w:autoSpaceDE w:val="0"/>
                    <w:autoSpaceDN w:val="0"/>
                    <w:adjustRightInd w:val="0"/>
                    <w:snapToGrid w:val="0"/>
                    <w:spacing w:line="240" w:lineRule="exac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城市污水分类</w:t>
                  </w:r>
                </w:p>
              </w:tc>
              <w:tc>
                <w:tcPr>
                  <w:tcW w:w="4432" w:type="dxa"/>
                  <w:vAlign w:val="center"/>
                </w:tcPr>
                <w:p>
                  <w:pPr>
                    <w:autoSpaceDE w:val="0"/>
                    <w:autoSpaceDN w:val="0"/>
                    <w:adjustRightInd w:val="0"/>
                    <w:snapToGrid w:val="0"/>
                    <w:spacing w:line="240" w:lineRule="exac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污水排放系数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432" w:type="dxa"/>
                  <w:vAlign w:val="center"/>
                </w:tcPr>
                <w:p>
                  <w:pPr>
                    <w:autoSpaceDE w:val="0"/>
                    <w:autoSpaceDN w:val="0"/>
                    <w:adjustRightInd w:val="0"/>
                    <w:snapToGrid w:val="0"/>
                    <w:spacing w:line="240" w:lineRule="exac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城市污水</w:t>
                  </w:r>
                </w:p>
              </w:tc>
              <w:tc>
                <w:tcPr>
                  <w:tcW w:w="4432" w:type="dxa"/>
                  <w:vAlign w:val="center"/>
                </w:tcPr>
                <w:p>
                  <w:pPr>
                    <w:autoSpaceDE w:val="0"/>
                    <w:autoSpaceDN w:val="0"/>
                    <w:adjustRightInd w:val="0"/>
                    <w:snapToGrid w:val="0"/>
                    <w:spacing w:line="240" w:lineRule="exac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0.70～0.80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4432" w:type="dxa"/>
                  <w:vAlign w:val="center"/>
                </w:tcPr>
                <w:p>
                  <w:pPr>
                    <w:autoSpaceDE w:val="0"/>
                    <w:autoSpaceDN w:val="0"/>
                    <w:adjustRightInd w:val="0"/>
                    <w:snapToGrid w:val="0"/>
                    <w:spacing w:line="240" w:lineRule="exac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城市综合生活污水</w:t>
                  </w:r>
                </w:p>
              </w:tc>
              <w:tc>
                <w:tcPr>
                  <w:tcW w:w="4432" w:type="dxa"/>
                  <w:vAlign w:val="center"/>
                </w:tcPr>
                <w:p>
                  <w:pPr>
                    <w:autoSpaceDE w:val="0"/>
                    <w:autoSpaceDN w:val="0"/>
                    <w:adjustRightInd w:val="0"/>
                    <w:snapToGrid w:val="0"/>
                    <w:spacing w:line="240" w:lineRule="exac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0.80～0.90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4432" w:type="dxa"/>
                  <w:vAlign w:val="center"/>
                </w:tcPr>
                <w:p>
                  <w:pPr>
                    <w:autoSpaceDE w:val="0"/>
                    <w:autoSpaceDN w:val="0"/>
                    <w:adjustRightInd w:val="0"/>
                    <w:snapToGrid w:val="0"/>
                    <w:spacing w:line="240" w:lineRule="exac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城市工业废水</w:t>
                  </w:r>
                </w:p>
              </w:tc>
              <w:tc>
                <w:tcPr>
                  <w:tcW w:w="4432" w:type="dxa"/>
                  <w:vAlign w:val="center"/>
                </w:tcPr>
                <w:p>
                  <w:pPr>
                    <w:autoSpaceDE w:val="0"/>
                    <w:autoSpaceDN w:val="0"/>
                    <w:adjustRightInd w:val="0"/>
                    <w:snapToGrid w:val="0"/>
                    <w:spacing w:line="240" w:lineRule="exac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0.70～0.90</w:t>
                  </w:r>
                </w:p>
              </w:tc>
            </w:tr>
          </w:tbl>
          <w:p>
            <w:pPr>
              <w:adjustRightInd w:val="0"/>
              <w:snapToGrid w:val="0"/>
              <w:spacing w:line="360" w:lineRule="auto"/>
              <w:ind w:firstLine="480" w:firstLineChars="200"/>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则最终污水量为：</w:t>
            </w:r>
          </w:p>
          <w:p>
            <w:pPr>
              <w:adjustRightInd w:val="0"/>
              <w:snapToGrid w:val="0"/>
              <w:spacing w:line="360" w:lineRule="auto"/>
              <w:ind w:firstLine="480" w:firstLineChars="200"/>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近期：240m</w:t>
            </w:r>
            <w:r>
              <w:rPr>
                <w:rFonts w:asciiTheme="majorEastAsia" w:hAnsiTheme="majorEastAsia" w:eastAsiaTheme="majorEastAsia"/>
                <w:color w:val="auto"/>
                <w:kern w:val="0"/>
                <w:sz w:val="24"/>
                <w:vertAlign w:val="superscript"/>
              </w:rPr>
              <w:t>3</w:t>
            </w:r>
            <w:r>
              <w:rPr>
                <w:rFonts w:asciiTheme="majorEastAsia" w:hAnsiTheme="majorEastAsia" w:eastAsiaTheme="majorEastAsia"/>
                <w:color w:val="auto"/>
                <w:kern w:val="0"/>
                <w:sz w:val="24"/>
              </w:rPr>
              <w:t>/d×0.8=192 m</w:t>
            </w:r>
            <w:r>
              <w:rPr>
                <w:rFonts w:asciiTheme="majorEastAsia" w:hAnsiTheme="majorEastAsia" w:eastAsiaTheme="majorEastAsia"/>
                <w:color w:val="auto"/>
                <w:kern w:val="0"/>
                <w:sz w:val="24"/>
                <w:vertAlign w:val="superscript"/>
              </w:rPr>
              <w:t>3</w:t>
            </w:r>
            <w:r>
              <w:rPr>
                <w:rFonts w:asciiTheme="majorEastAsia" w:hAnsiTheme="majorEastAsia" w:eastAsiaTheme="majorEastAsia"/>
                <w:color w:val="auto"/>
                <w:kern w:val="0"/>
                <w:sz w:val="24"/>
              </w:rPr>
              <w:t>/d</w:t>
            </w:r>
          </w:p>
          <w:p>
            <w:pPr>
              <w:adjustRightInd w:val="0"/>
              <w:snapToGrid w:val="0"/>
              <w:spacing w:line="360" w:lineRule="auto"/>
              <w:ind w:firstLine="482" w:firstLineChars="200"/>
              <w:rPr>
                <w:rFonts w:asciiTheme="majorEastAsia" w:hAnsiTheme="majorEastAsia" w:eastAsiaTheme="majorEastAsia"/>
                <w:b/>
                <w:color w:val="auto"/>
                <w:kern w:val="0"/>
                <w:sz w:val="24"/>
              </w:rPr>
            </w:pPr>
            <w:r>
              <w:rPr>
                <w:rFonts w:asciiTheme="majorEastAsia" w:hAnsiTheme="majorEastAsia" w:eastAsiaTheme="majorEastAsia"/>
                <w:b/>
                <w:color w:val="auto"/>
                <w:kern w:val="0"/>
                <w:sz w:val="24"/>
              </w:rPr>
              <w:t>7.9建设规模的确定</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本项目建设规模的确定主要依据污水治理工程应长远规划，逐步实施，突出重点，</w:t>
            </w:r>
          </w:p>
          <w:p>
            <w:pPr>
              <w:autoSpaceDE w:val="0"/>
              <w:autoSpaceDN w:val="0"/>
              <w:adjustRightInd w:val="0"/>
              <w:snapToGrid w:val="0"/>
              <w:spacing w:line="360" w:lineRule="auto"/>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经济合理、全面优化地解决城镇污水治理问题的原则。</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综上所述，本次污水收集管网设计按远期考虑，设计年限为2030年，一次性建成使用。本工程污水处理站建设规模确定为200 m³/d，远期预留有远期预留用地，以便满足远期污水处理量。</w:t>
            </w:r>
          </w:p>
          <w:p>
            <w:pPr>
              <w:autoSpaceDE w:val="0"/>
              <w:autoSpaceDN w:val="0"/>
              <w:adjustRightInd w:val="0"/>
              <w:snapToGrid w:val="0"/>
              <w:spacing w:line="360" w:lineRule="auto"/>
              <w:ind w:firstLine="482" w:firstLineChars="200"/>
              <w:jc w:val="left"/>
              <w:rPr>
                <w:rFonts w:asciiTheme="majorEastAsia" w:hAnsiTheme="majorEastAsia" w:eastAsiaTheme="majorEastAsia"/>
                <w:b/>
                <w:color w:val="auto"/>
                <w:kern w:val="0"/>
                <w:sz w:val="24"/>
              </w:rPr>
            </w:pPr>
            <w:r>
              <w:rPr>
                <w:rFonts w:asciiTheme="majorEastAsia" w:hAnsiTheme="majorEastAsia" w:eastAsiaTheme="majorEastAsia"/>
                <w:b/>
                <w:color w:val="auto"/>
                <w:kern w:val="0"/>
                <w:sz w:val="24"/>
              </w:rPr>
              <w:t>7.10污水管网工程</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7.10.1污水管网平面布置</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污水管网布置原则：</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⑴</w:t>
            </w:r>
            <w:r>
              <w:rPr>
                <w:rFonts w:asciiTheme="majorEastAsia" w:hAnsiTheme="majorEastAsia" w:eastAsiaTheme="majorEastAsia"/>
                <w:color w:val="auto"/>
                <w:kern w:val="0"/>
                <w:sz w:val="24"/>
              </w:rPr>
              <w:t>应符合区域规划以及城市和工业企业的总体规划；</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⑵</w:t>
            </w:r>
            <w:r>
              <w:rPr>
                <w:rFonts w:asciiTheme="majorEastAsia" w:hAnsiTheme="majorEastAsia" w:eastAsiaTheme="majorEastAsia"/>
                <w:color w:val="auto"/>
                <w:kern w:val="0"/>
                <w:sz w:val="24"/>
              </w:rPr>
              <w:t>污水管道干管管径应考虑到远期，避免重复建设；</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⑶</w:t>
            </w:r>
            <w:r>
              <w:rPr>
                <w:rFonts w:asciiTheme="majorEastAsia" w:hAnsiTheme="majorEastAsia" w:eastAsiaTheme="majorEastAsia"/>
                <w:color w:val="auto"/>
                <w:kern w:val="0"/>
                <w:sz w:val="24"/>
              </w:rPr>
              <w:t>合理地确定控制点管道埋深，综合选择管道坡度及管径，降低整个管线的造价；</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⑷</w:t>
            </w:r>
            <w:r>
              <w:rPr>
                <w:rFonts w:asciiTheme="majorEastAsia" w:hAnsiTheme="majorEastAsia" w:eastAsiaTheme="majorEastAsia"/>
                <w:color w:val="auto"/>
                <w:kern w:val="0"/>
                <w:sz w:val="24"/>
              </w:rPr>
              <w:t>污水干管应布置在污水区域内地势较低或便于污水汇集的街道；</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⑸</w:t>
            </w:r>
            <w:r>
              <w:rPr>
                <w:rFonts w:asciiTheme="majorEastAsia" w:hAnsiTheme="majorEastAsia" w:eastAsiaTheme="majorEastAsia"/>
                <w:color w:val="auto"/>
                <w:kern w:val="0"/>
                <w:sz w:val="24"/>
              </w:rPr>
              <w:t>污水管道穿越河流、铁路、高速公路、地下建（构）筑物或其他障碍时，应选择经济合理路线；</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⑹</w:t>
            </w:r>
            <w:r>
              <w:rPr>
                <w:rFonts w:asciiTheme="majorEastAsia" w:hAnsiTheme="majorEastAsia" w:eastAsiaTheme="majorEastAsia"/>
                <w:color w:val="auto"/>
                <w:kern w:val="0"/>
                <w:sz w:val="24"/>
              </w:rPr>
              <w:t>污水管道在城市道路下的埋设位置应符合《室外排水设计规范（2016年版）》（GB50014-2006）的规定；</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⑺</w:t>
            </w:r>
            <w:r>
              <w:rPr>
                <w:rFonts w:asciiTheme="majorEastAsia" w:hAnsiTheme="majorEastAsia" w:eastAsiaTheme="majorEastAsia"/>
                <w:color w:val="auto"/>
                <w:kern w:val="0"/>
                <w:sz w:val="24"/>
              </w:rPr>
              <w:t>污水干管设计能力应满足污水收集和排放需要；</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⑻</w:t>
            </w:r>
            <w:r>
              <w:rPr>
                <w:rFonts w:asciiTheme="majorEastAsia" w:hAnsiTheme="majorEastAsia" w:eastAsiaTheme="majorEastAsia"/>
                <w:color w:val="auto"/>
                <w:kern w:val="0"/>
                <w:sz w:val="24"/>
              </w:rPr>
              <w:t>有良好的工程地质条件;</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⑼</w:t>
            </w:r>
            <w:r>
              <w:rPr>
                <w:rFonts w:asciiTheme="majorEastAsia" w:hAnsiTheme="majorEastAsia" w:eastAsiaTheme="majorEastAsia"/>
                <w:color w:val="auto"/>
                <w:kern w:val="0"/>
                <w:sz w:val="24"/>
              </w:rPr>
              <w:t>市区工业废水符合排入城市下水道标准的直接排入城市污水污水系统,如果工厂或车间排放的废水含有有毒、有害物质则需先进行预处理，达到排入城市下水道标准后排入城市污水污水系统。</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⑽</w:t>
            </w:r>
            <w:r>
              <w:rPr>
                <w:rFonts w:asciiTheme="majorEastAsia" w:hAnsiTheme="majorEastAsia" w:eastAsiaTheme="majorEastAsia"/>
                <w:color w:val="auto"/>
                <w:kern w:val="0"/>
                <w:sz w:val="24"/>
              </w:rPr>
              <w:t>必须认真贯彻执行国家和地方有关部门制定的现行有关标准、规范或规定。</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本项目管网平面布置图见图4。</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7.10.2管道材质</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污水管道对管材的要求是必须具有足够的强度，满足外部荷载和内部水压的要求，排水管道应具有抵抗污水中杂质冲刷和磨损的能力，管道必须不透水，以防止污水渗透或地下水渗入；管道的内壁应整齐光滑，使水流阻力尽量减少；污水管渠应尽量就地取材，并考虑到预制管件及快速施工的可能，减少运输和施工费用。目前常用的污水管道有钢筋混凝土管(PCP)、聚乙烯（PE）双壁塑料波纹管、玻璃钢夹砂管（RPRM）、HDPE 双壁波纹管、UPVC 管等。</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本项目通过对各种管材的性能进行综合比较，详见表8，管道安装投资表见表9。</w:t>
            </w:r>
          </w:p>
          <w:p>
            <w:pPr>
              <w:autoSpaceDE w:val="0"/>
              <w:autoSpaceDN w:val="0"/>
              <w:adjustRightInd w:val="0"/>
              <w:snapToGrid w:val="0"/>
              <w:spacing w:line="360" w:lineRule="auto"/>
              <w:jc w:val="center"/>
              <w:rPr>
                <w:rFonts w:asciiTheme="majorEastAsia" w:hAnsiTheme="majorEastAsia" w:eastAsiaTheme="majorEastAsia"/>
                <w:b/>
                <w:color w:val="auto"/>
                <w:kern w:val="0"/>
                <w:sz w:val="24"/>
              </w:rPr>
            </w:pPr>
            <w:r>
              <w:rPr>
                <w:rFonts w:asciiTheme="majorEastAsia" w:hAnsiTheme="majorEastAsia" w:eastAsiaTheme="majorEastAsia"/>
                <w:b/>
                <w:color w:val="auto"/>
                <w:kern w:val="0"/>
                <w:sz w:val="24"/>
              </w:rPr>
              <w:t>表8各种管材性能比较</w:t>
            </w:r>
          </w:p>
          <w:tbl>
            <w:tblPr>
              <w:tblStyle w:val="39"/>
              <w:tblW w:w="8813"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2"/>
              <w:gridCol w:w="1762"/>
              <w:gridCol w:w="1763"/>
              <w:gridCol w:w="1763"/>
              <w:gridCol w:w="176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62"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性能管材</w:t>
                  </w:r>
                </w:p>
              </w:tc>
              <w:tc>
                <w:tcPr>
                  <w:tcW w:w="1762"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PCP 管</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UPVC 管</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HDPE 管</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RPMP 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762"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使用寿命</w:t>
                  </w:r>
                </w:p>
              </w:tc>
              <w:tc>
                <w:tcPr>
                  <w:tcW w:w="1762"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较长</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长</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长</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长</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762"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抗渗性能</w:t>
                  </w:r>
                </w:p>
              </w:tc>
              <w:tc>
                <w:tcPr>
                  <w:tcW w:w="1762"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较弱</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强</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强</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762"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防腐能力</w:t>
                  </w:r>
                </w:p>
              </w:tc>
              <w:tc>
                <w:tcPr>
                  <w:tcW w:w="1762"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较强</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强</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强</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762"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承受外压</w:t>
                  </w:r>
                </w:p>
              </w:tc>
              <w:tc>
                <w:tcPr>
                  <w:tcW w:w="1762"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可深埋能承受较大外压</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受外压较差</w:t>
                  </w:r>
                </w:p>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易变形</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受外压较差</w:t>
                  </w:r>
                </w:p>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易变形</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受外压较差</w:t>
                  </w:r>
                </w:p>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易变形</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762"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施工难易</w:t>
                  </w:r>
                </w:p>
              </w:tc>
              <w:tc>
                <w:tcPr>
                  <w:tcW w:w="1762"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较难</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方便</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方便</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方便</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762"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施工方法</w:t>
                  </w:r>
                </w:p>
              </w:tc>
              <w:tc>
                <w:tcPr>
                  <w:tcW w:w="1762"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大开挖顶管</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大开挖</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大开挖</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大开挖顶管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2"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接口形式</w:t>
                  </w:r>
                </w:p>
              </w:tc>
              <w:tc>
                <w:tcPr>
                  <w:tcW w:w="1762"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承插式橡胶圈止水</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承插式</w:t>
                  </w:r>
                </w:p>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橡胶圈止水</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热熔粘接</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套管橡胶圈止水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762"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粗糙度（n 值）</w:t>
                  </w:r>
                </w:p>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水头损失</w:t>
                  </w:r>
                </w:p>
              </w:tc>
              <w:tc>
                <w:tcPr>
                  <w:tcW w:w="1762"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0.013～0.014</w:t>
                  </w:r>
                </w:p>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水头损失较大</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0.009</w:t>
                  </w:r>
                </w:p>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水头损失较小</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0.009</w:t>
                  </w:r>
                </w:p>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水头损失较小</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0.009</w:t>
                  </w:r>
                </w:p>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水头损失较小</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762"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重量</w:t>
                  </w:r>
                </w:p>
              </w:tc>
              <w:tc>
                <w:tcPr>
                  <w:tcW w:w="1762"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较大</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较小</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较小</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较小</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762"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管材运输</w:t>
                  </w:r>
                </w:p>
              </w:tc>
              <w:tc>
                <w:tcPr>
                  <w:tcW w:w="1762"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较麻烦</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方便</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方便</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方便</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762"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对基础要求</w:t>
                  </w:r>
                </w:p>
              </w:tc>
              <w:tc>
                <w:tcPr>
                  <w:tcW w:w="1762"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较高</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较低</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较低</w:t>
                  </w:r>
                </w:p>
              </w:tc>
              <w:tc>
                <w:tcPr>
                  <w:tcW w:w="1763" w:type="dxa"/>
                  <w:vAlign w:val="center"/>
                </w:tcPr>
                <w:p>
                  <w:pPr>
                    <w:autoSpaceDE w:val="0"/>
                    <w:autoSpaceDN w:val="0"/>
                    <w:adjustRightInd w:val="0"/>
                    <w:snapToGrid w:val="0"/>
                    <w:spacing w:line="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较低</w:t>
                  </w:r>
                </w:p>
              </w:tc>
            </w:tr>
          </w:tbl>
          <w:p>
            <w:pPr>
              <w:autoSpaceDE w:val="0"/>
              <w:autoSpaceDN w:val="0"/>
              <w:adjustRightInd w:val="0"/>
              <w:snapToGrid w:val="0"/>
              <w:spacing w:line="360" w:lineRule="auto"/>
              <w:jc w:val="center"/>
              <w:rPr>
                <w:rFonts w:asciiTheme="majorEastAsia" w:hAnsiTheme="majorEastAsia" w:eastAsiaTheme="majorEastAsia"/>
                <w:b/>
                <w:color w:val="auto"/>
                <w:kern w:val="0"/>
                <w:sz w:val="24"/>
              </w:rPr>
            </w:pPr>
            <w:r>
              <w:rPr>
                <w:rFonts w:asciiTheme="majorEastAsia" w:hAnsiTheme="majorEastAsia" w:eastAsiaTheme="majorEastAsia"/>
                <w:b/>
                <w:color w:val="auto"/>
                <w:kern w:val="0"/>
                <w:sz w:val="24"/>
              </w:rPr>
              <w:t>表9污水管道造价比较表</w:t>
            </w:r>
          </w:p>
          <w:tbl>
            <w:tblPr>
              <w:tblStyle w:val="39"/>
              <w:tblW w:w="8908"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35"/>
              <w:gridCol w:w="1189"/>
              <w:gridCol w:w="1535"/>
              <w:gridCol w:w="1067"/>
              <w:gridCol w:w="1618"/>
              <w:gridCol w:w="1134"/>
              <w:gridCol w:w="1530"/>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97" w:hRule="atLeast"/>
                <w:jc w:val="center"/>
              </w:trPr>
              <w:tc>
                <w:tcPr>
                  <w:tcW w:w="835" w:type="dxa"/>
                  <w:vMerge w:val="restart"/>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管径</w:t>
                  </w:r>
                </w:p>
              </w:tc>
              <w:tc>
                <w:tcPr>
                  <w:tcW w:w="2724" w:type="dxa"/>
                  <w:gridSpan w:val="2"/>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玻璃夹砂钢</w:t>
                  </w:r>
                </w:p>
              </w:tc>
              <w:tc>
                <w:tcPr>
                  <w:tcW w:w="2685" w:type="dxa"/>
                  <w:gridSpan w:val="2"/>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钢筋混凝土管</w:t>
                  </w:r>
                </w:p>
              </w:tc>
              <w:tc>
                <w:tcPr>
                  <w:tcW w:w="2664" w:type="dxa"/>
                  <w:gridSpan w:val="2"/>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双壁波纹管</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35" w:type="dxa"/>
                  <w:vMerge w:val="continue"/>
                </w:tcPr>
                <w:p>
                  <w:pPr>
                    <w:autoSpaceDE w:val="0"/>
                    <w:autoSpaceDN w:val="0"/>
                    <w:adjustRightInd w:val="0"/>
                    <w:snapToGrid w:val="0"/>
                    <w:jc w:val="center"/>
                    <w:rPr>
                      <w:rFonts w:asciiTheme="majorEastAsia" w:hAnsiTheme="majorEastAsia" w:eastAsiaTheme="majorEastAsia"/>
                      <w:color w:val="auto"/>
                      <w:kern w:val="0"/>
                      <w:szCs w:val="21"/>
                    </w:rPr>
                  </w:pPr>
                </w:p>
              </w:tc>
              <w:tc>
                <w:tcPr>
                  <w:tcW w:w="1189"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主材单价</w:t>
                  </w:r>
                </w:p>
              </w:tc>
              <w:tc>
                <w:tcPr>
                  <w:tcW w:w="1535"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每米综合造价</w:t>
                  </w:r>
                </w:p>
              </w:tc>
              <w:tc>
                <w:tcPr>
                  <w:tcW w:w="1067"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主材单价</w:t>
                  </w:r>
                </w:p>
              </w:tc>
              <w:tc>
                <w:tcPr>
                  <w:tcW w:w="1618"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每米综合造价</w:t>
                  </w:r>
                </w:p>
              </w:tc>
              <w:tc>
                <w:tcPr>
                  <w:tcW w:w="1134"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主材单价</w:t>
                  </w:r>
                </w:p>
              </w:tc>
              <w:tc>
                <w:tcPr>
                  <w:tcW w:w="1530"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每米综合造价</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79" w:hRule="atLeast"/>
                <w:jc w:val="center"/>
              </w:trPr>
              <w:tc>
                <w:tcPr>
                  <w:tcW w:w="835"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DN300</w:t>
                  </w:r>
                </w:p>
              </w:tc>
              <w:tc>
                <w:tcPr>
                  <w:tcW w:w="1189"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108.00</w:t>
                  </w:r>
                </w:p>
              </w:tc>
              <w:tc>
                <w:tcPr>
                  <w:tcW w:w="1535"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505.00</w:t>
                  </w:r>
                </w:p>
              </w:tc>
              <w:tc>
                <w:tcPr>
                  <w:tcW w:w="1067"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159.00</w:t>
                  </w:r>
                </w:p>
              </w:tc>
              <w:tc>
                <w:tcPr>
                  <w:tcW w:w="1618"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480.00</w:t>
                  </w:r>
                </w:p>
              </w:tc>
              <w:tc>
                <w:tcPr>
                  <w:tcW w:w="1134"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167.14</w:t>
                  </w:r>
                </w:p>
              </w:tc>
              <w:tc>
                <w:tcPr>
                  <w:tcW w:w="1530"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512.55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79" w:hRule="atLeast"/>
                <w:jc w:val="center"/>
              </w:trPr>
              <w:tc>
                <w:tcPr>
                  <w:tcW w:w="835"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DN400</w:t>
                  </w:r>
                </w:p>
              </w:tc>
              <w:tc>
                <w:tcPr>
                  <w:tcW w:w="1189"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148.00</w:t>
                  </w:r>
                </w:p>
              </w:tc>
              <w:tc>
                <w:tcPr>
                  <w:tcW w:w="1535"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610.00</w:t>
                  </w:r>
                </w:p>
              </w:tc>
              <w:tc>
                <w:tcPr>
                  <w:tcW w:w="1067"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240.00</w:t>
                  </w:r>
                </w:p>
              </w:tc>
              <w:tc>
                <w:tcPr>
                  <w:tcW w:w="1618"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590.00</w:t>
                  </w:r>
                </w:p>
              </w:tc>
              <w:tc>
                <w:tcPr>
                  <w:tcW w:w="1134"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256.77</w:t>
                  </w:r>
                </w:p>
              </w:tc>
              <w:tc>
                <w:tcPr>
                  <w:tcW w:w="1530"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671.05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79" w:hRule="atLeast"/>
                <w:jc w:val="center"/>
              </w:trPr>
              <w:tc>
                <w:tcPr>
                  <w:tcW w:w="835"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DN500</w:t>
                  </w:r>
                </w:p>
              </w:tc>
              <w:tc>
                <w:tcPr>
                  <w:tcW w:w="1189"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185.00</w:t>
                  </w:r>
                </w:p>
              </w:tc>
              <w:tc>
                <w:tcPr>
                  <w:tcW w:w="1535"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760.00</w:t>
                  </w:r>
                </w:p>
              </w:tc>
              <w:tc>
                <w:tcPr>
                  <w:tcW w:w="1067"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345.00</w:t>
                  </w:r>
                </w:p>
              </w:tc>
              <w:tc>
                <w:tcPr>
                  <w:tcW w:w="1618"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780.00</w:t>
                  </w:r>
                </w:p>
              </w:tc>
              <w:tc>
                <w:tcPr>
                  <w:tcW w:w="1134"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428.58</w:t>
                  </w:r>
                </w:p>
              </w:tc>
              <w:tc>
                <w:tcPr>
                  <w:tcW w:w="1530"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954.23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97" w:hRule="atLeast"/>
                <w:jc w:val="center"/>
              </w:trPr>
              <w:tc>
                <w:tcPr>
                  <w:tcW w:w="835"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DN600</w:t>
                  </w:r>
                </w:p>
              </w:tc>
              <w:tc>
                <w:tcPr>
                  <w:tcW w:w="1189"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222.00</w:t>
                  </w:r>
                </w:p>
              </w:tc>
              <w:tc>
                <w:tcPr>
                  <w:tcW w:w="1535"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880.00</w:t>
                  </w:r>
                </w:p>
              </w:tc>
              <w:tc>
                <w:tcPr>
                  <w:tcW w:w="1067"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555.00</w:t>
                  </w:r>
                </w:p>
              </w:tc>
              <w:tc>
                <w:tcPr>
                  <w:tcW w:w="1618"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1150.00</w:t>
                  </w:r>
                </w:p>
              </w:tc>
              <w:tc>
                <w:tcPr>
                  <w:tcW w:w="1134"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737.65</w:t>
                  </w:r>
                </w:p>
              </w:tc>
              <w:tc>
                <w:tcPr>
                  <w:tcW w:w="1530"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1374.67</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97" w:hRule="atLeast"/>
                <w:jc w:val="center"/>
              </w:trPr>
              <w:tc>
                <w:tcPr>
                  <w:tcW w:w="8908" w:type="dxa"/>
                  <w:gridSpan w:val="7"/>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管道综合造价中包括土方挖填、条形基础、砂垫层、各类检查井等费用。</w:t>
                  </w:r>
                </w:p>
              </w:tc>
            </w:tr>
          </w:tbl>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对于钢筋混凝土管和HDPE管，DN300～DN400的钢砼管每米综合造价稍高于HDPE 管，管径超过DN400时，HDPE 管的综合造价高于钢砼管，DN500的HDPE管超出钢砼管的价格不多，但是超过DN600时，价格差距较大。另外，HDPE 管道较钢筋混凝土管运输量少、安装方便，施工周期短，并且相应国家倡导的节能政策要求。因此本工程考虑污水管道管材采用HDPE（SN8级）双壁波纹管。</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7.10.3污水管道设计计算</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管径及坡度的水力计算采用谢才公式：</w:t>
            </w:r>
          </w:p>
          <w:p>
            <w:pPr>
              <w:autoSpaceDE w:val="0"/>
              <w:autoSpaceDN w:val="0"/>
              <w:adjustRightInd w:val="0"/>
              <w:snapToGrid w:val="0"/>
              <w:spacing w:line="360" w:lineRule="auto"/>
              <w:ind w:left="1905" w:leftChars="473" w:hanging="912" w:hangingChars="38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Q=v·A</w:t>
            </w:r>
          </w:p>
          <w:p>
            <w:pPr>
              <w:autoSpaceDE w:val="0"/>
              <w:autoSpaceDN w:val="0"/>
              <w:adjustRightInd w:val="0"/>
              <w:snapToGrid w:val="0"/>
              <w:spacing w:line="360" w:lineRule="auto"/>
              <w:ind w:left="1905" w:leftChars="473" w:hanging="912" w:hangingChars="38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v=1/n·R 2/3 ·i 1/2</w:t>
            </w:r>
          </w:p>
          <w:p>
            <w:pPr>
              <w:autoSpaceDE w:val="0"/>
              <w:autoSpaceDN w:val="0"/>
              <w:adjustRightInd w:val="0"/>
              <w:snapToGrid w:val="0"/>
              <w:spacing w:line="360" w:lineRule="auto"/>
              <w:ind w:left="1905" w:leftChars="473" w:hanging="912" w:hangingChars="38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当 h＜D/2 时，</w:t>
            </w:r>
          </w:p>
          <w:p>
            <w:pPr>
              <w:autoSpaceDE w:val="0"/>
              <w:autoSpaceDN w:val="0"/>
              <w:adjustRightInd w:val="0"/>
              <w:snapToGrid w:val="0"/>
              <w:spacing w:line="360" w:lineRule="auto"/>
              <w:ind w:left="1905" w:leftChars="473" w:hanging="912" w:hangingChars="38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A=（θ－sinθcosθ）r 2 ，</w:t>
            </w:r>
          </w:p>
          <w:p>
            <w:pPr>
              <w:autoSpaceDE w:val="0"/>
              <w:autoSpaceDN w:val="0"/>
              <w:adjustRightInd w:val="0"/>
              <w:snapToGrid w:val="0"/>
              <w:spacing w:line="360" w:lineRule="auto"/>
              <w:ind w:left="1905" w:leftChars="473" w:hanging="912" w:hangingChars="38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R=（θ－sinθcosθ）r/2θ</w:t>
            </w:r>
          </w:p>
          <w:p>
            <w:pPr>
              <w:autoSpaceDE w:val="0"/>
              <w:autoSpaceDN w:val="0"/>
              <w:adjustRightInd w:val="0"/>
              <w:snapToGrid w:val="0"/>
              <w:spacing w:line="360" w:lineRule="auto"/>
              <w:ind w:left="1905" w:leftChars="473" w:hanging="912" w:hangingChars="38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当 h＞D/2 时，</w:t>
            </w:r>
          </w:p>
          <w:p>
            <w:pPr>
              <w:autoSpaceDE w:val="0"/>
              <w:autoSpaceDN w:val="0"/>
              <w:adjustRightInd w:val="0"/>
              <w:snapToGrid w:val="0"/>
              <w:spacing w:line="360" w:lineRule="auto"/>
              <w:ind w:left="1905" w:leftChars="473" w:hanging="912" w:hangingChars="38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A=（π－θ＋sinθcosθ）r 2</w:t>
            </w:r>
          </w:p>
          <w:p>
            <w:pPr>
              <w:autoSpaceDE w:val="0"/>
              <w:autoSpaceDN w:val="0"/>
              <w:adjustRightInd w:val="0"/>
              <w:snapToGrid w:val="0"/>
              <w:spacing w:line="360" w:lineRule="auto"/>
              <w:ind w:left="1905" w:leftChars="473" w:hanging="912" w:hangingChars="38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R=（π－θ＋sinθcosθ）r/2（π－θ）</w:t>
            </w:r>
          </w:p>
          <w:p>
            <w:pPr>
              <w:autoSpaceDE w:val="0"/>
              <w:autoSpaceDN w:val="0"/>
              <w:adjustRightInd w:val="0"/>
              <w:snapToGrid w:val="0"/>
              <w:spacing w:line="360" w:lineRule="auto"/>
              <w:ind w:left="1905" w:leftChars="473" w:hanging="912" w:hangingChars="38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式中： D — 管径；</w:t>
            </w:r>
          </w:p>
          <w:p>
            <w:pPr>
              <w:autoSpaceDE w:val="0"/>
              <w:autoSpaceDN w:val="0"/>
              <w:adjustRightInd w:val="0"/>
              <w:snapToGrid w:val="0"/>
              <w:spacing w:line="360" w:lineRule="auto"/>
              <w:ind w:left="1905" w:leftChars="473" w:hanging="912" w:hangingChars="38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v — 流速（m/s）；</w:t>
            </w:r>
          </w:p>
          <w:p>
            <w:pPr>
              <w:autoSpaceDE w:val="0"/>
              <w:autoSpaceDN w:val="0"/>
              <w:adjustRightInd w:val="0"/>
              <w:snapToGrid w:val="0"/>
              <w:spacing w:line="360" w:lineRule="auto"/>
              <w:ind w:left="1905" w:leftChars="473" w:hanging="912" w:hangingChars="38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n — 粗糙系数；</w:t>
            </w:r>
          </w:p>
          <w:p>
            <w:pPr>
              <w:autoSpaceDE w:val="0"/>
              <w:autoSpaceDN w:val="0"/>
              <w:adjustRightInd w:val="0"/>
              <w:snapToGrid w:val="0"/>
              <w:spacing w:line="360" w:lineRule="auto"/>
              <w:ind w:left="1905" w:leftChars="473" w:hanging="912" w:hangingChars="38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Q — 流量（m³/s）；</w:t>
            </w:r>
          </w:p>
          <w:p>
            <w:pPr>
              <w:autoSpaceDE w:val="0"/>
              <w:autoSpaceDN w:val="0"/>
              <w:adjustRightInd w:val="0"/>
              <w:snapToGrid w:val="0"/>
              <w:spacing w:line="360" w:lineRule="auto"/>
              <w:ind w:left="1905" w:leftChars="473" w:hanging="912" w:hangingChars="38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i — 水力坡降；</w:t>
            </w:r>
          </w:p>
          <w:p>
            <w:pPr>
              <w:autoSpaceDE w:val="0"/>
              <w:autoSpaceDN w:val="0"/>
              <w:adjustRightInd w:val="0"/>
              <w:snapToGrid w:val="0"/>
              <w:spacing w:line="360" w:lineRule="auto"/>
              <w:ind w:left="1905" w:leftChars="473" w:hanging="912" w:hangingChars="38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A — 水流断面积（m</w:t>
            </w:r>
            <w:r>
              <w:rPr>
                <w:rFonts w:asciiTheme="majorEastAsia" w:hAnsiTheme="majorEastAsia" w:eastAsiaTheme="majorEastAsia"/>
                <w:color w:val="auto"/>
                <w:kern w:val="0"/>
                <w:sz w:val="24"/>
                <w:vertAlign w:val="superscript"/>
              </w:rPr>
              <w:t>2</w:t>
            </w:r>
            <w:r>
              <w:rPr>
                <w:rFonts w:asciiTheme="majorEastAsia" w:hAnsiTheme="majorEastAsia" w:eastAsiaTheme="majorEastAsia"/>
                <w:color w:val="auto"/>
                <w:kern w:val="0"/>
                <w:sz w:val="24"/>
              </w:rPr>
              <w:t>）；</w:t>
            </w:r>
          </w:p>
          <w:p>
            <w:pPr>
              <w:autoSpaceDE w:val="0"/>
              <w:autoSpaceDN w:val="0"/>
              <w:adjustRightInd w:val="0"/>
              <w:snapToGrid w:val="0"/>
              <w:spacing w:line="360" w:lineRule="auto"/>
              <w:ind w:left="1905" w:leftChars="473" w:hanging="912" w:hangingChars="38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R — 水力半径（m）。</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本工程设计管径为DN300管线的坡度取最小坡度3.0‰，设计流速0.4~1.0m/s。管径为DN300的设计充满度为0.1~0.5。</w:t>
            </w:r>
          </w:p>
          <w:p>
            <w:pPr>
              <w:autoSpaceDE w:val="0"/>
              <w:autoSpaceDN w:val="0"/>
              <w:adjustRightInd w:val="0"/>
              <w:snapToGrid w:val="0"/>
              <w:spacing w:line="360" w:lineRule="auto"/>
              <w:jc w:val="left"/>
              <w:rPr>
                <w:rFonts w:asciiTheme="majorEastAsia" w:hAnsiTheme="majorEastAsia" w:eastAsiaTheme="majorEastAsia"/>
                <w:color w:val="auto"/>
                <w:kern w:val="0"/>
                <w:sz w:val="24"/>
              </w:rPr>
            </w:pPr>
          </w:p>
          <w:p>
            <w:pPr>
              <w:autoSpaceDE w:val="0"/>
              <w:autoSpaceDN w:val="0"/>
              <w:adjustRightInd w:val="0"/>
              <w:snapToGrid w:val="0"/>
              <w:spacing w:line="360" w:lineRule="auto"/>
              <w:jc w:val="center"/>
              <w:rPr>
                <w:rFonts w:asciiTheme="majorEastAsia" w:hAnsiTheme="majorEastAsia" w:eastAsiaTheme="majorEastAsia"/>
                <w:color w:val="auto"/>
                <w:kern w:val="0"/>
                <w:sz w:val="24"/>
              </w:rPr>
            </w:pPr>
            <w:r>
              <w:rPr>
                <w:rFonts w:asciiTheme="majorEastAsia" w:hAnsiTheme="majorEastAsia" w:eastAsiaTheme="majorEastAsia"/>
                <w:color w:val="auto"/>
              </w:rPr>
              <w:drawing>
                <wp:inline distT="0" distB="0" distL="0" distR="0">
                  <wp:extent cx="5561965" cy="27908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562506" cy="2790825"/>
                          </a:xfrm>
                          <a:prstGeom prst="rect">
                            <a:avLst/>
                          </a:prstGeom>
                        </pic:spPr>
                      </pic:pic>
                    </a:graphicData>
                  </a:graphic>
                </wp:inline>
              </w:drawing>
            </w:r>
          </w:p>
          <w:p>
            <w:pPr>
              <w:autoSpaceDE w:val="0"/>
              <w:autoSpaceDN w:val="0"/>
              <w:adjustRightInd w:val="0"/>
              <w:snapToGrid w:val="0"/>
              <w:spacing w:line="360" w:lineRule="auto"/>
              <w:ind w:firstLine="480" w:firstLineChars="200"/>
              <w:jc w:val="center"/>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图5污水管道水力计算简图</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本工程管道设计计算按远期规划最高日最高时流量设计。经现状水量复核，流速满足规范要求。管道水力计算详见污水管道水力计算表表10。</w:t>
            </w:r>
          </w:p>
          <w:p>
            <w:pPr>
              <w:autoSpaceDE w:val="0"/>
              <w:autoSpaceDN w:val="0"/>
              <w:adjustRightInd w:val="0"/>
              <w:snapToGrid w:val="0"/>
              <w:spacing w:line="360" w:lineRule="auto"/>
              <w:jc w:val="center"/>
              <w:rPr>
                <w:rFonts w:asciiTheme="majorEastAsia" w:hAnsiTheme="majorEastAsia" w:eastAsiaTheme="majorEastAsia"/>
                <w:b/>
                <w:color w:val="auto"/>
                <w:kern w:val="0"/>
                <w:sz w:val="24"/>
              </w:rPr>
            </w:pPr>
            <w:r>
              <w:rPr>
                <w:rFonts w:asciiTheme="majorEastAsia" w:hAnsiTheme="majorEastAsia" w:eastAsiaTheme="majorEastAsia"/>
                <w:b/>
                <w:color w:val="auto"/>
                <w:kern w:val="0"/>
                <w:sz w:val="24"/>
              </w:rPr>
              <w:t>表10污水管道水力计算表</w:t>
            </w:r>
          </w:p>
          <w:tbl>
            <w:tblPr>
              <w:tblStyle w:val="39"/>
              <w:tblW w:w="9063"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5"/>
              <w:gridCol w:w="409"/>
              <w:gridCol w:w="599"/>
              <w:gridCol w:w="791"/>
              <w:gridCol w:w="695"/>
              <w:gridCol w:w="695"/>
              <w:gridCol w:w="695"/>
              <w:gridCol w:w="504"/>
              <w:gridCol w:w="791"/>
              <w:gridCol w:w="791"/>
              <w:gridCol w:w="599"/>
              <w:gridCol w:w="599"/>
              <w:gridCol w:w="695"/>
              <w:gridCol w:w="69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505" w:type="dxa"/>
                  <w:vMerge w:val="restart"/>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管段编号</w:t>
                  </w:r>
                </w:p>
              </w:tc>
              <w:tc>
                <w:tcPr>
                  <w:tcW w:w="3884" w:type="dxa"/>
                  <w:gridSpan w:val="6"/>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居民生活污水日平均流量分配</w:t>
                  </w:r>
                </w:p>
              </w:tc>
              <w:tc>
                <w:tcPr>
                  <w:tcW w:w="2086" w:type="dxa"/>
                  <w:gridSpan w:val="3"/>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管段设计流量计</w:t>
                  </w:r>
                </w:p>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算</w:t>
                  </w:r>
                </w:p>
              </w:tc>
              <w:tc>
                <w:tcPr>
                  <w:tcW w:w="599" w:type="dxa"/>
                  <w:vMerge w:val="restart"/>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管径</w:t>
                  </w:r>
                </w:p>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(mm)</w:t>
                  </w:r>
                </w:p>
              </w:tc>
              <w:tc>
                <w:tcPr>
                  <w:tcW w:w="599" w:type="dxa"/>
                  <w:vMerge w:val="restart"/>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坡度</w:t>
                  </w:r>
                </w:p>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w:t>
                  </w:r>
                </w:p>
              </w:tc>
              <w:tc>
                <w:tcPr>
                  <w:tcW w:w="695" w:type="dxa"/>
                  <w:vMerge w:val="restart"/>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流速</w:t>
                  </w:r>
                </w:p>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(m/s)</w:t>
                  </w:r>
                </w:p>
              </w:tc>
              <w:tc>
                <w:tcPr>
                  <w:tcW w:w="695" w:type="dxa"/>
                  <w:vMerge w:val="restart"/>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充满度</w:t>
                  </w:r>
                </w:p>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(h/D)</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505" w:type="dxa"/>
                  <w:vMerge w:val="continue"/>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p>
              </w:tc>
              <w:tc>
                <w:tcPr>
                  <w:tcW w:w="2494" w:type="dxa"/>
                  <w:gridSpan w:val="4"/>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本段</w:t>
                  </w:r>
                </w:p>
              </w:tc>
              <w:tc>
                <w:tcPr>
                  <w:tcW w:w="695" w:type="dxa"/>
                  <w:vMerge w:val="restart"/>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转输流量(L/s)</w:t>
                  </w:r>
                </w:p>
              </w:tc>
              <w:tc>
                <w:tcPr>
                  <w:tcW w:w="695" w:type="dxa"/>
                  <w:vMerge w:val="restart"/>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合计流量(L/s)</w:t>
                  </w:r>
                </w:p>
              </w:tc>
              <w:tc>
                <w:tcPr>
                  <w:tcW w:w="504" w:type="dxa"/>
                  <w:vMerge w:val="restart"/>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总变</w:t>
                  </w:r>
                </w:p>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化系</w:t>
                  </w:r>
                </w:p>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数</w:t>
                  </w:r>
                </w:p>
              </w:tc>
              <w:tc>
                <w:tcPr>
                  <w:tcW w:w="791" w:type="dxa"/>
                  <w:vMerge w:val="restart"/>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沿线流量(L/s)</w:t>
                  </w:r>
                </w:p>
              </w:tc>
              <w:tc>
                <w:tcPr>
                  <w:tcW w:w="791" w:type="dxa"/>
                  <w:vMerge w:val="restart"/>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设计流</w:t>
                  </w:r>
                </w:p>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量(L/s)</w:t>
                  </w:r>
                </w:p>
              </w:tc>
              <w:tc>
                <w:tcPr>
                  <w:tcW w:w="599" w:type="dxa"/>
                  <w:vMerge w:val="continue"/>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p>
              </w:tc>
              <w:tc>
                <w:tcPr>
                  <w:tcW w:w="599" w:type="dxa"/>
                  <w:vMerge w:val="continue"/>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p>
              </w:tc>
              <w:tc>
                <w:tcPr>
                  <w:tcW w:w="695" w:type="dxa"/>
                  <w:vMerge w:val="continue"/>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p>
              </w:tc>
              <w:tc>
                <w:tcPr>
                  <w:tcW w:w="695" w:type="dxa"/>
                  <w:vMerge w:val="continue"/>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505" w:type="dxa"/>
                  <w:vMerge w:val="continue"/>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p>
              </w:tc>
              <w:tc>
                <w:tcPr>
                  <w:tcW w:w="409"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街坊编号</w:t>
                  </w:r>
                </w:p>
              </w:tc>
              <w:tc>
                <w:tcPr>
                  <w:tcW w:w="599"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街坊面积(ha)</w:t>
                  </w:r>
                </w:p>
              </w:tc>
              <w:tc>
                <w:tcPr>
                  <w:tcW w:w="791"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比流量</w:t>
                  </w:r>
                </w:p>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[(L/s)</w:t>
                  </w:r>
                </w:p>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/ha]</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流量</w:t>
                  </w:r>
                </w:p>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(L/s)</w:t>
                  </w:r>
                </w:p>
              </w:tc>
              <w:tc>
                <w:tcPr>
                  <w:tcW w:w="695" w:type="dxa"/>
                  <w:vMerge w:val="continue"/>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p>
              </w:tc>
              <w:tc>
                <w:tcPr>
                  <w:tcW w:w="695" w:type="dxa"/>
                  <w:vMerge w:val="continue"/>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p>
              </w:tc>
              <w:tc>
                <w:tcPr>
                  <w:tcW w:w="504" w:type="dxa"/>
                  <w:vMerge w:val="continue"/>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p>
              </w:tc>
              <w:tc>
                <w:tcPr>
                  <w:tcW w:w="791" w:type="dxa"/>
                  <w:vMerge w:val="continue"/>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p>
              </w:tc>
              <w:tc>
                <w:tcPr>
                  <w:tcW w:w="791" w:type="dxa"/>
                  <w:vMerge w:val="continue"/>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p>
              </w:tc>
              <w:tc>
                <w:tcPr>
                  <w:tcW w:w="599" w:type="dxa"/>
                  <w:vMerge w:val="continue"/>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p>
              </w:tc>
              <w:tc>
                <w:tcPr>
                  <w:tcW w:w="599" w:type="dxa"/>
                  <w:vMerge w:val="continue"/>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p>
              </w:tc>
              <w:tc>
                <w:tcPr>
                  <w:tcW w:w="695" w:type="dxa"/>
                  <w:vMerge w:val="continue"/>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p>
              </w:tc>
              <w:tc>
                <w:tcPr>
                  <w:tcW w:w="695" w:type="dxa"/>
                  <w:vMerge w:val="continue"/>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0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1-2</w:t>
                  </w:r>
                </w:p>
              </w:tc>
              <w:tc>
                <w:tcPr>
                  <w:tcW w:w="409"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①</w:t>
                  </w:r>
                </w:p>
              </w:tc>
              <w:tc>
                <w:tcPr>
                  <w:tcW w:w="599"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15.0</w:t>
                  </w:r>
                </w:p>
              </w:tc>
              <w:tc>
                <w:tcPr>
                  <w:tcW w:w="791"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0.130</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1.95</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1.95</w:t>
                  </w:r>
                </w:p>
              </w:tc>
              <w:tc>
                <w:tcPr>
                  <w:tcW w:w="504"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2.3</w:t>
                  </w:r>
                </w:p>
              </w:tc>
              <w:tc>
                <w:tcPr>
                  <w:tcW w:w="791"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4.370</w:t>
                  </w:r>
                </w:p>
              </w:tc>
              <w:tc>
                <w:tcPr>
                  <w:tcW w:w="791"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40.211</w:t>
                  </w:r>
                </w:p>
              </w:tc>
              <w:tc>
                <w:tcPr>
                  <w:tcW w:w="599"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300</w:t>
                  </w:r>
                </w:p>
              </w:tc>
              <w:tc>
                <w:tcPr>
                  <w:tcW w:w="599"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9</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1.522</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0.40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0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5-6</w:t>
                  </w:r>
                </w:p>
              </w:tc>
              <w:tc>
                <w:tcPr>
                  <w:tcW w:w="409"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②</w:t>
                  </w:r>
                </w:p>
              </w:tc>
              <w:tc>
                <w:tcPr>
                  <w:tcW w:w="599"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15.0</w:t>
                  </w:r>
                </w:p>
              </w:tc>
              <w:tc>
                <w:tcPr>
                  <w:tcW w:w="791"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0.130</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1.95</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1.95</w:t>
                  </w:r>
                </w:p>
              </w:tc>
              <w:tc>
                <w:tcPr>
                  <w:tcW w:w="504"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2.3</w:t>
                  </w:r>
                </w:p>
              </w:tc>
              <w:tc>
                <w:tcPr>
                  <w:tcW w:w="791"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4.370</w:t>
                  </w:r>
                </w:p>
              </w:tc>
              <w:tc>
                <w:tcPr>
                  <w:tcW w:w="791"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40.211</w:t>
                  </w:r>
                </w:p>
              </w:tc>
              <w:tc>
                <w:tcPr>
                  <w:tcW w:w="599"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300</w:t>
                  </w:r>
                </w:p>
              </w:tc>
              <w:tc>
                <w:tcPr>
                  <w:tcW w:w="599"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9</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1.522</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0.40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0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6-2</w:t>
                  </w:r>
                </w:p>
              </w:tc>
              <w:tc>
                <w:tcPr>
                  <w:tcW w:w="409"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p>
              </w:tc>
              <w:tc>
                <w:tcPr>
                  <w:tcW w:w="599"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w:t>
                  </w:r>
                </w:p>
              </w:tc>
              <w:tc>
                <w:tcPr>
                  <w:tcW w:w="791"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0.130</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1.95</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1.95</w:t>
                  </w:r>
                </w:p>
              </w:tc>
              <w:tc>
                <w:tcPr>
                  <w:tcW w:w="504"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2.3</w:t>
                  </w:r>
                </w:p>
              </w:tc>
              <w:tc>
                <w:tcPr>
                  <w:tcW w:w="791"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4.370</w:t>
                  </w:r>
                </w:p>
              </w:tc>
              <w:tc>
                <w:tcPr>
                  <w:tcW w:w="791"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28.679</w:t>
                  </w:r>
                </w:p>
              </w:tc>
              <w:tc>
                <w:tcPr>
                  <w:tcW w:w="599"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300</w:t>
                  </w:r>
                </w:p>
              </w:tc>
              <w:tc>
                <w:tcPr>
                  <w:tcW w:w="599"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3</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0.930</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0.45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0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4-2</w:t>
                  </w:r>
                </w:p>
              </w:tc>
              <w:tc>
                <w:tcPr>
                  <w:tcW w:w="409"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③</w:t>
                  </w:r>
                </w:p>
              </w:tc>
              <w:tc>
                <w:tcPr>
                  <w:tcW w:w="599"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5.0</w:t>
                  </w:r>
                </w:p>
              </w:tc>
              <w:tc>
                <w:tcPr>
                  <w:tcW w:w="791"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0.130</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0.65</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0.65</w:t>
                  </w:r>
                </w:p>
              </w:tc>
              <w:tc>
                <w:tcPr>
                  <w:tcW w:w="504"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2.3</w:t>
                  </w:r>
                </w:p>
              </w:tc>
              <w:tc>
                <w:tcPr>
                  <w:tcW w:w="791"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1.495</w:t>
                  </w:r>
                </w:p>
              </w:tc>
              <w:tc>
                <w:tcPr>
                  <w:tcW w:w="791"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23.223</w:t>
                  </w:r>
                </w:p>
              </w:tc>
              <w:tc>
                <w:tcPr>
                  <w:tcW w:w="599"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300</w:t>
                  </w:r>
                </w:p>
              </w:tc>
              <w:tc>
                <w:tcPr>
                  <w:tcW w:w="599"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3</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0.879</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0.40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0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2-3</w:t>
                  </w:r>
                </w:p>
              </w:tc>
              <w:tc>
                <w:tcPr>
                  <w:tcW w:w="409"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④</w:t>
                  </w:r>
                </w:p>
              </w:tc>
              <w:tc>
                <w:tcPr>
                  <w:tcW w:w="599"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5.0</w:t>
                  </w:r>
                </w:p>
              </w:tc>
              <w:tc>
                <w:tcPr>
                  <w:tcW w:w="791"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0.130</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0.65</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4.55</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5.20</w:t>
                  </w:r>
                </w:p>
              </w:tc>
              <w:tc>
                <w:tcPr>
                  <w:tcW w:w="504"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2.3</w:t>
                  </w:r>
                </w:p>
              </w:tc>
              <w:tc>
                <w:tcPr>
                  <w:tcW w:w="791"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11.960</w:t>
                  </w:r>
                </w:p>
              </w:tc>
              <w:tc>
                <w:tcPr>
                  <w:tcW w:w="791"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34.437</w:t>
                  </w:r>
                </w:p>
              </w:tc>
              <w:tc>
                <w:tcPr>
                  <w:tcW w:w="599"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300</w:t>
                  </w:r>
                </w:p>
              </w:tc>
              <w:tc>
                <w:tcPr>
                  <w:tcW w:w="599"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3</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0.974</w:t>
                  </w:r>
                </w:p>
              </w:tc>
              <w:tc>
                <w:tcPr>
                  <w:tcW w:w="695" w:type="dxa"/>
                  <w:vAlign w:val="center"/>
                </w:tcPr>
                <w:p>
                  <w:pPr>
                    <w:autoSpaceDE w:val="0"/>
                    <w:autoSpaceDN w:val="0"/>
                    <w:adjustRightInd w:val="0"/>
                    <w:snapToGrid w:val="0"/>
                    <w:spacing w:line="20" w:lineRule="atLeast"/>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0.50</w:t>
                  </w:r>
                </w:p>
              </w:tc>
            </w:tr>
          </w:tbl>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7.10.4污水管道布置</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拟建污水管道敷设于道路两侧人行道下，收集金村村居民生活污水，污水经收集后排至本工程拟建污水处理站，处理达标后排放。本工程新建污水干管管径DN300，为方便道路两侧区域污水排放，道路交叉口处预留管管径DN300，每街坊处布置DN300预留管。污水管道管材采用HDPE双壁波纹管（环刚度不小于 SN8），下沟管道采用钢管。污水检查井最大间距40m，管道与检查井之间采用橡胶圈柔性连接。管道起端覆土深度为1.50m。</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7.10.5附属构筑物</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（1）检查井</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根据《室外排水设计规范》（GB50014-2006）（2016年版），按照污水管道管径的大小，设计检查井间距，检查井采用钢砼井。检查井最大间距及其设计参数遵守《室外排水设计规范》（GB50014-2006）（2016 年版），具体见下表11。</w:t>
            </w:r>
          </w:p>
          <w:p>
            <w:pPr>
              <w:autoSpaceDE w:val="0"/>
              <w:autoSpaceDN w:val="0"/>
              <w:adjustRightInd w:val="0"/>
              <w:snapToGrid w:val="0"/>
              <w:spacing w:line="360" w:lineRule="auto"/>
              <w:jc w:val="center"/>
              <w:rPr>
                <w:rFonts w:asciiTheme="majorEastAsia" w:hAnsiTheme="majorEastAsia" w:eastAsiaTheme="majorEastAsia"/>
                <w:b/>
                <w:color w:val="auto"/>
                <w:kern w:val="0"/>
                <w:sz w:val="24"/>
              </w:rPr>
            </w:pPr>
            <w:r>
              <w:rPr>
                <w:rFonts w:asciiTheme="majorEastAsia" w:hAnsiTheme="majorEastAsia" w:eastAsiaTheme="majorEastAsia"/>
                <w:b/>
                <w:color w:val="auto"/>
                <w:kern w:val="0"/>
                <w:sz w:val="24"/>
              </w:rPr>
              <w:t>表11检查井最大间距</w:t>
            </w:r>
          </w:p>
          <w:tbl>
            <w:tblPr>
              <w:tblStyle w:val="39"/>
              <w:tblW w:w="8882"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441"/>
              <w:gridCol w:w="4441"/>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441"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管径（mm）</w:t>
                  </w:r>
                </w:p>
              </w:tc>
              <w:tc>
                <w:tcPr>
                  <w:tcW w:w="4441"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最大间距（m）</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441"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200-400</w:t>
                  </w:r>
                </w:p>
              </w:tc>
              <w:tc>
                <w:tcPr>
                  <w:tcW w:w="4441"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40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441"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500-700</w:t>
                  </w:r>
                </w:p>
              </w:tc>
              <w:tc>
                <w:tcPr>
                  <w:tcW w:w="4441"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60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441"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800-1000</w:t>
                  </w:r>
                </w:p>
              </w:tc>
              <w:tc>
                <w:tcPr>
                  <w:tcW w:w="4441"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80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441"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1100-1500</w:t>
                  </w:r>
                </w:p>
              </w:tc>
              <w:tc>
                <w:tcPr>
                  <w:tcW w:w="4441" w:type="dxa"/>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100</w:t>
                  </w:r>
                </w:p>
              </w:tc>
            </w:tr>
          </w:tbl>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（2）预留管</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为了方便道路两侧街坊污水管的接入，每街坊处设置管径为DN300的预留支管。</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（3）管道基础及接口形式</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管道基础采用 120°中粗砂基础，管道接口采用橡胶圈柔性接口。</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7.10.6管道工程量统计</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本项目污水工程量一览表见表12。</w:t>
            </w:r>
          </w:p>
          <w:p>
            <w:pPr>
              <w:autoSpaceDE w:val="0"/>
              <w:autoSpaceDN w:val="0"/>
              <w:adjustRightInd w:val="0"/>
              <w:snapToGrid w:val="0"/>
              <w:spacing w:line="360" w:lineRule="auto"/>
              <w:jc w:val="center"/>
              <w:rPr>
                <w:rFonts w:asciiTheme="majorEastAsia" w:hAnsiTheme="majorEastAsia" w:eastAsiaTheme="majorEastAsia"/>
                <w:b/>
                <w:color w:val="auto"/>
                <w:kern w:val="0"/>
                <w:sz w:val="24"/>
              </w:rPr>
            </w:pPr>
            <w:r>
              <w:rPr>
                <w:rFonts w:asciiTheme="majorEastAsia" w:hAnsiTheme="majorEastAsia" w:eastAsiaTheme="majorEastAsia"/>
                <w:b/>
                <w:color w:val="auto"/>
                <w:kern w:val="0"/>
                <w:sz w:val="24"/>
              </w:rPr>
              <w:t>表12污水收集管主要工程量表</w:t>
            </w:r>
          </w:p>
          <w:tbl>
            <w:tblPr>
              <w:tblStyle w:val="39"/>
              <w:tblW w:w="8882"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43"/>
              <w:gridCol w:w="2044"/>
              <w:gridCol w:w="1266"/>
              <w:gridCol w:w="1157"/>
              <w:gridCol w:w="1223"/>
              <w:gridCol w:w="1316"/>
              <w:gridCol w:w="1133"/>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0" w:hRule="atLeast"/>
                <w:jc w:val="center"/>
              </w:trPr>
              <w:tc>
                <w:tcPr>
                  <w:tcW w:w="74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编号</w:t>
                  </w:r>
                </w:p>
              </w:tc>
              <w:tc>
                <w:tcPr>
                  <w:tcW w:w="2044"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名称</w:t>
                  </w:r>
                </w:p>
              </w:tc>
              <w:tc>
                <w:tcPr>
                  <w:tcW w:w="1266"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规格</w:t>
                  </w:r>
                </w:p>
              </w:tc>
              <w:tc>
                <w:tcPr>
                  <w:tcW w:w="1157"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材料</w:t>
                  </w:r>
                </w:p>
              </w:tc>
              <w:tc>
                <w:tcPr>
                  <w:tcW w:w="122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单位</w:t>
                  </w:r>
                </w:p>
              </w:tc>
              <w:tc>
                <w:tcPr>
                  <w:tcW w:w="1316"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数量</w:t>
                  </w:r>
                </w:p>
              </w:tc>
              <w:tc>
                <w:tcPr>
                  <w:tcW w:w="113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备注</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8" w:hRule="atLeast"/>
                <w:jc w:val="center"/>
              </w:trPr>
              <w:tc>
                <w:tcPr>
                  <w:tcW w:w="74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w:t>
                  </w:r>
                </w:p>
              </w:tc>
              <w:tc>
                <w:tcPr>
                  <w:tcW w:w="2044"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污水主管</w:t>
                  </w:r>
                </w:p>
              </w:tc>
              <w:tc>
                <w:tcPr>
                  <w:tcW w:w="1266"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DN300</w:t>
                  </w:r>
                </w:p>
              </w:tc>
              <w:tc>
                <w:tcPr>
                  <w:tcW w:w="1157"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HDPE</w:t>
                  </w:r>
                </w:p>
              </w:tc>
              <w:tc>
                <w:tcPr>
                  <w:tcW w:w="122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米</w:t>
                  </w:r>
                </w:p>
              </w:tc>
              <w:tc>
                <w:tcPr>
                  <w:tcW w:w="1316"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2100</w:t>
                  </w:r>
                </w:p>
              </w:tc>
              <w:tc>
                <w:tcPr>
                  <w:tcW w:w="113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8" w:hRule="atLeast"/>
                <w:jc w:val="center"/>
              </w:trPr>
              <w:tc>
                <w:tcPr>
                  <w:tcW w:w="74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2</w:t>
                  </w:r>
                </w:p>
              </w:tc>
              <w:tc>
                <w:tcPr>
                  <w:tcW w:w="2044"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污水预留管</w:t>
                  </w:r>
                </w:p>
              </w:tc>
              <w:tc>
                <w:tcPr>
                  <w:tcW w:w="1266"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DN300</w:t>
                  </w:r>
                </w:p>
              </w:tc>
              <w:tc>
                <w:tcPr>
                  <w:tcW w:w="1157"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HDPE</w:t>
                  </w:r>
                </w:p>
              </w:tc>
              <w:tc>
                <w:tcPr>
                  <w:tcW w:w="122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米</w:t>
                  </w:r>
                </w:p>
              </w:tc>
              <w:tc>
                <w:tcPr>
                  <w:tcW w:w="1316"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350</w:t>
                  </w:r>
                </w:p>
              </w:tc>
              <w:tc>
                <w:tcPr>
                  <w:tcW w:w="113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8" w:hRule="atLeast"/>
                <w:jc w:val="center"/>
              </w:trPr>
              <w:tc>
                <w:tcPr>
                  <w:tcW w:w="74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3</w:t>
                  </w:r>
                </w:p>
              </w:tc>
              <w:tc>
                <w:tcPr>
                  <w:tcW w:w="2044"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污水主管（下沟）</w:t>
                  </w:r>
                </w:p>
              </w:tc>
              <w:tc>
                <w:tcPr>
                  <w:tcW w:w="1266"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DN300</w:t>
                  </w:r>
                </w:p>
              </w:tc>
              <w:tc>
                <w:tcPr>
                  <w:tcW w:w="1157"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钢管</w:t>
                  </w:r>
                </w:p>
              </w:tc>
              <w:tc>
                <w:tcPr>
                  <w:tcW w:w="122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米</w:t>
                  </w:r>
                </w:p>
              </w:tc>
              <w:tc>
                <w:tcPr>
                  <w:tcW w:w="1316"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140</w:t>
                  </w:r>
                </w:p>
              </w:tc>
              <w:tc>
                <w:tcPr>
                  <w:tcW w:w="113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8" w:hRule="atLeast"/>
                <w:jc w:val="center"/>
              </w:trPr>
              <w:tc>
                <w:tcPr>
                  <w:tcW w:w="74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4</w:t>
                  </w:r>
                </w:p>
              </w:tc>
              <w:tc>
                <w:tcPr>
                  <w:tcW w:w="2044"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污水检查井</w:t>
                  </w:r>
                </w:p>
              </w:tc>
              <w:tc>
                <w:tcPr>
                  <w:tcW w:w="1266"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1000×1000</w:t>
                  </w:r>
                </w:p>
              </w:tc>
              <w:tc>
                <w:tcPr>
                  <w:tcW w:w="1157"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钢砼</w:t>
                  </w:r>
                </w:p>
              </w:tc>
              <w:tc>
                <w:tcPr>
                  <w:tcW w:w="122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座</w:t>
                  </w:r>
                </w:p>
              </w:tc>
              <w:tc>
                <w:tcPr>
                  <w:tcW w:w="1316"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82</w:t>
                  </w:r>
                </w:p>
              </w:tc>
              <w:tc>
                <w:tcPr>
                  <w:tcW w:w="113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8" w:hRule="atLeast"/>
                <w:jc w:val="center"/>
              </w:trPr>
              <w:tc>
                <w:tcPr>
                  <w:tcW w:w="74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5</w:t>
                  </w:r>
                </w:p>
              </w:tc>
              <w:tc>
                <w:tcPr>
                  <w:tcW w:w="2044"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污水预留检查井</w:t>
                  </w:r>
                </w:p>
              </w:tc>
              <w:tc>
                <w:tcPr>
                  <w:tcW w:w="1266"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1000×1000</w:t>
                  </w:r>
                </w:p>
              </w:tc>
              <w:tc>
                <w:tcPr>
                  <w:tcW w:w="1157"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钢砼</w:t>
                  </w:r>
                </w:p>
              </w:tc>
              <w:tc>
                <w:tcPr>
                  <w:tcW w:w="122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座</w:t>
                  </w:r>
                </w:p>
              </w:tc>
              <w:tc>
                <w:tcPr>
                  <w:tcW w:w="1316"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38</w:t>
                  </w:r>
                </w:p>
              </w:tc>
              <w:tc>
                <w:tcPr>
                  <w:tcW w:w="113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8" w:hRule="atLeast"/>
                <w:jc w:val="center"/>
              </w:trPr>
              <w:tc>
                <w:tcPr>
                  <w:tcW w:w="74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6</w:t>
                  </w:r>
                </w:p>
              </w:tc>
              <w:tc>
                <w:tcPr>
                  <w:tcW w:w="2044"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跌水井</w:t>
                  </w:r>
                </w:p>
              </w:tc>
              <w:tc>
                <w:tcPr>
                  <w:tcW w:w="1266"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2500×1200</w:t>
                  </w:r>
                </w:p>
              </w:tc>
              <w:tc>
                <w:tcPr>
                  <w:tcW w:w="1157"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钢砼</w:t>
                  </w:r>
                </w:p>
              </w:tc>
              <w:tc>
                <w:tcPr>
                  <w:tcW w:w="122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座</w:t>
                  </w:r>
                </w:p>
              </w:tc>
              <w:tc>
                <w:tcPr>
                  <w:tcW w:w="1316"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15</w:t>
                  </w:r>
                </w:p>
              </w:tc>
              <w:tc>
                <w:tcPr>
                  <w:tcW w:w="113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8" w:hRule="atLeast"/>
                <w:jc w:val="center"/>
              </w:trPr>
              <w:tc>
                <w:tcPr>
                  <w:tcW w:w="743" w:type="dxa"/>
                  <w:vAlign w:val="center"/>
                </w:tcPr>
                <w:p>
                  <w:pPr>
                    <w:autoSpaceDE w:val="0"/>
                    <w:autoSpaceDN w:val="0"/>
                    <w:adjustRightInd w:val="0"/>
                    <w:snapToGrid w:val="0"/>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7</w:t>
                  </w:r>
                </w:p>
              </w:tc>
              <w:tc>
                <w:tcPr>
                  <w:tcW w:w="2044"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重型球墨铸铁井盖</w:t>
                  </w:r>
                </w:p>
              </w:tc>
              <w:tc>
                <w:tcPr>
                  <w:tcW w:w="1266"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Φ800</w:t>
                  </w:r>
                </w:p>
              </w:tc>
              <w:tc>
                <w:tcPr>
                  <w:tcW w:w="1157"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铸铁</w:t>
                  </w:r>
                </w:p>
              </w:tc>
              <w:tc>
                <w:tcPr>
                  <w:tcW w:w="122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套</w:t>
                  </w:r>
                </w:p>
              </w:tc>
              <w:tc>
                <w:tcPr>
                  <w:tcW w:w="1316"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135</w:t>
                  </w:r>
                </w:p>
              </w:tc>
              <w:tc>
                <w:tcPr>
                  <w:tcW w:w="113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8" w:hRule="atLeast"/>
                <w:jc w:val="center"/>
              </w:trPr>
              <w:tc>
                <w:tcPr>
                  <w:tcW w:w="74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8</w:t>
                  </w:r>
                </w:p>
              </w:tc>
              <w:tc>
                <w:tcPr>
                  <w:tcW w:w="2044"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防坠管网</w:t>
                  </w:r>
                </w:p>
              </w:tc>
              <w:tc>
                <w:tcPr>
                  <w:tcW w:w="1266" w:type="dxa"/>
                  <w:vAlign w:val="center"/>
                </w:tcPr>
                <w:p>
                  <w:pPr>
                    <w:autoSpaceDE w:val="0"/>
                    <w:autoSpaceDN w:val="0"/>
                    <w:adjustRightInd w:val="0"/>
                    <w:snapToGrid w:val="0"/>
                    <w:jc w:val="center"/>
                    <w:rPr>
                      <w:rFonts w:asciiTheme="majorEastAsia" w:hAnsiTheme="majorEastAsia" w:eastAsiaTheme="majorEastAsia"/>
                      <w:color w:val="auto"/>
                      <w:kern w:val="0"/>
                      <w:szCs w:val="21"/>
                    </w:rPr>
                  </w:pPr>
                </w:p>
              </w:tc>
              <w:tc>
                <w:tcPr>
                  <w:tcW w:w="1157"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涤纶</w:t>
                  </w:r>
                </w:p>
              </w:tc>
              <w:tc>
                <w:tcPr>
                  <w:tcW w:w="122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套</w:t>
                  </w:r>
                </w:p>
              </w:tc>
              <w:tc>
                <w:tcPr>
                  <w:tcW w:w="1316"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135</w:t>
                  </w:r>
                </w:p>
              </w:tc>
              <w:tc>
                <w:tcPr>
                  <w:tcW w:w="113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8" w:hRule="atLeast"/>
                <w:jc w:val="center"/>
              </w:trPr>
              <w:tc>
                <w:tcPr>
                  <w:tcW w:w="74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9</w:t>
                  </w:r>
                </w:p>
              </w:tc>
              <w:tc>
                <w:tcPr>
                  <w:tcW w:w="2044"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排出口</w:t>
                  </w:r>
                </w:p>
              </w:tc>
              <w:tc>
                <w:tcPr>
                  <w:tcW w:w="1266" w:type="dxa"/>
                  <w:vAlign w:val="center"/>
                </w:tcPr>
                <w:p>
                  <w:pPr>
                    <w:autoSpaceDE w:val="0"/>
                    <w:autoSpaceDN w:val="0"/>
                    <w:adjustRightInd w:val="0"/>
                    <w:snapToGrid w:val="0"/>
                    <w:jc w:val="center"/>
                    <w:rPr>
                      <w:rFonts w:asciiTheme="majorEastAsia" w:hAnsiTheme="majorEastAsia" w:eastAsiaTheme="majorEastAsia"/>
                      <w:color w:val="auto"/>
                      <w:kern w:val="0"/>
                      <w:szCs w:val="21"/>
                    </w:rPr>
                  </w:pPr>
                </w:p>
              </w:tc>
              <w:tc>
                <w:tcPr>
                  <w:tcW w:w="1157"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钢砼</w:t>
                  </w:r>
                </w:p>
              </w:tc>
              <w:tc>
                <w:tcPr>
                  <w:tcW w:w="122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座</w:t>
                  </w:r>
                </w:p>
              </w:tc>
              <w:tc>
                <w:tcPr>
                  <w:tcW w:w="1316"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w:t>
                  </w:r>
                </w:p>
              </w:tc>
              <w:tc>
                <w:tcPr>
                  <w:tcW w:w="113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8" w:hRule="atLeast"/>
                <w:jc w:val="center"/>
              </w:trPr>
              <w:tc>
                <w:tcPr>
                  <w:tcW w:w="74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10</w:t>
                  </w:r>
                </w:p>
              </w:tc>
              <w:tc>
                <w:tcPr>
                  <w:tcW w:w="2044"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破除及恢复路面</w:t>
                  </w:r>
                </w:p>
              </w:tc>
              <w:tc>
                <w:tcPr>
                  <w:tcW w:w="1266" w:type="dxa"/>
                  <w:vAlign w:val="center"/>
                </w:tcPr>
                <w:p>
                  <w:pPr>
                    <w:autoSpaceDE w:val="0"/>
                    <w:autoSpaceDN w:val="0"/>
                    <w:adjustRightInd w:val="0"/>
                    <w:snapToGrid w:val="0"/>
                    <w:jc w:val="center"/>
                    <w:rPr>
                      <w:rFonts w:asciiTheme="majorEastAsia" w:hAnsiTheme="majorEastAsia" w:eastAsiaTheme="majorEastAsia"/>
                      <w:color w:val="auto"/>
                      <w:kern w:val="0"/>
                      <w:szCs w:val="21"/>
                    </w:rPr>
                  </w:pPr>
                </w:p>
              </w:tc>
              <w:tc>
                <w:tcPr>
                  <w:tcW w:w="1157"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混凝土</w:t>
                  </w:r>
                </w:p>
              </w:tc>
              <w:tc>
                <w:tcPr>
                  <w:tcW w:w="122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m</w:t>
                  </w:r>
                  <w:r>
                    <w:rPr>
                      <w:rFonts w:asciiTheme="majorEastAsia" w:hAnsiTheme="majorEastAsia" w:eastAsiaTheme="majorEastAsia"/>
                      <w:color w:val="auto"/>
                      <w:kern w:val="0"/>
                      <w:szCs w:val="21"/>
                      <w:vertAlign w:val="superscript"/>
                    </w:rPr>
                    <w:t>2</w:t>
                  </w:r>
                </w:p>
              </w:tc>
              <w:tc>
                <w:tcPr>
                  <w:tcW w:w="1316"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360</w:t>
                  </w:r>
                </w:p>
              </w:tc>
              <w:tc>
                <w:tcPr>
                  <w:tcW w:w="113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8" w:hRule="atLeast"/>
                <w:jc w:val="center"/>
              </w:trPr>
              <w:tc>
                <w:tcPr>
                  <w:tcW w:w="74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11</w:t>
                  </w:r>
                </w:p>
              </w:tc>
              <w:tc>
                <w:tcPr>
                  <w:tcW w:w="2044"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破除及恢复路面</w:t>
                  </w:r>
                </w:p>
              </w:tc>
              <w:tc>
                <w:tcPr>
                  <w:tcW w:w="1266" w:type="dxa"/>
                  <w:vAlign w:val="center"/>
                </w:tcPr>
                <w:p>
                  <w:pPr>
                    <w:autoSpaceDE w:val="0"/>
                    <w:autoSpaceDN w:val="0"/>
                    <w:adjustRightInd w:val="0"/>
                    <w:snapToGrid w:val="0"/>
                    <w:jc w:val="center"/>
                    <w:rPr>
                      <w:rFonts w:asciiTheme="majorEastAsia" w:hAnsiTheme="majorEastAsia" w:eastAsiaTheme="majorEastAsia"/>
                      <w:color w:val="auto"/>
                      <w:kern w:val="0"/>
                      <w:szCs w:val="21"/>
                    </w:rPr>
                  </w:pPr>
                </w:p>
              </w:tc>
              <w:tc>
                <w:tcPr>
                  <w:tcW w:w="1157"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人行道</w:t>
                  </w:r>
                </w:p>
              </w:tc>
              <w:tc>
                <w:tcPr>
                  <w:tcW w:w="122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m</w:t>
                  </w:r>
                  <w:r>
                    <w:rPr>
                      <w:rFonts w:asciiTheme="majorEastAsia" w:hAnsiTheme="majorEastAsia" w:eastAsiaTheme="majorEastAsia"/>
                      <w:color w:val="auto"/>
                      <w:kern w:val="0"/>
                      <w:szCs w:val="21"/>
                      <w:vertAlign w:val="superscript"/>
                    </w:rPr>
                    <w:t>2</w:t>
                  </w:r>
                </w:p>
              </w:tc>
              <w:tc>
                <w:tcPr>
                  <w:tcW w:w="1316" w:type="dxa"/>
                  <w:vAlign w:val="center"/>
                </w:tcPr>
                <w:p>
                  <w:pPr>
                    <w:autoSpaceDE w:val="0"/>
                    <w:autoSpaceDN w:val="0"/>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3110</w:t>
                  </w:r>
                </w:p>
              </w:tc>
              <w:tc>
                <w:tcPr>
                  <w:tcW w:w="1133" w:type="dxa"/>
                  <w:vAlign w:val="center"/>
                </w:tcPr>
                <w:p>
                  <w:pPr>
                    <w:autoSpaceDE w:val="0"/>
                    <w:autoSpaceDN w:val="0"/>
                    <w:adjustRightInd w:val="0"/>
                    <w:snapToGrid w:val="0"/>
                    <w:jc w:val="center"/>
                    <w:rPr>
                      <w:rFonts w:asciiTheme="majorEastAsia" w:hAnsiTheme="majorEastAsia" w:eastAsiaTheme="majorEastAsia"/>
                      <w:color w:val="auto"/>
                      <w:kern w:val="0"/>
                      <w:szCs w:val="21"/>
                    </w:rPr>
                  </w:pPr>
                </w:p>
              </w:tc>
            </w:tr>
          </w:tbl>
          <w:p>
            <w:pPr>
              <w:adjustRightInd w:val="0"/>
              <w:snapToGrid w:val="0"/>
              <w:spacing w:line="360" w:lineRule="auto"/>
              <w:ind w:firstLine="482" w:firstLineChars="200"/>
              <w:rPr>
                <w:rFonts w:asciiTheme="majorEastAsia" w:hAnsiTheme="majorEastAsia" w:eastAsiaTheme="majorEastAsia"/>
                <w:b/>
                <w:color w:val="auto"/>
                <w:sz w:val="24"/>
              </w:rPr>
            </w:pPr>
            <w:r>
              <w:rPr>
                <w:rFonts w:asciiTheme="majorEastAsia" w:hAnsiTheme="majorEastAsia" w:eastAsiaTheme="majorEastAsia"/>
                <w:b/>
                <w:color w:val="auto"/>
                <w:sz w:val="24"/>
              </w:rPr>
              <w:t>8项目总平面布置及选址的环境合理性分析</w:t>
            </w:r>
          </w:p>
          <w:p>
            <w:pPr>
              <w:adjustRightInd w:val="0"/>
              <w:snapToGrid w:val="0"/>
              <w:spacing w:line="360" w:lineRule="auto"/>
              <w:ind w:firstLine="472" w:firstLineChars="196"/>
              <w:rPr>
                <w:rFonts w:asciiTheme="majorEastAsia" w:hAnsiTheme="majorEastAsia" w:eastAsiaTheme="majorEastAsia"/>
                <w:b/>
                <w:color w:val="auto"/>
                <w:sz w:val="24"/>
              </w:rPr>
            </w:pPr>
            <w:r>
              <w:rPr>
                <w:rFonts w:asciiTheme="majorEastAsia" w:hAnsiTheme="majorEastAsia" w:eastAsiaTheme="majorEastAsia"/>
                <w:b/>
                <w:color w:val="auto"/>
                <w:sz w:val="24"/>
              </w:rPr>
              <w:t>8.1总平面布置原则</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⑴</w:t>
            </w:r>
            <w:r>
              <w:rPr>
                <w:rFonts w:asciiTheme="majorEastAsia" w:hAnsiTheme="majorEastAsia" w:eastAsiaTheme="majorEastAsia"/>
                <w:color w:val="auto"/>
                <w:kern w:val="0"/>
                <w:sz w:val="24"/>
              </w:rPr>
              <w:t>总图布置的原则：</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①</w:t>
            </w:r>
            <w:r>
              <w:rPr>
                <w:rFonts w:asciiTheme="majorEastAsia" w:hAnsiTheme="majorEastAsia" w:eastAsiaTheme="majorEastAsia"/>
                <w:color w:val="auto"/>
                <w:kern w:val="0"/>
                <w:sz w:val="24"/>
              </w:rPr>
              <w:t>与区域总体规划相衔接，与周围环境相协调，厂区建设与周边村庄农田保护相结合。</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②</w:t>
            </w:r>
            <w:r>
              <w:rPr>
                <w:rFonts w:asciiTheme="majorEastAsia" w:hAnsiTheme="majorEastAsia" w:eastAsiaTheme="majorEastAsia"/>
                <w:color w:val="auto"/>
                <w:kern w:val="0"/>
                <w:sz w:val="24"/>
              </w:rPr>
              <w:t>总平面功能分区明确，构筑物布置紧凑，力求最经济合理地利用土地，减少占地面积。</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③</w:t>
            </w:r>
            <w:r>
              <w:rPr>
                <w:rFonts w:asciiTheme="majorEastAsia" w:hAnsiTheme="majorEastAsia" w:eastAsiaTheme="majorEastAsia"/>
                <w:color w:val="auto"/>
                <w:kern w:val="0"/>
                <w:sz w:val="24"/>
              </w:rPr>
              <w:t>水设备布局紧促，避免迂回重复。</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④</w:t>
            </w:r>
            <w:r>
              <w:rPr>
                <w:rFonts w:asciiTheme="majorEastAsia" w:hAnsiTheme="majorEastAsia" w:eastAsiaTheme="majorEastAsia"/>
                <w:color w:val="auto"/>
                <w:kern w:val="0"/>
                <w:sz w:val="24"/>
              </w:rPr>
              <w:t>厂区内外部交通顺畅，便于施工与管理。</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⑤</w:t>
            </w:r>
            <w:r>
              <w:rPr>
                <w:rFonts w:asciiTheme="majorEastAsia" w:hAnsiTheme="majorEastAsia" w:eastAsiaTheme="majorEastAsia"/>
                <w:color w:val="auto"/>
                <w:kern w:val="0"/>
                <w:sz w:val="24"/>
              </w:rPr>
              <w:t>采用地下式布置方式，上部进行绿化，营造优美舒适的工作环境。</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⑵</w:t>
            </w:r>
            <w:r>
              <w:rPr>
                <w:rFonts w:asciiTheme="majorEastAsia" w:hAnsiTheme="majorEastAsia" w:eastAsiaTheme="majorEastAsia"/>
                <w:color w:val="auto"/>
                <w:kern w:val="0"/>
                <w:sz w:val="24"/>
              </w:rPr>
              <w:t>总图布置</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厂区平面布置除了遵循上述原则外，具体还根据城市主导风向、进水方向、出水位置、工艺流程特点及厂址地形、地质条件等因素进行布置。生产区布局根据工艺技术要求，布局有序且紧促，以达到节约用地，减少管线长度的目的。</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项目污水处理厂厂区平面布置图见图6。</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⑶</w:t>
            </w:r>
            <w:r>
              <w:rPr>
                <w:rFonts w:asciiTheme="majorEastAsia" w:hAnsiTheme="majorEastAsia" w:eastAsiaTheme="majorEastAsia"/>
                <w:color w:val="auto"/>
                <w:kern w:val="0"/>
                <w:sz w:val="24"/>
              </w:rPr>
              <w:t>绿化设计</w:t>
            </w:r>
          </w:p>
          <w:p>
            <w:pPr>
              <w:autoSpaceDE w:val="0"/>
              <w:autoSpaceDN w:val="0"/>
              <w:adjustRightInd w:val="0"/>
              <w:snapToGrid w:val="0"/>
              <w:spacing w:line="360" w:lineRule="auto"/>
              <w:ind w:firstLine="480" w:firstLineChars="200"/>
              <w:jc w:val="left"/>
              <w:rPr>
                <w:rFonts w:asciiTheme="majorEastAsia" w:hAnsiTheme="majorEastAsia" w:eastAsiaTheme="majorEastAsia"/>
                <w:b/>
                <w:color w:val="auto"/>
                <w:kern w:val="0"/>
                <w:sz w:val="24"/>
              </w:rPr>
            </w:pPr>
            <w:r>
              <w:rPr>
                <w:rFonts w:asciiTheme="majorEastAsia" w:hAnsiTheme="majorEastAsia" w:eastAsiaTheme="majorEastAsia"/>
                <w:color w:val="auto"/>
                <w:kern w:val="0"/>
                <w:sz w:val="24"/>
              </w:rPr>
              <w:t>本工程不单单是一个污水处理项目，更是关系民生的基础设施项目，因此，厂区环境设计至关重要。本工程设计在满足工艺流程的同时，注重厂区内部的环境的营造，为提高厂区周边环境、美化社区创造条件。本工程对厂区进行景观绿化设计。</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hint="eastAsia" w:cs="宋体" w:asciiTheme="majorEastAsia" w:hAnsiTheme="majorEastAsia" w:eastAsiaTheme="majorEastAsia"/>
                <w:color w:val="auto"/>
                <w:kern w:val="0"/>
                <w:sz w:val="24"/>
              </w:rPr>
              <w:t>⑷</w:t>
            </w:r>
            <w:r>
              <w:rPr>
                <w:rFonts w:asciiTheme="majorEastAsia" w:hAnsiTheme="majorEastAsia" w:eastAsiaTheme="majorEastAsia"/>
                <w:color w:val="auto"/>
                <w:kern w:val="0"/>
                <w:sz w:val="24"/>
              </w:rPr>
              <w:t>项目选址的环境合理性分析</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本项目东侧有一家废弃农舍，无人居住，仅圈养5头猪，根据宁县多年气象数据资料，宁县金村乡常年主导风向为南东风，污水处理厂厂址位于县城西北侧，处于主导风向的下风侧，便于污水处理站产生的恶臭气体扩散，不会对周边环境产生不良影响。距本项目最近的水源地崔家庄郭家咀，在项目东北方向，直线距离为5km，处于本项目上游、故本项目建设不会对水源地造成较大影响。</w:t>
            </w:r>
          </w:p>
          <w:p>
            <w:pPr>
              <w:adjustRightInd w:val="0"/>
              <w:snapToGrid w:val="0"/>
              <w:spacing w:line="360" w:lineRule="auto"/>
              <w:ind w:firstLine="472" w:firstLineChars="196"/>
              <w:rPr>
                <w:rFonts w:asciiTheme="majorEastAsia" w:hAnsiTheme="majorEastAsia" w:eastAsiaTheme="majorEastAsia"/>
                <w:b/>
                <w:color w:val="auto"/>
                <w:sz w:val="24"/>
              </w:rPr>
            </w:pPr>
            <w:r>
              <w:rPr>
                <w:rFonts w:asciiTheme="majorEastAsia" w:hAnsiTheme="majorEastAsia" w:eastAsiaTheme="majorEastAsia"/>
                <w:b/>
                <w:color w:val="auto"/>
                <w:sz w:val="24"/>
              </w:rPr>
              <w:t>9、污水处理厂工程</w:t>
            </w:r>
          </w:p>
          <w:p>
            <w:pPr>
              <w:adjustRightInd w:val="0"/>
              <w:snapToGrid w:val="0"/>
              <w:spacing w:line="360" w:lineRule="auto"/>
              <w:ind w:firstLine="472" w:firstLineChars="196"/>
              <w:rPr>
                <w:rFonts w:asciiTheme="majorEastAsia" w:hAnsiTheme="majorEastAsia" w:eastAsiaTheme="majorEastAsia"/>
                <w:b/>
                <w:color w:val="auto"/>
                <w:sz w:val="24"/>
              </w:rPr>
            </w:pPr>
            <w:r>
              <w:rPr>
                <w:rFonts w:asciiTheme="majorEastAsia" w:hAnsiTheme="majorEastAsia" w:eastAsiaTheme="majorEastAsia"/>
                <w:b/>
                <w:color w:val="auto"/>
                <w:sz w:val="24"/>
              </w:rPr>
              <w:t>9.1进出水水质设计</w:t>
            </w:r>
          </w:p>
          <w:p>
            <w:pPr>
              <w:adjustRightInd w:val="0"/>
              <w:snapToGrid w:val="0"/>
              <w:spacing w:line="360" w:lineRule="auto"/>
              <w:ind w:firstLine="470" w:firstLineChars="196"/>
              <w:rPr>
                <w:rFonts w:asciiTheme="majorEastAsia" w:hAnsiTheme="majorEastAsia" w:eastAsiaTheme="majorEastAsia"/>
                <w:color w:val="auto"/>
                <w:sz w:val="24"/>
              </w:rPr>
            </w:pPr>
            <w:r>
              <w:rPr>
                <w:rFonts w:asciiTheme="majorEastAsia" w:hAnsiTheme="majorEastAsia" w:eastAsiaTheme="majorEastAsia"/>
                <w:color w:val="auto"/>
                <w:sz w:val="24"/>
              </w:rPr>
              <w:t>I 进水水质</w:t>
            </w:r>
          </w:p>
          <w:p>
            <w:pPr>
              <w:adjustRightInd w:val="0"/>
              <w:snapToGrid w:val="0"/>
              <w:spacing w:line="360" w:lineRule="auto"/>
              <w:ind w:firstLine="470" w:firstLineChars="196"/>
              <w:rPr>
                <w:rFonts w:asciiTheme="majorEastAsia" w:hAnsiTheme="majorEastAsia" w:eastAsiaTheme="majorEastAsia"/>
                <w:color w:val="auto"/>
                <w:sz w:val="24"/>
              </w:rPr>
            </w:pPr>
            <w:r>
              <w:rPr>
                <w:rFonts w:asciiTheme="majorEastAsia" w:hAnsiTheme="majorEastAsia" w:eastAsiaTheme="majorEastAsia"/>
                <w:color w:val="auto"/>
                <w:sz w:val="24"/>
              </w:rPr>
              <w:t>本工程污水处理进水水质为生活污水。居民生活污水水质应根据调查资料确定，或参照临近城镇、村庄和居住区的水质确定。由于缺乏长期的实际排放污水水质统计资料，本次污水水质的预测采用参照对比的方法，确定生活污水水质。</w:t>
            </w:r>
          </w:p>
          <w:p>
            <w:pPr>
              <w:adjustRightInd w:val="0"/>
              <w:snapToGrid w:val="0"/>
              <w:spacing w:line="360" w:lineRule="auto"/>
              <w:ind w:firstLine="470" w:firstLineChars="196"/>
              <w:rPr>
                <w:rFonts w:asciiTheme="majorEastAsia" w:hAnsiTheme="majorEastAsia" w:eastAsiaTheme="majorEastAsia"/>
                <w:color w:val="auto"/>
                <w:sz w:val="24"/>
              </w:rPr>
            </w:pPr>
            <w:r>
              <w:rPr>
                <w:rFonts w:asciiTheme="majorEastAsia" w:hAnsiTheme="majorEastAsia" w:eastAsiaTheme="majorEastAsia"/>
                <w:color w:val="auto"/>
                <w:sz w:val="24"/>
              </w:rPr>
              <w:t>1、典型的城市生活污水水质</w:t>
            </w:r>
          </w:p>
          <w:p>
            <w:pPr>
              <w:adjustRightInd w:val="0"/>
              <w:snapToGrid w:val="0"/>
              <w:spacing w:line="360" w:lineRule="auto"/>
              <w:ind w:firstLine="470" w:firstLineChars="196"/>
              <w:rPr>
                <w:rFonts w:asciiTheme="majorEastAsia" w:hAnsiTheme="majorEastAsia" w:eastAsiaTheme="majorEastAsia"/>
                <w:color w:val="auto"/>
                <w:sz w:val="24"/>
              </w:rPr>
            </w:pPr>
            <w:r>
              <w:rPr>
                <w:rFonts w:asciiTheme="majorEastAsia" w:hAnsiTheme="majorEastAsia" w:eastAsiaTheme="majorEastAsia"/>
                <w:color w:val="auto"/>
                <w:sz w:val="24"/>
              </w:rPr>
              <w:t>典型的城市生活污水水质指标，详见下表13：</w:t>
            </w:r>
          </w:p>
          <w:p>
            <w:pPr>
              <w:pStyle w:val="17"/>
              <w:adjustRightInd w:val="0"/>
              <w:snapToGrid w:val="0"/>
              <w:spacing w:line="360" w:lineRule="auto"/>
              <w:ind w:firstLine="463"/>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表13典型城市污水水质</w:t>
            </w:r>
          </w:p>
          <w:tbl>
            <w:tblPr>
              <w:tblStyle w:val="39"/>
              <w:tblW w:w="8913"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2552"/>
              <w:gridCol w:w="1452"/>
              <w:gridCol w:w="1783"/>
              <w:gridCol w:w="178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343" w:type="dxa"/>
                  <w:vMerge w:val="restart"/>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序号</w:t>
                  </w:r>
                </w:p>
              </w:tc>
              <w:tc>
                <w:tcPr>
                  <w:tcW w:w="2552" w:type="dxa"/>
                  <w:vMerge w:val="restart"/>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指标</w:t>
                  </w:r>
                </w:p>
              </w:tc>
              <w:tc>
                <w:tcPr>
                  <w:tcW w:w="5018" w:type="dxa"/>
                  <w:gridSpan w:val="3"/>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浓度（mg/L）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343" w:type="dxa"/>
                  <w:vMerge w:val="continue"/>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p>
              </w:tc>
              <w:tc>
                <w:tcPr>
                  <w:tcW w:w="2552" w:type="dxa"/>
                  <w:vMerge w:val="continue"/>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p>
              </w:tc>
              <w:tc>
                <w:tcPr>
                  <w:tcW w:w="1452"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高</w:t>
                  </w:r>
                </w:p>
              </w:tc>
              <w:tc>
                <w:tcPr>
                  <w:tcW w:w="1783"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中</w:t>
                  </w:r>
                </w:p>
              </w:tc>
              <w:tc>
                <w:tcPr>
                  <w:tcW w:w="1783"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343"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1</w:t>
                  </w:r>
                </w:p>
              </w:tc>
              <w:tc>
                <w:tcPr>
                  <w:tcW w:w="2552"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悬浮物（SS）</w:t>
                  </w:r>
                </w:p>
              </w:tc>
              <w:tc>
                <w:tcPr>
                  <w:tcW w:w="1452"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350</w:t>
                  </w:r>
                </w:p>
              </w:tc>
              <w:tc>
                <w:tcPr>
                  <w:tcW w:w="1783"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220</w:t>
                  </w:r>
                </w:p>
              </w:tc>
              <w:tc>
                <w:tcPr>
                  <w:tcW w:w="1783"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100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43"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2</w:t>
                  </w:r>
                </w:p>
              </w:tc>
              <w:tc>
                <w:tcPr>
                  <w:tcW w:w="2552"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生化需氧量（BOD</w:t>
                  </w:r>
                  <w:r>
                    <w:rPr>
                      <w:rFonts w:asciiTheme="majorEastAsia" w:hAnsiTheme="majorEastAsia" w:eastAsiaTheme="majorEastAsia"/>
                      <w:color w:val="auto"/>
                      <w:sz w:val="21"/>
                      <w:szCs w:val="21"/>
                      <w:vertAlign w:val="subscript"/>
                    </w:rPr>
                    <w:t>5</w:t>
                  </w:r>
                  <w:r>
                    <w:rPr>
                      <w:rFonts w:asciiTheme="majorEastAsia" w:hAnsiTheme="majorEastAsia" w:eastAsiaTheme="majorEastAsia"/>
                      <w:color w:val="auto"/>
                      <w:sz w:val="21"/>
                      <w:szCs w:val="21"/>
                    </w:rPr>
                    <w:t>）</w:t>
                  </w:r>
                </w:p>
              </w:tc>
              <w:tc>
                <w:tcPr>
                  <w:tcW w:w="1452"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400</w:t>
                  </w:r>
                </w:p>
              </w:tc>
              <w:tc>
                <w:tcPr>
                  <w:tcW w:w="1783"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200</w:t>
                  </w:r>
                </w:p>
              </w:tc>
              <w:tc>
                <w:tcPr>
                  <w:tcW w:w="1783"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100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43"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3</w:t>
                  </w:r>
                </w:p>
              </w:tc>
              <w:tc>
                <w:tcPr>
                  <w:tcW w:w="2552"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化学需氧量（COD</w:t>
                  </w:r>
                  <w:r>
                    <w:rPr>
                      <w:rFonts w:asciiTheme="majorEastAsia" w:hAnsiTheme="majorEastAsia" w:eastAsiaTheme="majorEastAsia"/>
                      <w:color w:val="auto"/>
                      <w:sz w:val="21"/>
                      <w:szCs w:val="21"/>
                      <w:vertAlign w:val="subscript"/>
                    </w:rPr>
                    <w:t>Cr</w:t>
                  </w:r>
                  <w:r>
                    <w:rPr>
                      <w:rFonts w:asciiTheme="majorEastAsia" w:hAnsiTheme="majorEastAsia" w:eastAsiaTheme="majorEastAsia"/>
                      <w:color w:val="auto"/>
                      <w:sz w:val="21"/>
                      <w:szCs w:val="21"/>
                    </w:rPr>
                    <w:t>）</w:t>
                  </w:r>
                </w:p>
              </w:tc>
              <w:tc>
                <w:tcPr>
                  <w:tcW w:w="1452"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1000</w:t>
                  </w:r>
                </w:p>
              </w:tc>
              <w:tc>
                <w:tcPr>
                  <w:tcW w:w="1783"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400</w:t>
                  </w:r>
                </w:p>
              </w:tc>
              <w:tc>
                <w:tcPr>
                  <w:tcW w:w="1783"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250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43"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4</w:t>
                  </w:r>
                </w:p>
              </w:tc>
              <w:tc>
                <w:tcPr>
                  <w:tcW w:w="2552"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总氮（TN）</w:t>
                  </w:r>
                </w:p>
              </w:tc>
              <w:tc>
                <w:tcPr>
                  <w:tcW w:w="1452"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85</w:t>
                  </w:r>
                </w:p>
              </w:tc>
              <w:tc>
                <w:tcPr>
                  <w:tcW w:w="1783"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40</w:t>
                  </w:r>
                </w:p>
              </w:tc>
              <w:tc>
                <w:tcPr>
                  <w:tcW w:w="1783"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20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43"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5</w:t>
                  </w:r>
                </w:p>
              </w:tc>
              <w:tc>
                <w:tcPr>
                  <w:tcW w:w="2552"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总磷（TP）</w:t>
                  </w:r>
                </w:p>
              </w:tc>
              <w:tc>
                <w:tcPr>
                  <w:tcW w:w="1452"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15</w:t>
                  </w:r>
                </w:p>
              </w:tc>
              <w:tc>
                <w:tcPr>
                  <w:tcW w:w="1783"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8</w:t>
                  </w:r>
                </w:p>
              </w:tc>
              <w:tc>
                <w:tcPr>
                  <w:tcW w:w="1783" w:type="dxa"/>
                  <w:vAlign w:val="center"/>
                </w:tcPr>
                <w:p>
                  <w:pPr>
                    <w:pStyle w:val="17"/>
                    <w:adjustRightInd w:val="0"/>
                    <w:snapToGrid w:val="0"/>
                    <w:spacing w:line="0" w:lineRule="atLeast"/>
                    <w:ind w:firstLine="0" w:firstLineChars="0"/>
                    <w:jc w:val="center"/>
                    <w:rPr>
                      <w:rFonts w:asciiTheme="majorEastAsia" w:hAnsiTheme="majorEastAsia" w:eastAsiaTheme="majorEastAsia"/>
                      <w:color w:val="auto"/>
                      <w:sz w:val="21"/>
                      <w:szCs w:val="21"/>
                    </w:rPr>
                  </w:pPr>
                  <w:r>
                    <w:rPr>
                      <w:rFonts w:asciiTheme="majorEastAsia" w:hAnsiTheme="majorEastAsia" w:eastAsiaTheme="majorEastAsia"/>
                      <w:color w:val="auto"/>
                      <w:sz w:val="21"/>
                      <w:szCs w:val="21"/>
                    </w:rPr>
                    <w:t>4</w:t>
                  </w:r>
                </w:p>
              </w:tc>
            </w:tr>
          </w:tbl>
          <w:p>
            <w:pPr>
              <w:pStyle w:val="17"/>
              <w:adjustRightInd w:val="0"/>
              <w:snapToGrid w:val="0"/>
              <w:spacing w:line="360" w:lineRule="auto"/>
              <w:ind w:firstLine="461"/>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2、西北地区农村生活污水水质参考值</w:t>
            </w:r>
          </w:p>
          <w:p>
            <w:pPr>
              <w:pStyle w:val="17"/>
              <w:adjustRightInd w:val="0"/>
              <w:snapToGrid w:val="0"/>
              <w:spacing w:line="360" w:lineRule="auto"/>
              <w:ind w:firstLine="461"/>
              <w:rPr>
                <w:rFonts w:asciiTheme="majorEastAsia" w:hAnsiTheme="majorEastAsia" w:eastAsiaTheme="majorEastAsia"/>
                <w:color w:val="auto"/>
                <w:sz w:val="24"/>
                <w:szCs w:val="24"/>
              </w:rPr>
            </w:pPr>
            <w:r>
              <w:rPr>
                <w:rFonts w:asciiTheme="majorEastAsia" w:hAnsiTheme="majorEastAsia" w:eastAsiaTheme="majorEastAsia"/>
                <w:color w:val="auto"/>
                <w:sz w:val="24"/>
                <w:szCs w:val="24"/>
              </w:rPr>
              <w:t>西北地区农村生活污水水质参考值，详见下表14。</w:t>
            </w:r>
          </w:p>
          <w:p>
            <w:pPr>
              <w:pStyle w:val="17"/>
              <w:adjustRightInd w:val="0"/>
              <w:snapToGrid w:val="0"/>
              <w:spacing w:line="360" w:lineRule="auto"/>
              <w:ind w:firstLine="463"/>
              <w:jc w:val="center"/>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表14西北地区农村生活污水水质参考值</w:t>
            </w:r>
          </w:p>
          <w:tbl>
            <w:tblPr>
              <w:tblStyle w:val="38"/>
              <w:tblpPr w:leftFromText="180" w:rightFromText="180" w:vertAnchor="text" w:horzAnchor="page" w:tblpXSpec="center" w:tblpY="29"/>
              <w:tblOverlap w:val="never"/>
              <w:tblW w:w="8656" w:type="dxa"/>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80"/>
              <w:gridCol w:w="1153"/>
              <w:gridCol w:w="1149"/>
              <w:gridCol w:w="1137"/>
              <w:gridCol w:w="1139"/>
              <w:gridCol w:w="1138"/>
              <w:gridCol w:w="1160"/>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6" w:hRule="atLeast"/>
              </w:trPr>
              <w:tc>
                <w:tcPr>
                  <w:tcW w:w="1780"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水质项目</w:t>
                  </w:r>
                </w:p>
              </w:tc>
              <w:tc>
                <w:tcPr>
                  <w:tcW w:w="1153" w:type="dxa"/>
                  <w:vAlign w:val="center"/>
                </w:tcPr>
                <w:p>
                  <w:pPr>
                    <w:adjustRightInd w:val="0"/>
                    <w:snapToGrid w:val="0"/>
                    <w:jc w:val="center"/>
                    <w:rPr>
                      <w:rFonts w:asciiTheme="majorEastAsia" w:hAnsiTheme="majorEastAsia" w:eastAsiaTheme="majorEastAsia"/>
                      <w:color w:val="auto"/>
                      <w:szCs w:val="21"/>
                      <w:vertAlign w:val="subscript"/>
                    </w:rPr>
                  </w:pPr>
                  <w:r>
                    <w:rPr>
                      <w:rFonts w:asciiTheme="majorEastAsia" w:hAnsiTheme="majorEastAsia" w:eastAsiaTheme="majorEastAsia"/>
                      <w:color w:val="auto"/>
                      <w:szCs w:val="21"/>
                    </w:rPr>
                    <w:t xml:space="preserve">CODCr </w:t>
                  </w:r>
                </w:p>
              </w:tc>
              <w:tc>
                <w:tcPr>
                  <w:tcW w:w="1149"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BOD5</w:t>
                  </w:r>
                </w:p>
              </w:tc>
              <w:tc>
                <w:tcPr>
                  <w:tcW w:w="113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SS</w:t>
                  </w:r>
                </w:p>
              </w:tc>
              <w:tc>
                <w:tcPr>
                  <w:tcW w:w="1139"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 xml:space="preserve">NH3-N </w:t>
                  </w:r>
                </w:p>
              </w:tc>
              <w:tc>
                <w:tcPr>
                  <w:tcW w:w="113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 xml:space="preserve">TP </w:t>
                  </w:r>
                </w:p>
              </w:tc>
              <w:tc>
                <w:tcPr>
                  <w:tcW w:w="1160"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pH</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24" w:hRule="atLeast"/>
              </w:trPr>
              <w:tc>
                <w:tcPr>
                  <w:tcW w:w="1780"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数值（mg/L）</w:t>
                  </w:r>
                </w:p>
              </w:tc>
              <w:tc>
                <w:tcPr>
                  <w:tcW w:w="115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 xml:space="preserve">100～400 </w:t>
                  </w:r>
                </w:p>
              </w:tc>
              <w:tc>
                <w:tcPr>
                  <w:tcW w:w="1149"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 xml:space="preserve">50～300 </w:t>
                  </w:r>
                </w:p>
              </w:tc>
              <w:tc>
                <w:tcPr>
                  <w:tcW w:w="113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 xml:space="preserve">100～300 </w:t>
                  </w:r>
                </w:p>
              </w:tc>
              <w:tc>
                <w:tcPr>
                  <w:tcW w:w="1139"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 xml:space="preserve">30～50 </w:t>
                  </w:r>
                </w:p>
              </w:tc>
              <w:tc>
                <w:tcPr>
                  <w:tcW w:w="113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 xml:space="preserve">1～6 </w:t>
                  </w:r>
                </w:p>
              </w:tc>
              <w:tc>
                <w:tcPr>
                  <w:tcW w:w="1160"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6.5~8.5</w:t>
                  </w:r>
                </w:p>
              </w:tc>
            </w:tr>
          </w:tbl>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3、污水排入城市下水道水质标准</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通过实际现场调查，镇区无工业废水的排放，故本工程不考虑工业污水处理，但污水处理站进水水质还需满足《污水排入城市下水道水质标准》（GB/T31962-2015）中各项指标规定。</w:t>
            </w:r>
          </w:p>
          <w:p>
            <w:pPr>
              <w:adjustRightInd w:val="0"/>
              <w:snapToGrid w:val="0"/>
              <w:spacing w:line="360" w:lineRule="auto"/>
              <w:ind w:firstLine="482" w:firstLineChars="200"/>
              <w:jc w:val="center"/>
              <w:rPr>
                <w:rFonts w:asciiTheme="majorEastAsia" w:hAnsiTheme="majorEastAsia" w:eastAsiaTheme="majorEastAsia"/>
                <w:b/>
                <w:color w:val="auto"/>
                <w:sz w:val="24"/>
              </w:rPr>
            </w:pPr>
            <w:r>
              <w:rPr>
                <w:rFonts w:asciiTheme="majorEastAsia" w:hAnsiTheme="majorEastAsia" w:eastAsiaTheme="majorEastAsia"/>
                <w:b/>
                <w:color w:val="auto"/>
                <w:sz w:val="24"/>
              </w:rPr>
              <w:t>表15《污水排入城市下水道水质标准》</w:t>
            </w:r>
          </w:p>
          <w:tbl>
            <w:tblPr>
              <w:tblStyle w:val="38"/>
              <w:tblpPr w:leftFromText="180" w:rightFromText="180" w:vertAnchor="text" w:horzAnchor="page" w:tblpXSpec="center" w:tblpY="29"/>
              <w:tblOverlap w:val="never"/>
              <w:tblW w:w="9063" w:type="dxa"/>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58"/>
              <w:gridCol w:w="1103"/>
              <w:gridCol w:w="1081"/>
              <w:gridCol w:w="1030"/>
              <w:gridCol w:w="977"/>
              <w:gridCol w:w="1087"/>
              <w:gridCol w:w="1088"/>
              <w:gridCol w:w="1039"/>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6" w:hRule="atLeast"/>
              </w:trPr>
              <w:tc>
                <w:tcPr>
                  <w:tcW w:w="165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水质项目</w:t>
                  </w:r>
                </w:p>
              </w:tc>
              <w:tc>
                <w:tcPr>
                  <w:tcW w:w="1103" w:type="dxa"/>
                  <w:vAlign w:val="center"/>
                </w:tcPr>
                <w:p>
                  <w:pPr>
                    <w:adjustRightInd w:val="0"/>
                    <w:snapToGrid w:val="0"/>
                    <w:jc w:val="center"/>
                    <w:rPr>
                      <w:rFonts w:asciiTheme="majorEastAsia" w:hAnsiTheme="majorEastAsia" w:eastAsiaTheme="majorEastAsia"/>
                      <w:color w:val="auto"/>
                      <w:szCs w:val="21"/>
                      <w:vertAlign w:val="subscript"/>
                    </w:rPr>
                  </w:pPr>
                  <w:r>
                    <w:rPr>
                      <w:rFonts w:asciiTheme="majorEastAsia" w:hAnsiTheme="majorEastAsia" w:eastAsiaTheme="majorEastAsia"/>
                      <w:color w:val="auto"/>
                      <w:szCs w:val="21"/>
                    </w:rPr>
                    <w:t>CODCr</w:t>
                  </w:r>
                </w:p>
              </w:tc>
              <w:tc>
                <w:tcPr>
                  <w:tcW w:w="1081"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BOD5</w:t>
                  </w:r>
                </w:p>
              </w:tc>
              <w:tc>
                <w:tcPr>
                  <w:tcW w:w="1030"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SS</w:t>
                  </w:r>
                </w:p>
              </w:tc>
              <w:tc>
                <w:tcPr>
                  <w:tcW w:w="97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TN</w:t>
                  </w:r>
                </w:p>
              </w:tc>
              <w:tc>
                <w:tcPr>
                  <w:tcW w:w="108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NH3-N</w:t>
                  </w:r>
                </w:p>
              </w:tc>
              <w:tc>
                <w:tcPr>
                  <w:tcW w:w="108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TP</w:t>
                  </w:r>
                </w:p>
              </w:tc>
              <w:tc>
                <w:tcPr>
                  <w:tcW w:w="1039"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pH</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24" w:hRule="atLeast"/>
              </w:trPr>
              <w:tc>
                <w:tcPr>
                  <w:tcW w:w="165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数值（mg/L）</w:t>
                  </w:r>
                </w:p>
              </w:tc>
              <w:tc>
                <w:tcPr>
                  <w:tcW w:w="110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≤500</w:t>
                  </w:r>
                </w:p>
              </w:tc>
              <w:tc>
                <w:tcPr>
                  <w:tcW w:w="1081"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≤350</w:t>
                  </w:r>
                </w:p>
              </w:tc>
              <w:tc>
                <w:tcPr>
                  <w:tcW w:w="1030"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≤400</w:t>
                  </w:r>
                </w:p>
              </w:tc>
              <w:tc>
                <w:tcPr>
                  <w:tcW w:w="97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≤70</w:t>
                  </w:r>
                </w:p>
              </w:tc>
              <w:tc>
                <w:tcPr>
                  <w:tcW w:w="108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≤45</w:t>
                  </w:r>
                </w:p>
              </w:tc>
              <w:tc>
                <w:tcPr>
                  <w:tcW w:w="108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≤8</w:t>
                  </w:r>
                </w:p>
              </w:tc>
              <w:tc>
                <w:tcPr>
                  <w:tcW w:w="1039"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6.5~9.5</w:t>
                  </w:r>
                </w:p>
              </w:tc>
            </w:tr>
          </w:tbl>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4、参考临近乡镇取样检验结果</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宁县早胜镇街区雨污分流工程污水处理厂项目的进水水质如下：</w:t>
            </w:r>
          </w:p>
          <w:p>
            <w:pPr>
              <w:adjustRightInd w:val="0"/>
              <w:snapToGrid w:val="0"/>
              <w:spacing w:line="360" w:lineRule="auto"/>
              <w:jc w:val="center"/>
              <w:rPr>
                <w:rFonts w:asciiTheme="majorEastAsia" w:hAnsiTheme="majorEastAsia" w:eastAsiaTheme="majorEastAsia"/>
                <w:b/>
                <w:color w:val="auto"/>
                <w:sz w:val="24"/>
              </w:rPr>
            </w:pPr>
            <w:r>
              <w:rPr>
                <w:rFonts w:asciiTheme="majorEastAsia" w:hAnsiTheme="majorEastAsia" w:eastAsiaTheme="majorEastAsia"/>
                <w:b/>
                <w:color w:val="auto"/>
                <w:sz w:val="24"/>
              </w:rPr>
              <w:t>表16宁县早胜镇街区雨污分流工程污水处理厂项目的进水水质</w:t>
            </w:r>
          </w:p>
          <w:tbl>
            <w:tblPr>
              <w:tblStyle w:val="38"/>
              <w:tblpPr w:leftFromText="180" w:rightFromText="180" w:vertAnchor="text" w:horzAnchor="page" w:tblpXSpec="center" w:tblpY="29"/>
              <w:tblOverlap w:val="never"/>
              <w:tblW w:w="9063" w:type="dxa"/>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58"/>
              <w:gridCol w:w="1103"/>
              <w:gridCol w:w="1081"/>
              <w:gridCol w:w="1030"/>
              <w:gridCol w:w="977"/>
              <w:gridCol w:w="1087"/>
              <w:gridCol w:w="1088"/>
              <w:gridCol w:w="1039"/>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6" w:hRule="atLeast"/>
              </w:trPr>
              <w:tc>
                <w:tcPr>
                  <w:tcW w:w="165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污染物</w:t>
                  </w:r>
                </w:p>
              </w:tc>
              <w:tc>
                <w:tcPr>
                  <w:tcW w:w="1103" w:type="dxa"/>
                  <w:vAlign w:val="center"/>
                </w:tcPr>
                <w:p>
                  <w:pPr>
                    <w:adjustRightInd w:val="0"/>
                    <w:snapToGrid w:val="0"/>
                    <w:jc w:val="center"/>
                    <w:rPr>
                      <w:rFonts w:asciiTheme="majorEastAsia" w:hAnsiTheme="majorEastAsia" w:eastAsiaTheme="majorEastAsia"/>
                      <w:color w:val="auto"/>
                      <w:szCs w:val="21"/>
                      <w:vertAlign w:val="subscript"/>
                    </w:rPr>
                  </w:pPr>
                  <w:r>
                    <w:rPr>
                      <w:rFonts w:asciiTheme="majorEastAsia" w:hAnsiTheme="majorEastAsia" w:eastAsiaTheme="majorEastAsia"/>
                      <w:color w:val="auto"/>
                      <w:szCs w:val="21"/>
                    </w:rPr>
                    <w:t>COD</w:t>
                  </w:r>
                </w:p>
              </w:tc>
              <w:tc>
                <w:tcPr>
                  <w:tcW w:w="1081"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BOD5</w:t>
                  </w:r>
                </w:p>
              </w:tc>
              <w:tc>
                <w:tcPr>
                  <w:tcW w:w="1030"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SS</w:t>
                  </w:r>
                </w:p>
              </w:tc>
              <w:tc>
                <w:tcPr>
                  <w:tcW w:w="97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NH3-N</w:t>
                  </w:r>
                </w:p>
              </w:tc>
              <w:tc>
                <w:tcPr>
                  <w:tcW w:w="108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TN</w:t>
                  </w:r>
                </w:p>
              </w:tc>
              <w:tc>
                <w:tcPr>
                  <w:tcW w:w="108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TP</w:t>
                  </w:r>
                </w:p>
              </w:tc>
              <w:tc>
                <w:tcPr>
                  <w:tcW w:w="1039"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pH</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24" w:hRule="atLeast"/>
              </w:trPr>
              <w:tc>
                <w:tcPr>
                  <w:tcW w:w="165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浓度（mg/L）</w:t>
                  </w:r>
                </w:p>
              </w:tc>
              <w:tc>
                <w:tcPr>
                  <w:tcW w:w="110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 xml:space="preserve">250~550 </w:t>
                  </w:r>
                </w:p>
              </w:tc>
              <w:tc>
                <w:tcPr>
                  <w:tcW w:w="1081"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 xml:space="preserve">250~350 </w:t>
                  </w:r>
                </w:p>
              </w:tc>
              <w:tc>
                <w:tcPr>
                  <w:tcW w:w="1030"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 xml:space="preserve">250~350 </w:t>
                  </w:r>
                </w:p>
              </w:tc>
              <w:tc>
                <w:tcPr>
                  <w:tcW w:w="97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 xml:space="preserve">35~85 </w:t>
                  </w:r>
                </w:p>
              </w:tc>
              <w:tc>
                <w:tcPr>
                  <w:tcW w:w="108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 xml:space="preserve">40~55 </w:t>
                  </w:r>
                </w:p>
              </w:tc>
              <w:tc>
                <w:tcPr>
                  <w:tcW w:w="108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 xml:space="preserve">1~3 </w:t>
                  </w:r>
                </w:p>
              </w:tc>
              <w:tc>
                <w:tcPr>
                  <w:tcW w:w="1039"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6~9</w:t>
                  </w:r>
                </w:p>
              </w:tc>
            </w:tr>
          </w:tbl>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对比参考典型的城市生活污水水质指标、西北地区农村生活污水水质参考值、污水排入城市下水道水质标准，并结合早胜镇的相关资料，最终确定污水处理站设计进水水质如下。</w:t>
            </w:r>
          </w:p>
          <w:p>
            <w:pPr>
              <w:adjustRightInd w:val="0"/>
              <w:snapToGrid w:val="0"/>
              <w:spacing w:line="360" w:lineRule="auto"/>
              <w:jc w:val="center"/>
              <w:rPr>
                <w:rFonts w:asciiTheme="majorEastAsia" w:hAnsiTheme="majorEastAsia" w:eastAsiaTheme="majorEastAsia"/>
                <w:b/>
                <w:color w:val="auto"/>
                <w:sz w:val="24"/>
              </w:rPr>
            </w:pPr>
            <w:r>
              <w:rPr>
                <w:rFonts w:asciiTheme="majorEastAsia" w:hAnsiTheme="majorEastAsia" w:eastAsiaTheme="majorEastAsia"/>
                <w:b/>
                <w:color w:val="auto"/>
                <w:sz w:val="24"/>
              </w:rPr>
              <w:t>表17污水处理站设计进水水质</w:t>
            </w:r>
          </w:p>
          <w:tbl>
            <w:tblPr>
              <w:tblStyle w:val="38"/>
              <w:tblpPr w:leftFromText="180" w:rightFromText="180" w:vertAnchor="text" w:horzAnchor="page" w:tblpXSpec="center" w:tblpY="29"/>
              <w:tblOverlap w:val="never"/>
              <w:tblW w:w="9063" w:type="dxa"/>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58"/>
              <w:gridCol w:w="1103"/>
              <w:gridCol w:w="1081"/>
              <w:gridCol w:w="1030"/>
              <w:gridCol w:w="977"/>
              <w:gridCol w:w="1087"/>
              <w:gridCol w:w="1088"/>
              <w:gridCol w:w="1039"/>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6" w:hRule="atLeast"/>
              </w:trPr>
              <w:tc>
                <w:tcPr>
                  <w:tcW w:w="165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水质项目</w:t>
                  </w:r>
                </w:p>
              </w:tc>
              <w:tc>
                <w:tcPr>
                  <w:tcW w:w="1103" w:type="dxa"/>
                  <w:vAlign w:val="center"/>
                </w:tcPr>
                <w:p>
                  <w:pPr>
                    <w:adjustRightInd w:val="0"/>
                    <w:snapToGrid w:val="0"/>
                    <w:jc w:val="center"/>
                    <w:rPr>
                      <w:rFonts w:asciiTheme="majorEastAsia" w:hAnsiTheme="majorEastAsia" w:eastAsiaTheme="majorEastAsia"/>
                      <w:color w:val="auto"/>
                      <w:szCs w:val="21"/>
                      <w:vertAlign w:val="subscript"/>
                    </w:rPr>
                  </w:pPr>
                  <w:r>
                    <w:rPr>
                      <w:rFonts w:asciiTheme="majorEastAsia" w:hAnsiTheme="majorEastAsia" w:eastAsiaTheme="majorEastAsia"/>
                      <w:color w:val="auto"/>
                      <w:szCs w:val="21"/>
                    </w:rPr>
                    <w:t>COD</w:t>
                  </w:r>
                </w:p>
              </w:tc>
              <w:tc>
                <w:tcPr>
                  <w:tcW w:w="1081"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BOD5</w:t>
                  </w:r>
                </w:p>
              </w:tc>
              <w:tc>
                <w:tcPr>
                  <w:tcW w:w="1030"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SS</w:t>
                  </w:r>
                </w:p>
              </w:tc>
              <w:tc>
                <w:tcPr>
                  <w:tcW w:w="97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TN</w:t>
                  </w:r>
                </w:p>
              </w:tc>
              <w:tc>
                <w:tcPr>
                  <w:tcW w:w="108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NH3-N</w:t>
                  </w:r>
                </w:p>
              </w:tc>
              <w:tc>
                <w:tcPr>
                  <w:tcW w:w="108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TP</w:t>
                  </w:r>
                </w:p>
              </w:tc>
              <w:tc>
                <w:tcPr>
                  <w:tcW w:w="1039"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pH</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24" w:hRule="atLeast"/>
              </w:trPr>
              <w:tc>
                <w:tcPr>
                  <w:tcW w:w="165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数值（mg/L）</w:t>
                  </w:r>
                </w:p>
              </w:tc>
              <w:tc>
                <w:tcPr>
                  <w:tcW w:w="110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≤500</w:t>
                  </w:r>
                </w:p>
              </w:tc>
              <w:tc>
                <w:tcPr>
                  <w:tcW w:w="1081"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≤350</w:t>
                  </w:r>
                </w:p>
              </w:tc>
              <w:tc>
                <w:tcPr>
                  <w:tcW w:w="1030"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≤350</w:t>
                  </w:r>
                </w:p>
              </w:tc>
              <w:tc>
                <w:tcPr>
                  <w:tcW w:w="97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≤35</w:t>
                  </w:r>
                </w:p>
              </w:tc>
              <w:tc>
                <w:tcPr>
                  <w:tcW w:w="1087"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≤55</w:t>
                  </w:r>
                </w:p>
              </w:tc>
              <w:tc>
                <w:tcPr>
                  <w:tcW w:w="108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≤3</w:t>
                  </w:r>
                </w:p>
              </w:tc>
              <w:tc>
                <w:tcPr>
                  <w:tcW w:w="1039"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6~9</w:t>
                  </w:r>
                </w:p>
              </w:tc>
            </w:tr>
          </w:tbl>
          <w:p>
            <w:pPr>
              <w:adjustRightInd w:val="0"/>
              <w:snapToGrid w:val="0"/>
              <w:spacing w:line="360" w:lineRule="auto"/>
              <w:ind w:firstLine="480" w:firstLineChars="200"/>
              <w:rPr>
                <w:rFonts w:asciiTheme="majorEastAsia" w:hAnsiTheme="majorEastAsia" w:eastAsiaTheme="majorEastAsia"/>
                <w:color w:val="auto"/>
                <w:sz w:val="24"/>
              </w:rPr>
            </w:pPr>
            <w:r>
              <w:rPr>
                <w:rFonts w:hint="eastAsia" w:cs="宋体" w:asciiTheme="majorEastAsia" w:hAnsiTheme="majorEastAsia" w:eastAsiaTheme="majorEastAsia"/>
                <w:color w:val="auto"/>
                <w:sz w:val="24"/>
              </w:rPr>
              <w:t>Ⅱ</w:t>
            </w:r>
            <w:r>
              <w:rPr>
                <w:rFonts w:asciiTheme="majorEastAsia" w:hAnsiTheme="majorEastAsia" w:eastAsiaTheme="majorEastAsia"/>
                <w:color w:val="auto"/>
                <w:sz w:val="24"/>
              </w:rPr>
              <w:t>出水水质</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污水处理站尾水排放需执行《城镇污水处理厂污染物排放标准》（GB18918-2002）一级A标准。</w:t>
            </w:r>
          </w:p>
          <w:p>
            <w:pPr>
              <w:adjustRightInd w:val="0"/>
              <w:snapToGrid w:val="0"/>
              <w:spacing w:line="360" w:lineRule="auto"/>
              <w:ind w:firstLine="482" w:firstLineChars="200"/>
              <w:jc w:val="center"/>
              <w:rPr>
                <w:rFonts w:asciiTheme="majorEastAsia" w:hAnsiTheme="majorEastAsia" w:eastAsiaTheme="majorEastAsia"/>
                <w:b/>
                <w:color w:val="auto"/>
                <w:sz w:val="24"/>
              </w:rPr>
            </w:pPr>
            <w:r>
              <w:rPr>
                <w:rFonts w:asciiTheme="majorEastAsia" w:hAnsiTheme="majorEastAsia" w:eastAsiaTheme="majorEastAsia"/>
                <w:b/>
                <w:color w:val="auto"/>
                <w:sz w:val="24"/>
              </w:rPr>
              <w:t>表18污水处理站设计出水水质</w:t>
            </w:r>
          </w:p>
          <w:tbl>
            <w:tblPr>
              <w:tblStyle w:val="38"/>
              <w:tblpPr w:leftFromText="180" w:rightFromText="180" w:vertAnchor="text" w:horzAnchor="page" w:tblpXSpec="center" w:tblpY="29"/>
              <w:tblOverlap w:val="never"/>
              <w:tblW w:w="9063" w:type="dxa"/>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58"/>
              <w:gridCol w:w="1103"/>
              <w:gridCol w:w="1081"/>
              <w:gridCol w:w="1030"/>
              <w:gridCol w:w="798"/>
              <w:gridCol w:w="1266"/>
              <w:gridCol w:w="1088"/>
              <w:gridCol w:w="1039"/>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6" w:hRule="atLeast"/>
              </w:trPr>
              <w:tc>
                <w:tcPr>
                  <w:tcW w:w="165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水质项目</w:t>
                  </w:r>
                </w:p>
              </w:tc>
              <w:tc>
                <w:tcPr>
                  <w:tcW w:w="1103" w:type="dxa"/>
                  <w:vAlign w:val="center"/>
                </w:tcPr>
                <w:p>
                  <w:pPr>
                    <w:adjustRightInd w:val="0"/>
                    <w:snapToGrid w:val="0"/>
                    <w:jc w:val="center"/>
                    <w:rPr>
                      <w:rFonts w:asciiTheme="majorEastAsia" w:hAnsiTheme="majorEastAsia" w:eastAsiaTheme="majorEastAsia"/>
                      <w:color w:val="auto"/>
                      <w:szCs w:val="21"/>
                      <w:vertAlign w:val="subscript"/>
                    </w:rPr>
                  </w:pPr>
                  <w:r>
                    <w:rPr>
                      <w:rFonts w:asciiTheme="majorEastAsia" w:hAnsiTheme="majorEastAsia" w:eastAsiaTheme="majorEastAsia"/>
                      <w:color w:val="auto"/>
                      <w:szCs w:val="21"/>
                    </w:rPr>
                    <w:t>COD</w:t>
                  </w:r>
                </w:p>
              </w:tc>
              <w:tc>
                <w:tcPr>
                  <w:tcW w:w="1081"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BOD5</w:t>
                  </w:r>
                </w:p>
              </w:tc>
              <w:tc>
                <w:tcPr>
                  <w:tcW w:w="1030"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SS</w:t>
                  </w:r>
                </w:p>
              </w:tc>
              <w:tc>
                <w:tcPr>
                  <w:tcW w:w="79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TN</w:t>
                  </w:r>
                </w:p>
              </w:tc>
              <w:tc>
                <w:tcPr>
                  <w:tcW w:w="126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NH3-N</w:t>
                  </w:r>
                </w:p>
              </w:tc>
              <w:tc>
                <w:tcPr>
                  <w:tcW w:w="108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TP</w:t>
                  </w:r>
                </w:p>
              </w:tc>
              <w:tc>
                <w:tcPr>
                  <w:tcW w:w="1039"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pH</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24" w:hRule="atLeast"/>
              </w:trPr>
              <w:tc>
                <w:tcPr>
                  <w:tcW w:w="165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数值（mg/L）</w:t>
                  </w:r>
                </w:p>
              </w:tc>
              <w:tc>
                <w:tcPr>
                  <w:tcW w:w="110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≤50</w:t>
                  </w:r>
                </w:p>
              </w:tc>
              <w:tc>
                <w:tcPr>
                  <w:tcW w:w="1081"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≤10</w:t>
                  </w:r>
                </w:p>
              </w:tc>
              <w:tc>
                <w:tcPr>
                  <w:tcW w:w="1030"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≤10</w:t>
                  </w:r>
                </w:p>
              </w:tc>
              <w:tc>
                <w:tcPr>
                  <w:tcW w:w="79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≤15</w:t>
                  </w:r>
                </w:p>
              </w:tc>
              <w:tc>
                <w:tcPr>
                  <w:tcW w:w="126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≤5（8）*</w:t>
                  </w:r>
                </w:p>
              </w:tc>
              <w:tc>
                <w:tcPr>
                  <w:tcW w:w="1088"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≤0.5</w:t>
                  </w:r>
                </w:p>
              </w:tc>
              <w:tc>
                <w:tcPr>
                  <w:tcW w:w="1039"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6~9</w:t>
                  </w:r>
                </w:p>
              </w:tc>
            </w:tr>
          </w:tbl>
          <w:p>
            <w:pPr>
              <w:adjustRightInd w:val="0"/>
              <w:snapToGrid w:val="0"/>
              <w:spacing w:line="360" w:lineRule="auto"/>
              <w:ind w:firstLine="420" w:firstLineChars="200"/>
              <w:rPr>
                <w:rFonts w:asciiTheme="majorEastAsia" w:hAnsiTheme="majorEastAsia" w:eastAsiaTheme="majorEastAsia"/>
                <w:color w:val="auto"/>
                <w:szCs w:val="21"/>
              </w:rPr>
            </w:pPr>
            <w:r>
              <w:rPr>
                <w:rFonts w:asciiTheme="majorEastAsia" w:hAnsiTheme="majorEastAsia" w:eastAsiaTheme="majorEastAsia"/>
                <w:color w:val="auto"/>
                <w:szCs w:val="21"/>
              </w:rPr>
              <w:t>*注：括号外值为水温&gt;12</w:t>
            </w:r>
            <w:r>
              <w:rPr>
                <w:rFonts w:hint="eastAsia" w:cs="宋体" w:asciiTheme="majorEastAsia" w:hAnsiTheme="majorEastAsia" w:eastAsiaTheme="majorEastAsia"/>
                <w:color w:val="auto"/>
                <w:szCs w:val="21"/>
              </w:rPr>
              <w:t>℃</w:t>
            </w:r>
            <w:r>
              <w:rPr>
                <w:rFonts w:asciiTheme="majorEastAsia" w:hAnsiTheme="majorEastAsia" w:eastAsiaTheme="majorEastAsia"/>
                <w:color w:val="auto"/>
                <w:szCs w:val="21"/>
              </w:rPr>
              <w:t>时的控制指标，括号内值为水温≤12</w:t>
            </w:r>
            <w:r>
              <w:rPr>
                <w:rFonts w:hint="eastAsia" w:cs="宋体" w:asciiTheme="majorEastAsia" w:hAnsiTheme="majorEastAsia" w:eastAsiaTheme="majorEastAsia"/>
                <w:color w:val="auto"/>
                <w:szCs w:val="21"/>
              </w:rPr>
              <w:t>℃</w:t>
            </w:r>
            <w:r>
              <w:rPr>
                <w:rFonts w:asciiTheme="majorEastAsia" w:hAnsiTheme="majorEastAsia" w:eastAsiaTheme="majorEastAsia"/>
                <w:color w:val="auto"/>
                <w:szCs w:val="21"/>
              </w:rPr>
              <w:t>时的控制指标</w:t>
            </w:r>
          </w:p>
          <w:p>
            <w:pPr>
              <w:adjustRightInd w:val="0"/>
              <w:snapToGrid w:val="0"/>
              <w:spacing w:line="360" w:lineRule="auto"/>
              <w:ind w:firstLine="482" w:firstLineChars="200"/>
              <w:rPr>
                <w:rFonts w:asciiTheme="majorEastAsia" w:hAnsiTheme="majorEastAsia" w:eastAsiaTheme="majorEastAsia"/>
                <w:b/>
                <w:color w:val="auto"/>
                <w:sz w:val="24"/>
              </w:rPr>
            </w:pPr>
            <w:r>
              <w:rPr>
                <w:rFonts w:asciiTheme="majorEastAsia" w:hAnsiTheme="majorEastAsia" w:eastAsiaTheme="majorEastAsia"/>
                <w:b/>
                <w:color w:val="auto"/>
                <w:sz w:val="24"/>
              </w:rPr>
              <w:t>9.2污水处理方案比选</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9.2.1污水水质分析</w:t>
            </w:r>
          </w:p>
          <w:p>
            <w:pPr>
              <w:adjustRightInd w:val="0"/>
              <w:snapToGrid w:val="0"/>
              <w:spacing w:line="360" w:lineRule="auto"/>
              <w:ind w:firstLine="480" w:firstLineChars="200"/>
              <w:rPr>
                <w:rFonts w:asciiTheme="majorEastAsia" w:hAnsiTheme="majorEastAsia" w:eastAsiaTheme="majorEastAsia"/>
                <w:color w:val="auto"/>
                <w:sz w:val="24"/>
              </w:rPr>
            </w:pPr>
            <w:r>
              <w:rPr>
                <w:rFonts w:hint="eastAsia" w:cs="宋体" w:asciiTheme="majorEastAsia" w:hAnsiTheme="majorEastAsia" w:eastAsiaTheme="majorEastAsia"/>
                <w:color w:val="auto"/>
                <w:sz w:val="24"/>
              </w:rPr>
              <w:t>①</w:t>
            </w:r>
            <w:r>
              <w:rPr>
                <w:rFonts w:asciiTheme="majorEastAsia" w:hAnsiTheme="majorEastAsia" w:eastAsiaTheme="majorEastAsia"/>
                <w:color w:val="auto"/>
                <w:sz w:val="24"/>
              </w:rPr>
              <w:t>BOD</w:t>
            </w:r>
            <w:r>
              <w:rPr>
                <w:rFonts w:asciiTheme="majorEastAsia" w:hAnsiTheme="majorEastAsia" w:eastAsiaTheme="majorEastAsia"/>
                <w:color w:val="auto"/>
                <w:sz w:val="24"/>
                <w:vertAlign w:val="subscript"/>
              </w:rPr>
              <w:t>5</w:t>
            </w:r>
            <w:r>
              <w:rPr>
                <w:rFonts w:asciiTheme="majorEastAsia" w:hAnsiTheme="majorEastAsia" w:eastAsiaTheme="majorEastAsia"/>
                <w:color w:val="auto"/>
                <w:sz w:val="24"/>
              </w:rPr>
              <w:t>/COD</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污水BOD</w:t>
            </w:r>
            <w:r>
              <w:rPr>
                <w:rFonts w:asciiTheme="majorEastAsia" w:hAnsiTheme="majorEastAsia" w:eastAsiaTheme="majorEastAsia"/>
                <w:color w:val="auto"/>
                <w:sz w:val="24"/>
                <w:vertAlign w:val="subscript"/>
              </w:rPr>
              <w:t>5</w:t>
            </w:r>
            <w:r>
              <w:rPr>
                <w:rFonts w:asciiTheme="majorEastAsia" w:hAnsiTheme="majorEastAsia" w:eastAsiaTheme="majorEastAsia"/>
                <w:color w:val="auto"/>
                <w:sz w:val="24"/>
              </w:rPr>
              <w:t>/COD值是判定污水可生化性的重要指标。一般认为：BOD</w:t>
            </w:r>
            <w:r>
              <w:rPr>
                <w:rFonts w:asciiTheme="majorEastAsia" w:hAnsiTheme="majorEastAsia" w:eastAsiaTheme="majorEastAsia"/>
                <w:color w:val="auto"/>
                <w:sz w:val="24"/>
                <w:vertAlign w:val="subscript"/>
              </w:rPr>
              <w:t>5</w:t>
            </w:r>
            <w:r>
              <w:rPr>
                <w:rFonts w:asciiTheme="majorEastAsia" w:hAnsiTheme="majorEastAsia" w:eastAsiaTheme="majorEastAsia"/>
                <w:color w:val="auto"/>
                <w:sz w:val="24"/>
              </w:rPr>
              <w:t>/COD＞0.4可生化性较好，BOD</w:t>
            </w:r>
            <w:r>
              <w:rPr>
                <w:rFonts w:asciiTheme="majorEastAsia" w:hAnsiTheme="majorEastAsia" w:eastAsiaTheme="majorEastAsia"/>
                <w:color w:val="auto"/>
                <w:sz w:val="24"/>
                <w:vertAlign w:val="subscript"/>
              </w:rPr>
              <w:t>5</w:t>
            </w:r>
            <w:r>
              <w:rPr>
                <w:rFonts w:asciiTheme="majorEastAsia" w:hAnsiTheme="majorEastAsia" w:eastAsiaTheme="majorEastAsia"/>
                <w:color w:val="auto"/>
                <w:sz w:val="24"/>
              </w:rPr>
              <w:t>/COD＞0.3可生化，BOD</w:t>
            </w:r>
            <w:r>
              <w:rPr>
                <w:rFonts w:asciiTheme="majorEastAsia" w:hAnsiTheme="majorEastAsia" w:eastAsiaTheme="majorEastAsia"/>
                <w:color w:val="auto"/>
                <w:sz w:val="24"/>
                <w:vertAlign w:val="subscript"/>
              </w:rPr>
              <w:t>5</w:t>
            </w:r>
            <w:r>
              <w:rPr>
                <w:rFonts w:asciiTheme="majorEastAsia" w:hAnsiTheme="majorEastAsia" w:eastAsiaTheme="majorEastAsia"/>
                <w:color w:val="auto"/>
                <w:sz w:val="24"/>
              </w:rPr>
              <w:t>/COD＜0.3较难生化，BOD</w:t>
            </w:r>
            <w:r>
              <w:rPr>
                <w:rFonts w:asciiTheme="majorEastAsia" w:hAnsiTheme="majorEastAsia" w:eastAsiaTheme="majorEastAsia"/>
                <w:color w:val="auto"/>
                <w:sz w:val="24"/>
                <w:vertAlign w:val="subscript"/>
              </w:rPr>
              <w:t>5</w:t>
            </w:r>
            <w:r>
              <w:rPr>
                <w:rFonts w:asciiTheme="majorEastAsia" w:hAnsiTheme="majorEastAsia" w:eastAsiaTheme="majorEastAsia"/>
                <w:color w:val="auto"/>
                <w:sz w:val="24"/>
              </w:rPr>
              <w:t>/COD＜0.25不易生化。本工程污水处理站进水BOD</w:t>
            </w:r>
            <w:r>
              <w:rPr>
                <w:rFonts w:asciiTheme="majorEastAsia" w:hAnsiTheme="majorEastAsia" w:eastAsiaTheme="majorEastAsia"/>
                <w:color w:val="auto"/>
                <w:sz w:val="24"/>
                <w:vertAlign w:val="subscript"/>
              </w:rPr>
              <w:t>5</w:t>
            </w:r>
            <w:r>
              <w:rPr>
                <w:rFonts w:asciiTheme="majorEastAsia" w:hAnsiTheme="majorEastAsia" w:eastAsiaTheme="majorEastAsia"/>
                <w:color w:val="auto"/>
                <w:sz w:val="24"/>
              </w:rPr>
              <w:t>/COD为0.3，由此可知该污水可生化，宜采用生化处理工艺。</w:t>
            </w:r>
          </w:p>
          <w:p>
            <w:pPr>
              <w:adjustRightInd w:val="0"/>
              <w:snapToGrid w:val="0"/>
              <w:spacing w:line="360" w:lineRule="auto"/>
              <w:ind w:firstLine="484" w:firstLineChars="200"/>
              <w:rPr>
                <w:rFonts w:asciiTheme="majorEastAsia" w:hAnsiTheme="majorEastAsia" w:eastAsiaTheme="majorEastAsia"/>
                <w:color w:val="auto"/>
                <w:sz w:val="24"/>
              </w:rPr>
            </w:pPr>
            <w:r>
              <w:rPr>
                <w:rFonts w:hint="eastAsia" w:cs="宋体" w:asciiTheme="majorEastAsia" w:hAnsiTheme="majorEastAsia" w:eastAsiaTheme="majorEastAsia"/>
                <w:color w:val="auto"/>
                <w:spacing w:val="1"/>
                <w:sz w:val="24"/>
              </w:rPr>
              <w:t>②</w:t>
            </w:r>
            <w:r>
              <w:rPr>
                <w:rFonts w:asciiTheme="majorEastAsia" w:hAnsiTheme="majorEastAsia" w:eastAsiaTheme="majorEastAsia"/>
                <w:color w:val="auto"/>
                <w:sz w:val="24"/>
              </w:rPr>
              <w:t>BOD</w:t>
            </w:r>
            <w:r>
              <w:rPr>
                <w:rFonts w:asciiTheme="majorEastAsia" w:hAnsiTheme="majorEastAsia" w:eastAsiaTheme="majorEastAsia"/>
                <w:color w:val="auto"/>
                <w:position w:val="-3"/>
                <w:sz w:val="24"/>
                <w:vertAlign w:val="subscript"/>
              </w:rPr>
              <w:t>5</w:t>
            </w:r>
            <w:r>
              <w:rPr>
                <w:rFonts w:asciiTheme="majorEastAsia" w:hAnsiTheme="majorEastAsia" w:eastAsiaTheme="majorEastAsia"/>
                <w:color w:val="auto"/>
                <w:sz w:val="24"/>
              </w:rPr>
              <w:t>/TN</w:t>
            </w:r>
          </w:p>
          <w:p>
            <w:pPr>
              <w:adjustRightInd w:val="0"/>
              <w:snapToGrid w:val="0"/>
              <w:spacing w:line="360" w:lineRule="auto"/>
              <w:ind w:firstLine="488" w:firstLineChars="200"/>
              <w:rPr>
                <w:rFonts w:asciiTheme="majorEastAsia" w:hAnsiTheme="majorEastAsia" w:eastAsiaTheme="majorEastAsia"/>
                <w:color w:val="auto"/>
                <w:spacing w:val="2"/>
                <w:sz w:val="24"/>
              </w:rPr>
            </w:pPr>
            <w:r>
              <w:rPr>
                <w:rFonts w:asciiTheme="majorEastAsia" w:hAnsiTheme="majorEastAsia" w:eastAsiaTheme="majorEastAsia"/>
                <w:color w:val="auto"/>
                <w:spacing w:val="2"/>
                <w:sz w:val="24"/>
              </w:rPr>
              <w:t>BOD</w:t>
            </w:r>
            <w:r>
              <w:rPr>
                <w:rFonts w:asciiTheme="majorEastAsia" w:hAnsiTheme="majorEastAsia" w:eastAsiaTheme="majorEastAsia"/>
                <w:color w:val="auto"/>
                <w:spacing w:val="2"/>
                <w:sz w:val="24"/>
                <w:vertAlign w:val="subscript"/>
              </w:rPr>
              <w:t>5</w:t>
            </w:r>
            <w:r>
              <w:rPr>
                <w:rFonts w:asciiTheme="majorEastAsia" w:hAnsiTheme="majorEastAsia" w:eastAsiaTheme="majorEastAsia"/>
                <w:color w:val="auto"/>
                <w:spacing w:val="2"/>
                <w:sz w:val="24"/>
              </w:rPr>
              <w:t>/N（即C/N）比值是判别能否有效脱氮的重要指标。从理论上讲，C/N≥2.86 就能进行脱氮，但一般认为，C/N≥3.5才能进行有效脱氮。本工程进水水质C/N=3.75，满足生物脱氮的要求。</w:t>
            </w:r>
          </w:p>
          <w:p>
            <w:pPr>
              <w:adjustRightInd w:val="0"/>
              <w:snapToGrid w:val="0"/>
              <w:spacing w:line="360" w:lineRule="auto"/>
              <w:ind w:firstLine="488" w:firstLineChars="200"/>
              <w:rPr>
                <w:rFonts w:asciiTheme="majorEastAsia" w:hAnsiTheme="majorEastAsia" w:eastAsiaTheme="majorEastAsia"/>
                <w:color w:val="auto"/>
                <w:spacing w:val="2"/>
                <w:sz w:val="24"/>
              </w:rPr>
            </w:pPr>
            <w:r>
              <w:rPr>
                <w:rFonts w:hint="eastAsia" w:cs="宋体" w:asciiTheme="majorEastAsia" w:hAnsiTheme="majorEastAsia" w:eastAsiaTheme="majorEastAsia"/>
                <w:color w:val="auto"/>
                <w:spacing w:val="2"/>
                <w:sz w:val="24"/>
              </w:rPr>
              <w:t>③</w:t>
            </w:r>
            <w:r>
              <w:rPr>
                <w:rFonts w:asciiTheme="majorEastAsia" w:hAnsiTheme="majorEastAsia" w:eastAsiaTheme="majorEastAsia"/>
                <w:color w:val="auto"/>
                <w:spacing w:val="2"/>
                <w:sz w:val="24"/>
              </w:rPr>
              <w:t>BOD</w:t>
            </w:r>
            <w:r>
              <w:rPr>
                <w:rFonts w:asciiTheme="majorEastAsia" w:hAnsiTheme="majorEastAsia" w:eastAsiaTheme="majorEastAsia"/>
                <w:color w:val="auto"/>
                <w:spacing w:val="2"/>
                <w:sz w:val="24"/>
                <w:vertAlign w:val="subscript"/>
              </w:rPr>
              <w:t>5</w:t>
            </w:r>
            <w:r>
              <w:rPr>
                <w:rFonts w:asciiTheme="majorEastAsia" w:hAnsiTheme="majorEastAsia" w:eastAsiaTheme="majorEastAsia"/>
                <w:color w:val="auto"/>
                <w:spacing w:val="2"/>
                <w:sz w:val="24"/>
              </w:rPr>
              <w:t>/TP</w:t>
            </w:r>
          </w:p>
          <w:p>
            <w:pPr>
              <w:adjustRightInd w:val="0"/>
              <w:snapToGrid w:val="0"/>
              <w:spacing w:line="360" w:lineRule="auto"/>
              <w:ind w:firstLine="488" w:firstLineChars="200"/>
              <w:rPr>
                <w:rFonts w:asciiTheme="majorEastAsia" w:hAnsiTheme="majorEastAsia" w:eastAsiaTheme="majorEastAsia"/>
                <w:color w:val="auto"/>
                <w:spacing w:val="2"/>
                <w:sz w:val="24"/>
              </w:rPr>
            </w:pPr>
            <w:r>
              <w:rPr>
                <w:rFonts w:asciiTheme="majorEastAsia" w:hAnsiTheme="majorEastAsia" w:eastAsiaTheme="majorEastAsia"/>
                <w:color w:val="auto"/>
                <w:spacing w:val="2"/>
                <w:sz w:val="24"/>
              </w:rPr>
              <w:t>该比值是判断能否采用生物除磷的指标，一般认为BOD</w:t>
            </w:r>
            <w:r>
              <w:rPr>
                <w:rFonts w:asciiTheme="majorEastAsia" w:hAnsiTheme="majorEastAsia" w:eastAsiaTheme="majorEastAsia"/>
                <w:color w:val="auto"/>
                <w:spacing w:val="2"/>
                <w:sz w:val="24"/>
                <w:vertAlign w:val="subscript"/>
              </w:rPr>
              <w:t>5</w:t>
            </w:r>
            <w:r>
              <w:rPr>
                <w:rFonts w:asciiTheme="majorEastAsia" w:hAnsiTheme="majorEastAsia" w:eastAsiaTheme="majorEastAsia"/>
                <w:color w:val="auto"/>
                <w:spacing w:val="2"/>
                <w:sz w:val="24"/>
              </w:rPr>
              <w:t>/TP≥20可取得良好的除磷效果。如污水中含有足够易降解的有机物浓度，通过厌氧环境下生物能充分释放体内的磷，生物就会在好氧环境中吸磷也越多，通过排除剩余污泥，获得较好的生物除磷效果。由于影响生物除磷的因素诸多，一般采用生物除磷工艺的同时，都辅以化学除磷系统，以使出水中磷的含量达到排放要求。本工程BOD</w:t>
            </w:r>
            <w:r>
              <w:rPr>
                <w:rFonts w:asciiTheme="majorEastAsia" w:hAnsiTheme="majorEastAsia" w:eastAsiaTheme="majorEastAsia"/>
                <w:color w:val="auto"/>
                <w:spacing w:val="2"/>
                <w:sz w:val="24"/>
                <w:vertAlign w:val="subscript"/>
              </w:rPr>
              <w:t>5</w:t>
            </w:r>
            <w:r>
              <w:rPr>
                <w:rFonts w:asciiTheme="majorEastAsia" w:hAnsiTheme="majorEastAsia" w:eastAsiaTheme="majorEastAsia"/>
                <w:color w:val="auto"/>
                <w:spacing w:val="2"/>
                <w:sz w:val="24"/>
              </w:rPr>
              <w:t>/TP=55，适用采用生物除磷工艺。</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9.2.2污水处理工艺方案选择</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有机废水处理技术发展比较长，已形成多种多样的处理技术和工艺路线，一般以去除有机物为主要目的，至今仍是以活性污泥法为主流处理工艺。近年来，随着人们对环保的重视，开发出的改进工艺，主要体现在对出水水质标准的提高及运行的可靠稳定上，对于缓流水体的水环境保护，去除水中N、P的污染，防止发生富营养化显得尤为重要。目前有机污水处理工艺国内外使用和报导的有：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/O工艺、SBR法及其改进方式、MBR 法、曝气生物滤池法等等。基本上可以分为连续式流程、间歇式流程和生物膜法工艺。本设计重点讨论各形式的典型工艺。到目前为止，国内外还没有一个具有绝对优势或者说绝对好的工艺流程，各种工艺都有实际工程在运行。实际上，对于同样的工艺流程，不同的设计人（单位）的设计结果也会有较大的不同（总投资、运行费用等等）。可研对国内针对此类污水常见的几种典型工艺作简要介绍和分析，作为本工程比选方案。</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9.2.2.1A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/O工艺</w:t>
            </w:r>
          </w:p>
          <w:p>
            <w:pPr>
              <w:adjustRightInd w:val="0"/>
              <w:snapToGrid w:val="0"/>
              <w:spacing w:line="360" w:lineRule="auto"/>
              <w:ind w:firstLine="480" w:firstLineChars="200"/>
              <w:rPr>
                <w:rFonts w:asciiTheme="majorEastAsia" w:hAnsiTheme="majorEastAsia" w:eastAsiaTheme="majorEastAsia"/>
                <w:color w:val="auto"/>
                <w:sz w:val="24"/>
              </w:rPr>
            </w:pPr>
            <w:r>
              <w:rPr>
                <w:rFonts w:hint="eastAsia" w:cs="宋体" w:asciiTheme="majorEastAsia" w:hAnsiTheme="majorEastAsia" w:eastAsiaTheme="majorEastAsia"/>
                <w:color w:val="auto"/>
                <w:sz w:val="24"/>
              </w:rPr>
              <w:t>⑴</w:t>
            </w:r>
            <w:r>
              <w:rPr>
                <w:rFonts w:asciiTheme="majorEastAsia" w:hAnsiTheme="majorEastAsia" w:eastAsiaTheme="majorEastAsia"/>
                <w:color w:val="auto"/>
                <w:sz w:val="24"/>
              </w:rPr>
              <w:t>传统A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/O工艺</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传统A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/O法即厌氧－缺氧－好氧活性污泥法。A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工艺是通过厌氧和好氧、缺氧和好氧交替变化的环境完成除磷脱氮反应。在厌氧条件下，回流污泥中的聚磷菌受到抑制，只能释放体内的磷酸盐获取能量，以吸收污水中的可快速生化降解的溶解性有机物来维持生存，并在细胞内将有机物转化成聚β羟丁酸（PHB）贮存起来。在这个过程中完成了磷的厌氧释放；在缺氧条件下，反硝化菌利用污水中的有机碳作为电子供体，以硝酸盐作为电子受体进行“无氧呼吸”，将回流液中硝态氮还原成氮气释放出来，完成反硝化过程；而在好氧条件下，一方面聚磷菌将体内的PHB进行好氧分解，释放的能量用于细胞合成、增殖和吸收污水中的磷合成聚磷酸盐，随剩余污泥排出系统，从而实现污水的除磷，另一方面硝化菌把污水中的氨氮氧化成硝酸盐；再向缺氧池回流，为脱氮作好必要的准备。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工艺的特点是把除磷、脱氮和降解有机物三个生化过程结合起来，在厌氧和缺氧段为除磷和脱氮提供各自不同的反应条件，在最后的好氧段为三个指标的处理提供了共同的反应条件。这就能够用简单的流程，尽量少的构筑物，完成复杂的处理过程，给工程实施创造方便条件。该工艺在系统上是最简单的同步除磷脱氮工艺，总水力停留时间小于其它同类工艺，在厌氧（缺氧）、好氧交替运行的条件下可抑制丝状菌繁殖，克服污泥膨胀，SVI值一般小于100，有利于处理后污水与污泥的分离，运行中在厌氧和缺氧段内只需轻缓搅拌，运行费用低。由于厌氧、缺氧和好氧三个区严格分开，有利于不同微生物菌群的繁殖生长，因此脱氮除磷效果很好。</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但是A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/O工艺也存在一些不足：</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回流活性污泥（外回流）直接回流进入厌氧池，其中夹带的大量硝酸根中的氧，回流至厌氧池，破坏了厌氧池的厌氧状态，从而影响系统的除磷效果。</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研究结果表明，MLSS中的含磷量随污泥负荷的降低将大幅度下降。生物除磷需要高的污泥负荷，而生物脱氮则需要低的物泥负荷，在A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/O工艺中要使二者同时达到最佳状态是困难的，一般是以生物脱氮为主，生物除磷为辅。</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为了解决A2/O法回流污泥中硝酸盐根中的氧对厌氧放磷的影响，可采取将回流污泥进行两次回流，或进水分两点进入等措施。于是，产生了改良型改良型A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/O、倒置A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/O和UCT等工艺。</w:t>
            </w:r>
          </w:p>
          <w:p>
            <w:pPr>
              <w:adjustRightInd w:val="0"/>
              <w:snapToGrid w:val="0"/>
              <w:spacing w:line="360" w:lineRule="auto"/>
              <w:ind w:firstLine="420" w:firstLineChars="200"/>
              <w:rPr>
                <w:rFonts w:asciiTheme="majorEastAsia" w:hAnsiTheme="majorEastAsia" w:eastAsiaTheme="majorEastAsia"/>
                <w:color w:val="auto"/>
                <w:sz w:val="24"/>
              </w:rPr>
            </w:pPr>
            <w:r>
              <w:rPr>
                <w:rFonts w:asciiTheme="majorEastAsia" w:hAnsiTheme="majorEastAsia" w:eastAsiaTheme="majorEastAsia"/>
                <w:color w:val="auto"/>
              </w:rPr>
              <w:drawing>
                <wp:inline distT="0" distB="0" distL="0" distR="0">
                  <wp:extent cx="4401820" cy="12344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405072" cy="1235417"/>
                          </a:xfrm>
                          <a:prstGeom prst="rect">
                            <a:avLst/>
                          </a:prstGeom>
                        </pic:spPr>
                      </pic:pic>
                    </a:graphicData>
                  </a:graphic>
                </wp:inline>
              </w:drawing>
            </w:r>
          </w:p>
          <w:p>
            <w:pPr>
              <w:adjustRightInd w:val="0"/>
              <w:snapToGrid w:val="0"/>
              <w:spacing w:line="360" w:lineRule="auto"/>
              <w:ind w:firstLine="480" w:firstLineChars="200"/>
              <w:jc w:val="center"/>
              <w:rPr>
                <w:rFonts w:asciiTheme="majorEastAsia" w:hAnsiTheme="majorEastAsia" w:eastAsiaTheme="majorEastAsia"/>
                <w:color w:val="auto"/>
                <w:sz w:val="24"/>
              </w:rPr>
            </w:pPr>
            <w:r>
              <w:rPr>
                <w:rFonts w:asciiTheme="majorEastAsia" w:hAnsiTheme="majorEastAsia" w:eastAsiaTheme="majorEastAsia"/>
                <w:color w:val="auto"/>
                <w:sz w:val="24"/>
              </w:rPr>
              <w:t>图7传统A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/O工艺示意图</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2）改良A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/O工艺</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改良A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/O工艺系在常规A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/O法基础上改进而成。即在常规A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/O法的厌氧区前增加一个选择区（预缺氧区），回流污泥先进入选择区，其目的是消除回流活性污泥对厌氧区的不利影响，提高除磷效率，这一点与改良A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/O的优点相同；同时，改良A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/O工艺保留了常规A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/O法的混合液内回流，从而保证脱氮效果。因此可以认为，改良A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 工艺同时具有较好的脱氮和除磷效果。</w:t>
            </w:r>
          </w:p>
          <w:p>
            <w:pPr>
              <w:adjustRightInd w:val="0"/>
              <w:snapToGrid w:val="0"/>
              <w:spacing w:line="360" w:lineRule="auto"/>
              <w:ind w:firstLine="420" w:firstLineChars="200"/>
              <w:rPr>
                <w:rFonts w:asciiTheme="majorEastAsia" w:hAnsiTheme="majorEastAsia" w:eastAsiaTheme="majorEastAsia"/>
                <w:color w:val="auto"/>
                <w:sz w:val="24"/>
              </w:rPr>
            </w:pPr>
            <w:r>
              <w:rPr>
                <w:rFonts w:asciiTheme="majorEastAsia" w:hAnsiTheme="majorEastAsia" w:eastAsiaTheme="majorEastAsia"/>
                <w:color w:val="auto"/>
              </w:rPr>
              <w:drawing>
                <wp:inline distT="0" distB="0" distL="0" distR="0">
                  <wp:extent cx="4657725" cy="14135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657725" cy="1413538"/>
                          </a:xfrm>
                          <a:prstGeom prst="rect">
                            <a:avLst/>
                          </a:prstGeom>
                        </pic:spPr>
                      </pic:pic>
                    </a:graphicData>
                  </a:graphic>
                </wp:inline>
              </w:drawing>
            </w:r>
          </w:p>
          <w:p>
            <w:pPr>
              <w:adjustRightInd w:val="0"/>
              <w:snapToGrid w:val="0"/>
              <w:spacing w:line="360" w:lineRule="auto"/>
              <w:ind w:firstLine="480" w:firstLineChars="200"/>
              <w:jc w:val="center"/>
              <w:rPr>
                <w:rFonts w:asciiTheme="majorEastAsia" w:hAnsiTheme="majorEastAsia" w:eastAsiaTheme="majorEastAsia"/>
                <w:color w:val="auto"/>
                <w:sz w:val="24"/>
              </w:rPr>
            </w:pPr>
            <w:r>
              <w:rPr>
                <w:rFonts w:asciiTheme="majorEastAsia" w:hAnsiTheme="majorEastAsia" w:eastAsiaTheme="majorEastAsia"/>
                <w:color w:val="auto"/>
                <w:sz w:val="24"/>
              </w:rPr>
              <w:t>图8改良A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/O工艺示意图</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3）倒置A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/O工艺</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倒置A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/O工艺的池型布置与常规A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/O相同，其区别只是在于取消了混合液的回流，但是为了达到反硝化除氮的目的，必须加大活性污泥的回流量，以满足脱氮要求。</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倒置A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/O工艺与常规A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/O工艺相比，其优点在于将常规A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/O工艺的污泥回流系统与混合液回流系统合二为一，组成了唯一的污泥回流系统，使得工艺流程得到简化，也减少了管理点。倒置A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工艺的缺点是：缺氧区、厌氧区的进水分配比例较大（一般为3：1左右），这样反硝化的碳源比较充足，但厌氧释磷所需的挥发性脂肪酸（VFAs）却严重不足。特别是碳源种类的分配不尽合理，这是因为在各种碳源均存在的条件下，反硝化菌总是优先利用对除磷十分关键的VFAs进行反硝化反应，而厌氧池内其它无法被除磷菌利用但却可以用于反硝化反应的碳源却没有被充分利用。</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污泥回流比较大，一般为（1.5～2.5Q），对系统反应物的稀释作用依然存在。</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与混合液回流相比，污泥回流所需水泵扬程更大，因此其能耗相对于常规A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/O更大，运行费用也更高。由于污泥回流比很大，通过二沉池底流排出的固体量大大增加，从目前的二沉池设计计算理论来看，要满足严格的 SS 出水标准，维持较低的固体通量是很有必要的，因此倒置A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/O工艺的二沉池面积将会有较大的增加。</w:t>
            </w:r>
          </w:p>
          <w:p>
            <w:pPr>
              <w:adjustRightInd w:val="0"/>
              <w:snapToGrid w:val="0"/>
              <w:spacing w:line="360" w:lineRule="auto"/>
              <w:ind w:firstLine="420" w:firstLineChars="200"/>
              <w:rPr>
                <w:rFonts w:asciiTheme="majorEastAsia" w:hAnsiTheme="majorEastAsia" w:eastAsiaTheme="majorEastAsia"/>
                <w:color w:val="auto"/>
                <w:sz w:val="24"/>
              </w:rPr>
            </w:pPr>
            <w:r>
              <w:rPr>
                <w:rFonts w:asciiTheme="majorEastAsia" w:hAnsiTheme="majorEastAsia" w:eastAsiaTheme="majorEastAsia"/>
                <w:color w:val="auto"/>
              </w:rPr>
              <w:drawing>
                <wp:inline distT="0" distB="0" distL="0" distR="0">
                  <wp:extent cx="3810000" cy="10001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3810000" cy="1000125"/>
                          </a:xfrm>
                          <a:prstGeom prst="rect">
                            <a:avLst/>
                          </a:prstGeom>
                        </pic:spPr>
                      </pic:pic>
                    </a:graphicData>
                  </a:graphic>
                </wp:inline>
              </w:drawing>
            </w:r>
          </w:p>
          <w:p>
            <w:pPr>
              <w:adjustRightInd w:val="0"/>
              <w:snapToGrid w:val="0"/>
              <w:spacing w:line="360" w:lineRule="auto"/>
              <w:ind w:firstLine="480" w:firstLineChars="200"/>
              <w:jc w:val="center"/>
              <w:rPr>
                <w:rFonts w:asciiTheme="majorEastAsia" w:hAnsiTheme="majorEastAsia" w:eastAsiaTheme="majorEastAsia"/>
                <w:color w:val="auto"/>
                <w:sz w:val="24"/>
              </w:rPr>
            </w:pPr>
            <w:r>
              <w:rPr>
                <w:rFonts w:asciiTheme="majorEastAsia" w:hAnsiTheme="majorEastAsia" w:eastAsiaTheme="majorEastAsia"/>
                <w:color w:val="auto"/>
                <w:sz w:val="24"/>
              </w:rPr>
              <w:t>图9倒置A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/O工艺示意图</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4）MUCT 工艺</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UCT（University of Cape Town Process）活性污泥法是一种强化生物除磷脱氮工艺，是对A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/O工艺的改进。针对A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/O工艺直接将活性污泥回流至厌氧池会降低厌氧池的效率，使得所需的厌氧池容积较大的问题，UCT 工艺活性污泥回流至缺氧池的前端，以便在缺氧条件下充分去除回流活性污泥中的硝酸盐后，再将活性污泥回流至厌氧池，完全可以做到硝酸盐的零回流，从而使厌氧池释放磷的效率大大提高，强化了处理系统的除磷效果。</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根据ASCE 的《污水处理厂设计手册》介绍，UCT工艺在除磷的同时，可以使出水的氮（Nitrogen）指标达到 6~8 mg/L，并且硝酸盐的零回流可以使TKN：COD</w:t>
            </w:r>
            <w:r>
              <w:rPr>
                <w:rFonts w:asciiTheme="majorEastAsia" w:hAnsiTheme="majorEastAsia" w:eastAsiaTheme="majorEastAsia"/>
                <w:color w:val="auto"/>
                <w:sz w:val="24"/>
                <w:vertAlign w:val="subscript"/>
              </w:rPr>
              <w:t xml:space="preserve">Cr </w:t>
            </w:r>
            <w:r>
              <w:rPr>
                <w:rFonts w:asciiTheme="majorEastAsia" w:hAnsiTheme="majorEastAsia" w:eastAsiaTheme="majorEastAsia"/>
                <w:color w:val="auto"/>
                <w:sz w:val="24"/>
              </w:rPr>
              <w:t>达到0.14。</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虽然UCT工艺能够较好地解决溶解氧及硝酸盐对厌氧池的负面影响，但是仍然缺乏运转的灵活性；另外，为了避免缺氧池中的硝酸盐回流至厌氧池，就需要根据进水 TKN/COD</w:t>
            </w:r>
            <w:r>
              <w:rPr>
                <w:rFonts w:asciiTheme="majorEastAsia" w:hAnsiTheme="majorEastAsia" w:eastAsiaTheme="majorEastAsia"/>
                <w:color w:val="auto"/>
                <w:sz w:val="24"/>
                <w:vertAlign w:val="subscript"/>
              </w:rPr>
              <w:t>Cr</w:t>
            </w:r>
            <w:r>
              <w:rPr>
                <w:rFonts w:asciiTheme="majorEastAsia" w:hAnsiTheme="majorEastAsia" w:eastAsiaTheme="majorEastAsia"/>
                <w:color w:val="auto"/>
                <w:sz w:val="24"/>
              </w:rPr>
              <w:t>比值对回流硝酸盐量加以控制，使进入厌氧池的硝酸盐量尽可能小，这样以来系统的脱氮能力就得不到充分发挥；再者，因进水的TKN/COD</w:t>
            </w:r>
            <w:r>
              <w:rPr>
                <w:rFonts w:asciiTheme="majorEastAsia" w:hAnsiTheme="majorEastAsia" w:eastAsiaTheme="majorEastAsia"/>
                <w:color w:val="auto"/>
                <w:sz w:val="24"/>
                <w:vertAlign w:val="subscript"/>
              </w:rPr>
              <w:t>Cr</w:t>
            </w:r>
            <w:r>
              <w:rPr>
                <w:rFonts w:asciiTheme="majorEastAsia" w:hAnsiTheme="majorEastAsia" w:eastAsiaTheme="majorEastAsia"/>
                <w:color w:val="auto"/>
                <w:sz w:val="24"/>
              </w:rPr>
              <w:t>比值的不确定性，使得回流量准确控制变得困难。</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MUCT（Modified University of Cape Town Process）活性污泥法，是对UCT工艺的进一步改进。其改进的要点是：进一步对厌氧段、缺氧段的设置方式、污泥回流方式进行了优化，同时提高了运转的灵活性，可以使生物除磷脱氮工艺满足不同水质、不同季节的需要。与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/O法相比，UCT工艺不同之处在于污泥先回流至缺氧池，而不是厌氧池，再将缺氧池部分混合液回流至厌氧池，从而减少了回流污泥中硝酸盐对厌氧放磷的影响。MUCT 工艺的缺点在于增加了一级污泥回流，使系统更为复杂，能耗更高。同时该工艺也未能很好解决系统反应物的稀释问题。</w:t>
            </w:r>
          </w:p>
          <w:p>
            <w:pPr>
              <w:adjustRightInd w:val="0"/>
              <w:snapToGrid w:val="0"/>
              <w:spacing w:line="360" w:lineRule="auto"/>
              <w:ind w:firstLine="420" w:firstLineChars="200"/>
              <w:rPr>
                <w:rFonts w:asciiTheme="majorEastAsia" w:hAnsiTheme="majorEastAsia" w:eastAsiaTheme="majorEastAsia"/>
                <w:color w:val="auto"/>
                <w:sz w:val="24"/>
              </w:rPr>
            </w:pPr>
            <w:r>
              <w:rPr>
                <w:rFonts w:asciiTheme="majorEastAsia" w:hAnsiTheme="majorEastAsia" w:eastAsiaTheme="majorEastAsia"/>
                <w:color w:val="auto"/>
              </w:rPr>
              <w:drawing>
                <wp:inline distT="0" distB="0" distL="0" distR="0">
                  <wp:extent cx="3859530" cy="11449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3858287" cy="1144892"/>
                          </a:xfrm>
                          <a:prstGeom prst="rect">
                            <a:avLst/>
                          </a:prstGeom>
                        </pic:spPr>
                      </pic:pic>
                    </a:graphicData>
                  </a:graphic>
                </wp:inline>
              </w:drawing>
            </w:r>
          </w:p>
          <w:p>
            <w:pPr>
              <w:adjustRightInd w:val="0"/>
              <w:snapToGrid w:val="0"/>
              <w:spacing w:line="360" w:lineRule="auto"/>
              <w:ind w:firstLine="480" w:firstLineChars="200"/>
              <w:jc w:val="center"/>
              <w:rPr>
                <w:rFonts w:asciiTheme="majorEastAsia" w:hAnsiTheme="majorEastAsia" w:eastAsiaTheme="majorEastAsia"/>
                <w:color w:val="auto"/>
                <w:sz w:val="24"/>
              </w:rPr>
            </w:pPr>
            <w:r>
              <w:rPr>
                <w:rFonts w:asciiTheme="majorEastAsia" w:hAnsiTheme="majorEastAsia" w:eastAsiaTheme="majorEastAsia"/>
                <w:color w:val="auto"/>
                <w:sz w:val="24"/>
              </w:rPr>
              <w:t>图10MUCT 工艺示意图</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9.2.2.2.传统MBR 法</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MBR法近年来也较为广泛的应用于污水处理当中。MBR（膜生物反应器）是把生物处理与膜分离相结合的一种组合工艺，用高效膜分离技术代替传统生物处理中的二沉池，是高效膜分离技术与活性污泥相结合的新型水处理技术。</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膜生物反应器主要由池体、膜组件、鼓风曝气系统、泵及管道阀门仪表等组成，污水中的有机物经过生物反应器内微生物的降解作用，使水质得到净化，而膜的作用主要是将活性污泥与大分子有机物及细菌等截留于反应器内，使反应器内保持有较高的污泥浓度，加速生化反应的进行。借助MBR膜高效的截留作用，实现水力停留时间与污泥停留时间的彻底分离，消除了传统活性污泥工艺的污泥膨胀问题，使出水水质达到回用水水质要求。</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MBR法具有污染物去除效率高、处理出水水质好（可去除细菌、病毒）、可直接回用、污泥产量低、易于实现自动控制、操作管理方便等优点，具有广阔的应用前景。</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典型MBR工艺流程如下图所示：</w:t>
            </w:r>
          </w:p>
          <w:p>
            <w:pPr>
              <w:adjustRightInd w:val="0"/>
              <w:snapToGrid w:val="0"/>
              <w:spacing w:line="360" w:lineRule="auto"/>
              <w:ind w:firstLine="420" w:firstLineChars="200"/>
              <w:rPr>
                <w:rFonts w:asciiTheme="majorEastAsia" w:hAnsiTheme="majorEastAsia" w:eastAsiaTheme="majorEastAsia"/>
                <w:color w:val="auto"/>
                <w:sz w:val="24"/>
              </w:rPr>
            </w:pPr>
            <w:r>
              <w:rPr>
                <w:rFonts w:asciiTheme="majorEastAsia" w:hAnsiTheme="majorEastAsia" w:eastAsiaTheme="majorEastAsia"/>
                <w:color w:val="auto"/>
              </w:rPr>
              <w:drawing>
                <wp:inline distT="0" distB="0" distL="0" distR="0">
                  <wp:extent cx="5486400" cy="26333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486400" cy="2633345"/>
                          </a:xfrm>
                          <a:prstGeom prst="rect">
                            <a:avLst/>
                          </a:prstGeom>
                        </pic:spPr>
                      </pic:pic>
                    </a:graphicData>
                  </a:graphic>
                </wp:inline>
              </w:drawing>
            </w:r>
          </w:p>
          <w:p>
            <w:pPr>
              <w:adjustRightInd w:val="0"/>
              <w:snapToGrid w:val="0"/>
              <w:spacing w:line="360" w:lineRule="auto"/>
              <w:ind w:firstLine="480" w:firstLineChars="200"/>
              <w:jc w:val="center"/>
              <w:rPr>
                <w:rFonts w:asciiTheme="majorEastAsia" w:hAnsiTheme="majorEastAsia" w:eastAsiaTheme="majorEastAsia"/>
                <w:color w:val="auto"/>
                <w:sz w:val="24"/>
              </w:rPr>
            </w:pPr>
            <w:r>
              <w:rPr>
                <w:rFonts w:asciiTheme="majorEastAsia" w:hAnsiTheme="majorEastAsia" w:eastAsiaTheme="majorEastAsia"/>
                <w:color w:val="auto"/>
                <w:sz w:val="24"/>
              </w:rPr>
              <w:t>图11传统 MBR  工艺示意图</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9.2.2.3. 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/O+MBR工艺</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1）工艺简述</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常规好氧MBR工艺能耗较大，运行费用较高，在工程应用上受到了一定程度的制约。A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/O+MBR 工艺采用一体化、集成式设计理念，模块化设计，灵活组合，针对不同性质的有机污水，达到低能耗，高效率</w:t>
            </w:r>
            <w:r>
              <w:rPr>
                <w:rFonts w:hint="eastAsia" w:asciiTheme="majorEastAsia" w:hAnsiTheme="majorEastAsia" w:eastAsiaTheme="majorEastAsia"/>
                <w:color w:val="auto"/>
                <w:sz w:val="24"/>
                <w:lang w:eastAsia="zh-CN"/>
              </w:rPr>
              <w:t>的</w:t>
            </w:r>
            <w:r>
              <w:rPr>
                <w:rFonts w:asciiTheme="majorEastAsia" w:hAnsiTheme="majorEastAsia" w:eastAsiaTheme="majorEastAsia"/>
                <w:color w:val="auto"/>
                <w:sz w:val="24"/>
              </w:rPr>
              <w:t>处理。系统设计污泥负荷为 0.05-0.15kgBOD 5 /(kgMLSS.d)，DO 值厌氧为 DO&lt;0.2mg/l，缺氧为0.2&lt;DO&lt;0.5，好氧为DO&gt;2mg/l；污泥浓度（MLSS）为6000-10000mg/L；污水处理系统总体水力停留时间为 14-18h。A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/O+MBR 工艺采用的膜元件为优质国产MBR膜组件。</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/O+MBR工艺设备内附有反洗泵、产水泵、污泥回流泵、排泥泵、鼓风机等相关设备，具体参数由一体化设备厂家配备。</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2）工作原理</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MBR工艺设备内活性污泥以兼性厌氧菌为主，多种生物菌并存，有机物的降解主要是通过形成较高浓度的污泥，在多种微生物协同作用下完成的。大分子有机污染物是被逐步降解为小分子有机物，最终氧化分解为二氧化碳和水等稳定的无机物质。由于兼性厌氧菌的生成不需要溶解氧的保证，所以降低了动力消耗。曝气的主要作用是对膜丝进行冲刷、震荡，同时产生的溶解氧正好被用来氧化部分小分子有机物和维持出水的溶解氧值。</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（1）污水污泥同步处理</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EMBR技术在实现污水处理回用的同时，实现了有机污泥的大幅度减量，少量污泥的排放，有效解决了除磷问题，同时基本解决剩余污泥处置难题。</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F/M比是影响污泥增值的重要因素，低F/M将使得生化系统中污泥处于高度内源呼吸相，进入系统有机基质最终被内源呼吸而代谢成为二氧化碳、水及少量无机盐。</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新增有机物在多种生物菌的作用下一部分被分解为小分子有机物，继而被氧化分解为CO</w:t>
            </w:r>
            <w:r>
              <w:rPr>
                <w:rFonts w:asciiTheme="majorEastAsia" w:hAnsiTheme="majorEastAsia" w:eastAsiaTheme="majorEastAsia"/>
                <w:color w:val="auto"/>
                <w:sz w:val="24"/>
                <w:vertAlign w:val="subscript"/>
              </w:rPr>
              <w:t>2</w:t>
            </w:r>
            <w:r>
              <w:rPr>
                <w:rFonts w:asciiTheme="majorEastAsia" w:hAnsiTheme="majorEastAsia" w:eastAsiaTheme="majorEastAsia"/>
                <w:color w:val="auto"/>
                <w:sz w:val="24"/>
              </w:rPr>
              <w:t>、H</w:t>
            </w:r>
            <w:r>
              <w:rPr>
                <w:rFonts w:asciiTheme="majorEastAsia" w:hAnsiTheme="majorEastAsia" w:eastAsiaTheme="majorEastAsia"/>
                <w:color w:val="auto"/>
                <w:sz w:val="24"/>
                <w:vertAlign w:val="subscript"/>
              </w:rPr>
              <w:t>2</w:t>
            </w:r>
            <w:r>
              <w:rPr>
                <w:rFonts w:asciiTheme="majorEastAsia" w:hAnsiTheme="majorEastAsia" w:eastAsiaTheme="majorEastAsia"/>
                <w:color w:val="auto"/>
                <w:sz w:val="24"/>
              </w:rPr>
              <w:t>O等无机物；另一部分被合成为细胞。在低污泥负荷条件下，该细胞作为营养物在兼性厌氧菌作用下一部分又被分解为小分子有机物，继而又被氧化分解为CO</w:t>
            </w:r>
            <w:r>
              <w:rPr>
                <w:rFonts w:asciiTheme="majorEastAsia" w:hAnsiTheme="majorEastAsia" w:eastAsiaTheme="majorEastAsia"/>
                <w:color w:val="auto"/>
                <w:sz w:val="24"/>
                <w:vertAlign w:val="subscript"/>
              </w:rPr>
              <w:t>2</w:t>
            </w:r>
            <w:r>
              <w:rPr>
                <w:rFonts w:asciiTheme="majorEastAsia" w:hAnsiTheme="majorEastAsia" w:eastAsiaTheme="majorEastAsia"/>
                <w:color w:val="auto"/>
                <w:sz w:val="24"/>
              </w:rPr>
              <w:t>、H</w:t>
            </w:r>
            <w:r>
              <w:rPr>
                <w:rFonts w:asciiTheme="majorEastAsia" w:hAnsiTheme="majorEastAsia" w:eastAsiaTheme="majorEastAsia"/>
                <w:color w:val="auto"/>
                <w:sz w:val="24"/>
                <w:vertAlign w:val="subscript"/>
              </w:rPr>
              <w:t>2</w:t>
            </w:r>
            <w:r>
              <w:rPr>
                <w:rFonts w:asciiTheme="majorEastAsia" w:hAnsiTheme="majorEastAsia" w:eastAsiaTheme="majorEastAsia"/>
                <w:color w:val="auto"/>
                <w:sz w:val="24"/>
              </w:rPr>
              <w:t>O等无机物；另一部分又被合成为新细胞。依此类推，在低污泥负荷条件下，该新细胞又作为营养物在兼性厌氧菌的作用下继续作分解与合成的代谢，直至细胞最后全部代谢为CO</w:t>
            </w:r>
            <w:r>
              <w:rPr>
                <w:rFonts w:asciiTheme="majorEastAsia" w:hAnsiTheme="majorEastAsia" w:eastAsiaTheme="majorEastAsia"/>
                <w:color w:val="auto"/>
                <w:sz w:val="24"/>
                <w:vertAlign w:val="subscript"/>
              </w:rPr>
              <w:t>2</w:t>
            </w:r>
            <w:r>
              <w:rPr>
                <w:rFonts w:asciiTheme="majorEastAsia" w:hAnsiTheme="majorEastAsia" w:eastAsiaTheme="majorEastAsia"/>
                <w:color w:val="auto"/>
                <w:sz w:val="24"/>
              </w:rPr>
              <w:t>、H</w:t>
            </w:r>
            <w:r>
              <w:rPr>
                <w:rFonts w:asciiTheme="majorEastAsia" w:hAnsiTheme="majorEastAsia" w:eastAsiaTheme="majorEastAsia"/>
                <w:color w:val="auto"/>
                <w:sz w:val="24"/>
                <w:vertAlign w:val="subscript"/>
              </w:rPr>
              <w:t>2</w:t>
            </w:r>
            <w:r>
              <w:rPr>
                <w:rFonts w:asciiTheme="majorEastAsia" w:hAnsiTheme="majorEastAsia" w:eastAsiaTheme="majorEastAsia"/>
                <w:color w:val="auto"/>
                <w:sz w:val="24"/>
              </w:rPr>
              <w:t>O等无机物。从整个分解、合成代谢的过程来看，有机物已被彻底代谢，系统内有机污泥没有富集增长。</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当系统内新增细胞等于代谢速率时，有机污泥零增长。通过长期实验，监测出当污泥自身消化与增殖达到动态平衡时，系统内的污泥负荷基本维持在0.072kg（COD）/kg（MLSS·d）。进水有机污染物浓度高，新增细胞多，代谢速率高，MLVSS 升高；反之，进水有机污染物浓度低，新增细胞少，代谢速率低，MLVSS 降低。由于膜生物反应器能够将细菌截留下来，污泥浓度随进水浓度可以在比较宽的范围内波动，确保系统能在 0.072kg（COD）/kg（MLSS·d）这个污泥负荷下运行，实现有机剩余污泥近零排放。且通过不排泥方式的运行，可以维持较长污泥龄，抑制了丝状菌的增殖，解决了不排泥情况下的污泥膨胀问题。</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（2）生物脱氮除磷除磷技术原理</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在厌氧池中，兼性厌氧菌将污水中的易降解有机物转化成 VFA（挥发性脂肪酸），回流污泥中的聚磷菌将体内的聚磷分解，所释放的能量一部分可供好氧的聚磷菌在厌氧环境下维持生存，另一部分供聚磷菌主动吸收VFA，并在体内储存PHB（聚-β-羟基丁酸）。在缺氧区，反硝化细菌利用混合液回流带入的硝酸盐及进水中的有机物进行反硝化脱氮，接着进入好氧区，在好氧区，有机物浓度相当低，有利于自养硝化菌生长繁殖，进行硝化反应，聚磷菌除了吸收利用污水中残留的易降解BOD</w:t>
            </w:r>
            <w:r>
              <w:rPr>
                <w:rFonts w:asciiTheme="majorEastAsia" w:hAnsiTheme="majorEastAsia" w:eastAsiaTheme="majorEastAsia"/>
                <w:color w:val="auto"/>
                <w:sz w:val="24"/>
                <w:vertAlign w:val="subscript"/>
              </w:rPr>
              <w:t>5</w:t>
            </w:r>
            <w:r>
              <w:rPr>
                <w:rFonts w:asciiTheme="majorEastAsia" w:hAnsiTheme="majorEastAsia" w:eastAsiaTheme="majorEastAsia"/>
                <w:color w:val="auto"/>
                <w:sz w:val="24"/>
              </w:rPr>
              <w:t>外，主要分解体内储存的PHB产生能量供自身生长繁殖，并主动吸收环境中的溶解磷，此为吸磷，以聚磷的形式在体内储存。最后，混合液进入沉淀池，进行泥水分离，上清液作为处理水排放，沉淀污泥的一部分回流厌氧池，另一部分作为剩余污泥排放。磷以聚合磷酸盐的形式储藏在菌体内而形成高磷污泥，通过排出剩余污泥统而除磷。</w:t>
            </w:r>
          </w:p>
          <w:p>
            <w:pPr>
              <w:adjustRightInd w:val="0"/>
              <w:snapToGrid w:val="0"/>
              <w:spacing w:line="360" w:lineRule="auto"/>
              <w:ind w:firstLine="480" w:firstLineChars="200"/>
              <w:jc w:val="left"/>
              <w:rPr>
                <w:rFonts w:asciiTheme="majorEastAsia" w:hAnsiTheme="majorEastAsia" w:eastAsiaTheme="majorEastAsia"/>
                <w:color w:val="auto"/>
                <w:sz w:val="24"/>
              </w:rPr>
            </w:pPr>
            <w:r>
              <w:rPr>
                <w:rFonts w:asciiTheme="majorEastAsia" w:hAnsiTheme="majorEastAsia" w:eastAsiaTheme="majorEastAsia"/>
                <w:color w:val="auto"/>
                <w:sz w:val="24"/>
              </w:rPr>
              <w:t>9.2.3方案比选</w:t>
            </w:r>
          </w:p>
          <w:p>
            <w:pPr>
              <w:adjustRightInd w:val="0"/>
              <w:snapToGrid w:val="0"/>
              <w:spacing w:line="360" w:lineRule="auto"/>
              <w:ind w:firstLine="470" w:firstLineChars="196"/>
              <w:rPr>
                <w:rFonts w:asciiTheme="majorEastAsia" w:hAnsiTheme="majorEastAsia" w:eastAsiaTheme="majorEastAsia"/>
                <w:color w:val="auto"/>
                <w:sz w:val="24"/>
              </w:rPr>
            </w:pPr>
            <w:r>
              <w:rPr>
                <w:rFonts w:asciiTheme="majorEastAsia" w:hAnsiTheme="majorEastAsia" w:eastAsiaTheme="majorEastAsia"/>
                <w:color w:val="auto"/>
                <w:sz w:val="24"/>
              </w:rPr>
              <w:t>根据本项目可行性研究报告，本项目分别对A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/O工艺、传统MBR工艺、新型A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/O+MBR 工艺三个方案进行技术经济比较结果见表19。</w:t>
            </w:r>
          </w:p>
          <w:p>
            <w:pPr>
              <w:adjustRightInd w:val="0"/>
              <w:snapToGrid w:val="0"/>
              <w:spacing w:line="360" w:lineRule="auto"/>
              <w:jc w:val="center"/>
              <w:rPr>
                <w:rFonts w:asciiTheme="majorEastAsia" w:hAnsiTheme="majorEastAsia" w:eastAsiaTheme="majorEastAsia"/>
                <w:b/>
                <w:color w:val="auto"/>
                <w:sz w:val="24"/>
              </w:rPr>
            </w:pPr>
            <w:r>
              <w:rPr>
                <w:rFonts w:asciiTheme="majorEastAsia" w:hAnsiTheme="majorEastAsia" w:eastAsiaTheme="majorEastAsia"/>
                <w:b/>
                <w:color w:val="auto"/>
                <w:sz w:val="24"/>
              </w:rPr>
              <w:t>表19三种污水处理工艺综合比较表</w:t>
            </w:r>
          </w:p>
          <w:tbl>
            <w:tblPr>
              <w:tblStyle w:val="39"/>
              <w:tblW w:w="8840"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65"/>
              <w:gridCol w:w="1726"/>
              <w:gridCol w:w="1983"/>
              <w:gridCol w:w="1872"/>
              <w:gridCol w:w="2094"/>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2891" w:type="dxa"/>
                  <w:gridSpan w:val="2"/>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项目</w:t>
                  </w:r>
                </w:p>
              </w:tc>
              <w:tc>
                <w:tcPr>
                  <w:tcW w:w="198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A</w:t>
                  </w:r>
                  <w:r>
                    <w:rPr>
                      <w:rFonts w:asciiTheme="majorEastAsia" w:hAnsiTheme="majorEastAsia" w:eastAsiaTheme="majorEastAsia"/>
                      <w:color w:val="auto"/>
                      <w:szCs w:val="21"/>
                      <w:vertAlign w:val="superscript"/>
                    </w:rPr>
                    <w:t>2</w:t>
                  </w:r>
                  <w:r>
                    <w:rPr>
                      <w:rFonts w:asciiTheme="majorEastAsia" w:hAnsiTheme="majorEastAsia" w:eastAsiaTheme="majorEastAsia"/>
                      <w:color w:val="auto"/>
                      <w:szCs w:val="21"/>
                    </w:rPr>
                    <w:t>/O工艺</w:t>
                  </w:r>
                </w:p>
              </w:tc>
              <w:tc>
                <w:tcPr>
                  <w:tcW w:w="187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传统 MBR  工艺</w:t>
                  </w:r>
                </w:p>
              </w:tc>
              <w:tc>
                <w:tcPr>
                  <w:tcW w:w="2094"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A</w:t>
                  </w:r>
                  <w:r>
                    <w:rPr>
                      <w:rFonts w:asciiTheme="majorEastAsia" w:hAnsiTheme="majorEastAsia" w:eastAsiaTheme="majorEastAsia"/>
                      <w:color w:val="auto"/>
                      <w:szCs w:val="21"/>
                      <w:vertAlign w:val="superscript"/>
                    </w:rPr>
                    <w:t>2</w:t>
                  </w:r>
                  <w:r>
                    <w:rPr>
                      <w:rFonts w:asciiTheme="majorEastAsia" w:hAnsiTheme="majorEastAsia" w:eastAsiaTheme="majorEastAsia"/>
                      <w:color w:val="auto"/>
                      <w:szCs w:val="21"/>
                    </w:rPr>
                    <w:t>/O+MBR</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restart"/>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工艺效果</w:t>
                  </w:r>
                </w:p>
              </w:tc>
              <w:tc>
                <w:tcPr>
                  <w:tcW w:w="172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进水水质</w:t>
                  </w:r>
                </w:p>
              </w:tc>
              <w:tc>
                <w:tcPr>
                  <w:tcW w:w="198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COD 200~300mg/</w:t>
                  </w:r>
                </w:p>
              </w:tc>
              <w:tc>
                <w:tcPr>
                  <w:tcW w:w="187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COD ≤500mg/L</w:t>
                  </w:r>
                </w:p>
              </w:tc>
              <w:tc>
                <w:tcPr>
                  <w:tcW w:w="2094"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COD≤500mg/L</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asciiTheme="majorEastAsia" w:hAnsiTheme="majorEastAsia" w:eastAsiaTheme="majorEastAsia"/>
                      <w:color w:val="auto"/>
                      <w:szCs w:val="21"/>
                    </w:rPr>
                  </w:pPr>
                </w:p>
              </w:tc>
              <w:tc>
                <w:tcPr>
                  <w:tcW w:w="172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出水水质</w:t>
                  </w:r>
                </w:p>
              </w:tc>
              <w:tc>
                <w:tcPr>
                  <w:tcW w:w="198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达标</w:t>
                  </w:r>
                </w:p>
              </w:tc>
              <w:tc>
                <w:tcPr>
                  <w:tcW w:w="187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达标</w:t>
                  </w:r>
                </w:p>
              </w:tc>
              <w:tc>
                <w:tcPr>
                  <w:tcW w:w="2094"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达标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asciiTheme="majorEastAsia" w:hAnsiTheme="majorEastAsia" w:eastAsiaTheme="majorEastAsia"/>
                      <w:color w:val="auto"/>
                      <w:szCs w:val="21"/>
                    </w:rPr>
                  </w:pPr>
                </w:p>
              </w:tc>
              <w:tc>
                <w:tcPr>
                  <w:tcW w:w="172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冲击负荷影响</w:t>
                  </w:r>
                </w:p>
              </w:tc>
              <w:tc>
                <w:tcPr>
                  <w:tcW w:w="198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承受冲击负荷能力一般</w:t>
                  </w:r>
                </w:p>
              </w:tc>
              <w:tc>
                <w:tcPr>
                  <w:tcW w:w="187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承受冲击负荷能力较强</w:t>
                  </w:r>
                </w:p>
              </w:tc>
              <w:tc>
                <w:tcPr>
                  <w:tcW w:w="2094"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承受冲击负荷能力较强</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asciiTheme="majorEastAsia" w:hAnsiTheme="majorEastAsia" w:eastAsiaTheme="majorEastAsia"/>
                      <w:color w:val="auto"/>
                      <w:szCs w:val="21"/>
                    </w:rPr>
                  </w:pPr>
                </w:p>
              </w:tc>
              <w:tc>
                <w:tcPr>
                  <w:tcW w:w="172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温度变化影响</w:t>
                  </w:r>
                </w:p>
              </w:tc>
              <w:tc>
                <w:tcPr>
                  <w:tcW w:w="198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较大</w:t>
                  </w:r>
                </w:p>
              </w:tc>
              <w:tc>
                <w:tcPr>
                  <w:tcW w:w="187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较小</w:t>
                  </w:r>
                </w:p>
              </w:tc>
              <w:tc>
                <w:tcPr>
                  <w:tcW w:w="2094"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较小</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restart"/>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运行管理</w:t>
                  </w:r>
                </w:p>
              </w:tc>
              <w:tc>
                <w:tcPr>
                  <w:tcW w:w="172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工艺复杂程度</w:t>
                  </w:r>
                </w:p>
              </w:tc>
              <w:tc>
                <w:tcPr>
                  <w:tcW w:w="198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复杂</w:t>
                  </w:r>
                </w:p>
              </w:tc>
              <w:tc>
                <w:tcPr>
                  <w:tcW w:w="187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比较复杂</w:t>
                  </w:r>
                </w:p>
              </w:tc>
              <w:tc>
                <w:tcPr>
                  <w:tcW w:w="2094"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相对简单</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asciiTheme="majorEastAsia" w:hAnsiTheme="majorEastAsia" w:eastAsiaTheme="majorEastAsia"/>
                      <w:color w:val="auto"/>
                      <w:szCs w:val="21"/>
                    </w:rPr>
                  </w:pPr>
                </w:p>
              </w:tc>
              <w:tc>
                <w:tcPr>
                  <w:tcW w:w="172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自动化程度</w:t>
                  </w:r>
                </w:p>
              </w:tc>
              <w:tc>
                <w:tcPr>
                  <w:tcW w:w="198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连续过水，可实现供氧量和回流比的自动调节</w:t>
                  </w:r>
                </w:p>
              </w:tc>
              <w:tc>
                <w:tcPr>
                  <w:tcW w:w="187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自动化程度较高</w:t>
                  </w:r>
                </w:p>
              </w:tc>
              <w:tc>
                <w:tcPr>
                  <w:tcW w:w="2094"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自动化程度高</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asciiTheme="majorEastAsia" w:hAnsiTheme="majorEastAsia" w:eastAsiaTheme="majorEastAsia"/>
                      <w:color w:val="auto"/>
                      <w:szCs w:val="21"/>
                    </w:rPr>
                  </w:pPr>
                </w:p>
              </w:tc>
              <w:tc>
                <w:tcPr>
                  <w:tcW w:w="172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日常维护</w:t>
                  </w:r>
                </w:p>
              </w:tc>
              <w:tc>
                <w:tcPr>
                  <w:tcW w:w="198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厂区大，设备分散维护巡视量大</w:t>
                  </w:r>
                </w:p>
              </w:tc>
              <w:tc>
                <w:tcPr>
                  <w:tcW w:w="187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设备较多，维修量较大</w:t>
                  </w:r>
                </w:p>
              </w:tc>
              <w:tc>
                <w:tcPr>
                  <w:tcW w:w="2094"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设备简单，维修容易，能做到无人值守</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asciiTheme="majorEastAsia" w:hAnsiTheme="majorEastAsia" w:eastAsiaTheme="majorEastAsia"/>
                      <w:color w:val="auto"/>
                      <w:szCs w:val="21"/>
                    </w:rPr>
                  </w:pPr>
                </w:p>
              </w:tc>
              <w:tc>
                <w:tcPr>
                  <w:tcW w:w="172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大修影响</w:t>
                  </w:r>
                </w:p>
              </w:tc>
              <w:tc>
                <w:tcPr>
                  <w:tcW w:w="198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周期长，需重新驯化培养生化</w:t>
                  </w:r>
                </w:p>
              </w:tc>
              <w:tc>
                <w:tcPr>
                  <w:tcW w:w="187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修理时间短、影响较小</w:t>
                  </w:r>
                </w:p>
              </w:tc>
              <w:tc>
                <w:tcPr>
                  <w:tcW w:w="2094"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修理时间短、影响较小</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未来扩建</w:t>
                  </w:r>
                </w:p>
              </w:tc>
              <w:tc>
                <w:tcPr>
                  <w:tcW w:w="172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增加处理量</w:t>
                  </w:r>
                </w:p>
              </w:tc>
              <w:tc>
                <w:tcPr>
                  <w:tcW w:w="198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非模块化结构，构筑物均需增加，所需占地和土建工程量大，工期长</w:t>
                  </w:r>
                </w:p>
              </w:tc>
              <w:tc>
                <w:tcPr>
                  <w:tcW w:w="187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全部模块化结构，扩建非常容易，所需占地和土建工程量相对较小，工期相对较短</w:t>
                  </w:r>
                </w:p>
              </w:tc>
              <w:tc>
                <w:tcPr>
                  <w:tcW w:w="2094"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全部模块化结构，扩建非常容易，所需占地和土建工程量小，工期短</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restart"/>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投资费用</w:t>
                  </w:r>
                </w:p>
              </w:tc>
              <w:tc>
                <w:tcPr>
                  <w:tcW w:w="172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土建工程</w:t>
                  </w:r>
                </w:p>
              </w:tc>
              <w:tc>
                <w:tcPr>
                  <w:tcW w:w="198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投资较大</w:t>
                  </w:r>
                </w:p>
              </w:tc>
              <w:tc>
                <w:tcPr>
                  <w:tcW w:w="187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投资相对较小</w:t>
                  </w:r>
                </w:p>
              </w:tc>
              <w:tc>
                <w:tcPr>
                  <w:tcW w:w="2094"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投资较小</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asciiTheme="majorEastAsia" w:hAnsiTheme="majorEastAsia" w:eastAsiaTheme="majorEastAsia"/>
                      <w:color w:val="auto"/>
                      <w:szCs w:val="21"/>
                    </w:rPr>
                  </w:pPr>
                </w:p>
              </w:tc>
              <w:tc>
                <w:tcPr>
                  <w:tcW w:w="172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设备及仪表</w:t>
                  </w:r>
                </w:p>
              </w:tc>
              <w:tc>
                <w:tcPr>
                  <w:tcW w:w="198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投资一般</w:t>
                  </w:r>
                </w:p>
              </w:tc>
              <w:tc>
                <w:tcPr>
                  <w:tcW w:w="187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投资相对较小</w:t>
                  </w:r>
                </w:p>
              </w:tc>
              <w:tc>
                <w:tcPr>
                  <w:tcW w:w="2094"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投资较小</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asciiTheme="majorEastAsia" w:hAnsiTheme="majorEastAsia" w:eastAsiaTheme="majorEastAsia"/>
                      <w:color w:val="auto"/>
                      <w:szCs w:val="21"/>
                    </w:rPr>
                  </w:pPr>
                </w:p>
              </w:tc>
              <w:tc>
                <w:tcPr>
                  <w:tcW w:w="172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占地</w:t>
                  </w:r>
                </w:p>
              </w:tc>
              <w:tc>
                <w:tcPr>
                  <w:tcW w:w="198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最大</w:t>
                  </w:r>
                </w:p>
              </w:tc>
              <w:tc>
                <w:tcPr>
                  <w:tcW w:w="187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相对较小</w:t>
                  </w:r>
                </w:p>
              </w:tc>
              <w:tc>
                <w:tcPr>
                  <w:tcW w:w="2094"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小</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asciiTheme="majorEastAsia" w:hAnsiTheme="majorEastAsia" w:eastAsiaTheme="majorEastAsia"/>
                      <w:color w:val="auto"/>
                      <w:szCs w:val="21"/>
                    </w:rPr>
                  </w:pPr>
                </w:p>
              </w:tc>
              <w:tc>
                <w:tcPr>
                  <w:tcW w:w="172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总投资</w:t>
                  </w:r>
                </w:p>
              </w:tc>
              <w:tc>
                <w:tcPr>
                  <w:tcW w:w="198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最大</w:t>
                  </w:r>
                </w:p>
              </w:tc>
              <w:tc>
                <w:tcPr>
                  <w:tcW w:w="187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相对较小</w:t>
                  </w:r>
                </w:p>
              </w:tc>
              <w:tc>
                <w:tcPr>
                  <w:tcW w:w="2094"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较小</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restart"/>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运行费用</w:t>
                  </w:r>
                </w:p>
              </w:tc>
              <w:tc>
                <w:tcPr>
                  <w:tcW w:w="172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污泥回流</w:t>
                  </w:r>
                </w:p>
              </w:tc>
              <w:tc>
                <w:tcPr>
                  <w:tcW w:w="198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100%～200%</w:t>
                  </w:r>
                </w:p>
              </w:tc>
              <w:tc>
                <w:tcPr>
                  <w:tcW w:w="187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50%~100%</w:t>
                  </w:r>
                </w:p>
              </w:tc>
              <w:tc>
                <w:tcPr>
                  <w:tcW w:w="2094"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无</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asciiTheme="majorEastAsia" w:hAnsiTheme="majorEastAsia" w:eastAsiaTheme="majorEastAsia"/>
                      <w:color w:val="auto"/>
                      <w:szCs w:val="21"/>
                    </w:rPr>
                  </w:pPr>
                </w:p>
              </w:tc>
              <w:tc>
                <w:tcPr>
                  <w:tcW w:w="172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曝气量</w:t>
                  </w:r>
                </w:p>
              </w:tc>
              <w:tc>
                <w:tcPr>
                  <w:tcW w:w="198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大</w:t>
                  </w:r>
                </w:p>
              </w:tc>
              <w:tc>
                <w:tcPr>
                  <w:tcW w:w="187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较小</w:t>
                  </w:r>
                </w:p>
              </w:tc>
              <w:tc>
                <w:tcPr>
                  <w:tcW w:w="2094"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较小</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asciiTheme="majorEastAsia" w:hAnsiTheme="majorEastAsia" w:eastAsiaTheme="majorEastAsia"/>
                      <w:color w:val="auto"/>
                      <w:szCs w:val="21"/>
                    </w:rPr>
                  </w:pPr>
                </w:p>
              </w:tc>
              <w:tc>
                <w:tcPr>
                  <w:tcW w:w="172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消毒</w:t>
                  </w:r>
                </w:p>
              </w:tc>
              <w:tc>
                <w:tcPr>
                  <w:tcW w:w="198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二氧化氯消毒</w:t>
                  </w:r>
                </w:p>
              </w:tc>
              <w:tc>
                <w:tcPr>
                  <w:tcW w:w="187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二氧化氯消毒</w:t>
                  </w:r>
                </w:p>
              </w:tc>
              <w:tc>
                <w:tcPr>
                  <w:tcW w:w="2094"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不消毒</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asciiTheme="majorEastAsia" w:hAnsiTheme="majorEastAsia" w:eastAsiaTheme="majorEastAsia"/>
                      <w:color w:val="auto"/>
                      <w:szCs w:val="21"/>
                    </w:rPr>
                  </w:pPr>
                </w:p>
              </w:tc>
              <w:tc>
                <w:tcPr>
                  <w:tcW w:w="172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总运行成本</w:t>
                  </w:r>
                </w:p>
              </w:tc>
              <w:tc>
                <w:tcPr>
                  <w:tcW w:w="198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高</w:t>
                  </w:r>
                </w:p>
              </w:tc>
              <w:tc>
                <w:tcPr>
                  <w:tcW w:w="187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较低</w:t>
                  </w:r>
                </w:p>
              </w:tc>
              <w:tc>
                <w:tcPr>
                  <w:tcW w:w="2094"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低</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restart"/>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环境影响</w:t>
                  </w:r>
                </w:p>
              </w:tc>
              <w:tc>
                <w:tcPr>
                  <w:tcW w:w="172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臭气问题</w:t>
                  </w:r>
                </w:p>
              </w:tc>
              <w:tc>
                <w:tcPr>
                  <w:tcW w:w="198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敞开式，臭味对周围环境影响很大</w:t>
                  </w:r>
                </w:p>
              </w:tc>
              <w:tc>
                <w:tcPr>
                  <w:tcW w:w="187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对周围环境影响较小</w:t>
                  </w:r>
                </w:p>
              </w:tc>
              <w:tc>
                <w:tcPr>
                  <w:tcW w:w="2094"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处理部分几乎无臭气外溢，对周围环境影响小</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asciiTheme="majorEastAsia" w:hAnsiTheme="majorEastAsia" w:eastAsiaTheme="majorEastAsia"/>
                      <w:color w:val="auto"/>
                      <w:szCs w:val="21"/>
                    </w:rPr>
                  </w:pPr>
                </w:p>
              </w:tc>
              <w:tc>
                <w:tcPr>
                  <w:tcW w:w="172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污泥问题</w:t>
                  </w:r>
                </w:p>
              </w:tc>
              <w:tc>
                <w:tcPr>
                  <w:tcW w:w="198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剩余有机污泥较多</w:t>
                  </w:r>
                </w:p>
              </w:tc>
              <w:tc>
                <w:tcPr>
                  <w:tcW w:w="187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剩余有机污泥较多</w:t>
                  </w:r>
                </w:p>
              </w:tc>
              <w:tc>
                <w:tcPr>
                  <w:tcW w:w="2094"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少量剩余有机污泥</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asciiTheme="majorEastAsia" w:hAnsiTheme="majorEastAsia" w:eastAsiaTheme="majorEastAsia"/>
                      <w:color w:val="auto"/>
                      <w:szCs w:val="21"/>
                    </w:rPr>
                  </w:pPr>
                </w:p>
              </w:tc>
              <w:tc>
                <w:tcPr>
                  <w:tcW w:w="172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噪音问题</w:t>
                  </w:r>
                </w:p>
              </w:tc>
              <w:tc>
                <w:tcPr>
                  <w:tcW w:w="198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曝气量大，风机大</w:t>
                  </w:r>
                </w:p>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对周围环境影响很大</w:t>
                  </w:r>
                </w:p>
              </w:tc>
              <w:tc>
                <w:tcPr>
                  <w:tcW w:w="187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设备简单，对周围环境影响较小</w:t>
                  </w:r>
                </w:p>
              </w:tc>
              <w:tc>
                <w:tcPr>
                  <w:tcW w:w="2094"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设备简单，对周围环境影响小</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asciiTheme="majorEastAsia" w:hAnsiTheme="majorEastAsia" w:eastAsiaTheme="majorEastAsia"/>
                      <w:color w:val="auto"/>
                      <w:szCs w:val="21"/>
                    </w:rPr>
                  </w:pPr>
                </w:p>
              </w:tc>
              <w:tc>
                <w:tcPr>
                  <w:tcW w:w="1726"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外观环境</w:t>
                  </w:r>
                </w:p>
              </w:tc>
              <w:tc>
                <w:tcPr>
                  <w:tcW w:w="1983"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占地大，视觉和景观效果不好</w:t>
                  </w:r>
                </w:p>
              </w:tc>
              <w:tc>
                <w:tcPr>
                  <w:tcW w:w="1872"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可作成园林式景观工程</w:t>
                  </w:r>
                </w:p>
              </w:tc>
              <w:tc>
                <w:tcPr>
                  <w:tcW w:w="2094" w:type="dxa"/>
                  <w:vAlign w:val="center"/>
                </w:tcPr>
                <w:p>
                  <w:pPr>
                    <w:adjustRightInd w:val="0"/>
                    <w:snapToGrid w:val="0"/>
                    <w:jc w:val="center"/>
                    <w:rPr>
                      <w:rFonts w:asciiTheme="majorEastAsia" w:hAnsiTheme="majorEastAsia" w:eastAsiaTheme="majorEastAsia"/>
                      <w:color w:val="auto"/>
                      <w:szCs w:val="21"/>
                    </w:rPr>
                  </w:pPr>
                  <w:r>
                    <w:rPr>
                      <w:rFonts w:asciiTheme="majorEastAsia" w:hAnsiTheme="majorEastAsia" w:eastAsiaTheme="majorEastAsia"/>
                      <w:color w:val="auto"/>
                      <w:szCs w:val="21"/>
                    </w:rPr>
                    <w:t>可作成园林式景观工程</w:t>
                  </w:r>
                </w:p>
              </w:tc>
            </w:tr>
          </w:tbl>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通过对比分析，确定本项目采用A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/O+MBR工艺，出水达到</w:t>
            </w:r>
            <w:r>
              <w:rPr>
                <w:rFonts w:asciiTheme="majorEastAsia" w:hAnsiTheme="majorEastAsia" w:eastAsiaTheme="majorEastAsia"/>
                <w:snapToGrid w:val="0"/>
                <w:color w:val="auto"/>
                <w:sz w:val="24"/>
              </w:rPr>
              <w:t>《城镇污水处理厂污染物排放标准》（GB18918-2002）一级A标准</w:t>
            </w:r>
            <w:r>
              <w:rPr>
                <w:rFonts w:asciiTheme="majorEastAsia" w:hAnsiTheme="majorEastAsia" w:eastAsiaTheme="majorEastAsia"/>
                <w:color w:val="auto"/>
                <w:sz w:val="24"/>
              </w:rPr>
              <w:t>。</w:t>
            </w:r>
          </w:p>
          <w:p>
            <w:pPr>
              <w:adjustRightInd w:val="0"/>
              <w:snapToGrid w:val="0"/>
              <w:spacing w:line="360" w:lineRule="auto"/>
              <w:ind w:firstLine="472" w:firstLineChars="196"/>
              <w:rPr>
                <w:rFonts w:asciiTheme="majorEastAsia" w:hAnsiTheme="majorEastAsia" w:eastAsiaTheme="majorEastAsia"/>
                <w:b/>
                <w:color w:val="auto"/>
                <w:sz w:val="24"/>
              </w:rPr>
            </w:pPr>
            <w:r>
              <w:rPr>
                <w:rFonts w:asciiTheme="majorEastAsia" w:hAnsiTheme="majorEastAsia" w:eastAsiaTheme="majorEastAsia"/>
                <w:b/>
                <w:color w:val="auto"/>
                <w:sz w:val="24"/>
              </w:rPr>
              <w:t>10、污水消毒工艺方案</w:t>
            </w:r>
          </w:p>
          <w:p>
            <w:pPr>
              <w:adjustRightInd w:val="0"/>
              <w:snapToGrid w:val="0"/>
              <w:spacing w:line="360" w:lineRule="auto"/>
              <w:ind w:firstLine="480" w:firstLineChars="200"/>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通过对几种常见污水消毒方法的介绍和分析讨论，本工程前端已经有 MBR 膜的截留作用，后续已基本不存在细菌，后期又要考虑本项目尾水再生水回用，而再生水水质要求中余氯是一项必须具备的要求，本工程如果采用氯消毒，其安全性上的造成较大影响；紫外线消毒成本较高，而且微生物有可能复活，影响再生水水体。综合考虑污水消毒工艺的适用性、成熟性、安全性、可靠性等因素，适用于本工程，故</w:t>
            </w:r>
            <w:r>
              <w:rPr>
                <w:rFonts w:asciiTheme="majorEastAsia" w:hAnsiTheme="majorEastAsia" w:eastAsiaTheme="majorEastAsia"/>
                <w:color w:val="auto"/>
                <w:sz w:val="24"/>
              </w:rPr>
              <w:t>拟采用</w:t>
            </w:r>
            <w:r>
              <w:rPr>
                <w:rFonts w:asciiTheme="majorEastAsia" w:hAnsiTheme="majorEastAsia" w:eastAsiaTheme="majorEastAsia"/>
                <w:color w:val="auto"/>
                <w:kern w:val="0"/>
                <w:sz w:val="24"/>
              </w:rPr>
              <w:t>次氯酸钠补充余氯消毒工艺。</w:t>
            </w:r>
          </w:p>
          <w:p>
            <w:pPr>
              <w:adjustRightInd w:val="0"/>
              <w:snapToGrid w:val="0"/>
              <w:spacing w:line="360" w:lineRule="auto"/>
              <w:ind w:firstLine="482" w:firstLineChars="200"/>
              <w:rPr>
                <w:rFonts w:asciiTheme="majorEastAsia" w:hAnsiTheme="majorEastAsia" w:eastAsiaTheme="majorEastAsia"/>
                <w:b/>
                <w:color w:val="auto"/>
                <w:sz w:val="24"/>
              </w:rPr>
            </w:pPr>
            <w:r>
              <w:rPr>
                <w:rFonts w:asciiTheme="majorEastAsia" w:hAnsiTheme="majorEastAsia" w:eastAsiaTheme="majorEastAsia"/>
                <w:b/>
                <w:color w:val="auto"/>
                <w:kern w:val="0"/>
                <w:sz w:val="24"/>
              </w:rPr>
              <w:t>11、</w:t>
            </w:r>
            <w:r>
              <w:rPr>
                <w:rFonts w:asciiTheme="majorEastAsia" w:hAnsiTheme="majorEastAsia" w:eastAsiaTheme="majorEastAsia"/>
                <w:b/>
                <w:color w:val="auto"/>
                <w:sz w:val="24"/>
              </w:rPr>
              <w:t>污泥处理</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由于设备产生的有机污泥量较少，建议由当地环保部门统一协调，将本县各个乡镇污水处理站产生的有机污泥经脱水后集中运输至指定地点，进行统一处理。</w:t>
            </w:r>
          </w:p>
          <w:p>
            <w:pPr>
              <w:adjustRightInd w:val="0"/>
              <w:snapToGrid w:val="0"/>
              <w:spacing w:line="360" w:lineRule="auto"/>
              <w:ind w:firstLine="472" w:firstLineChars="196"/>
              <w:rPr>
                <w:rFonts w:asciiTheme="majorEastAsia" w:hAnsiTheme="majorEastAsia" w:eastAsiaTheme="majorEastAsia"/>
                <w:b/>
                <w:color w:val="auto"/>
                <w:sz w:val="24"/>
              </w:rPr>
            </w:pPr>
            <w:r>
              <w:rPr>
                <w:rFonts w:asciiTheme="majorEastAsia" w:hAnsiTheme="majorEastAsia" w:eastAsiaTheme="majorEastAsia"/>
                <w:b/>
                <w:color w:val="auto"/>
                <w:sz w:val="24"/>
              </w:rPr>
              <w:t>12、本项目主要原辅材料</w:t>
            </w:r>
          </w:p>
          <w:p>
            <w:pPr>
              <w:adjustRightInd w:val="0"/>
              <w:snapToGrid w:val="0"/>
              <w:spacing w:line="360" w:lineRule="auto"/>
              <w:ind w:firstLine="480" w:firstLineChars="200"/>
              <w:rPr>
                <w:rFonts w:asciiTheme="majorEastAsia" w:hAnsiTheme="majorEastAsia" w:eastAsiaTheme="majorEastAsia"/>
                <w:color w:val="auto"/>
                <w:sz w:val="24"/>
              </w:rPr>
            </w:pPr>
            <w:r>
              <w:rPr>
                <w:rFonts w:hint="eastAsia" w:cs="宋体" w:asciiTheme="majorEastAsia" w:hAnsiTheme="majorEastAsia" w:eastAsiaTheme="majorEastAsia"/>
                <w:color w:val="auto"/>
                <w:sz w:val="24"/>
              </w:rPr>
              <w:t>⑴</w:t>
            </w:r>
            <w:r>
              <w:rPr>
                <w:rFonts w:asciiTheme="majorEastAsia" w:hAnsiTheme="majorEastAsia" w:eastAsiaTheme="majorEastAsia"/>
                <w:color w:val="auto"/>
                <w:sz w:val="24"/>
              </w:rPr>
              <w:t>本项目主要原辅材料及用量见表20。</w:t>
            </w:r>
          </w:p>
          <w:p>
            <w:pPr>
              <w:adjustRightInd w:val="0"/>
              <w:snapToGrid w:val="0"/>
              <w:spacing w:line="360" w:lineRule="auto"/>
              <w:ind w:firstLine="482" w:firstLineChars="200"/>
              <w:jc w:val="center"/>
              <w:rPr>
                <w:rFonts w:asciiTheme="majorEastAsia" w:hAnsiTheme="majorEastAsia" w:eastAsiaTheme="majorEastAsia"/>
                <w:b/>
                <w:color w:val="auto"/>
                <w:sz w:val="24"/>
              </w:rPr>
            </w:pPr>
            <w:r>
              <w:rPr>
                <w:rFonts w:asciiTheme="majorEastAsia" w:hAnsiTheme="majorEastAsia" w:eastAsiaTheme="majorEastAsia"/>
                <w:b/>
                <w:color w:val="auto"/>
                <w:sz w:val="24"/>
              </w:rPr>
              <w:t>表20本项目主要原辅材料及用量</w:t>
            </w:r>
          </w:p>
          <w:tbl>
            <w:tblPr>
              <w:tblStyle w:val="38"/>
              <w:tblW w:w="8882"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2693"/>
              <w:gridCol w:w="2126"/>
              <w:gridCol w:w="301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45" w:type="dxa"/>
                  <w:vAlign w:val="center"/>
                </w:tcPr>
                <w:p>
                  <w:pPr>
                    <w:jc w:val="center"/>
                    <w:rPr>
                      <w:rFonts w:asciiTheme="majorEastAsia" w:hAnsiTheme="majorEastAsia" w:eastAsiaTheme="majorEastAsia"/>
                      <w:b/>
                      <w:color w:val="auto"/>
                      <w:szCs w:val="21"/>
                    </w:rPr>
                  </w:pPr>
                  <w:r>
                    <w:rPr>
                      <w:rFonts w:asciiTheme="majorEastAsia" w:hAnsiTheme="majorEastAsia" w:eastAsiaTheme="majorEastAsia"/>
                      <w:b/>
                      <w:color w:val="auto"/>
                      <w:szCs w:val="21"/>
                    </w:rPr>
                    <w:t>序号</w:t>
                  </w:r>
                </w:p>
              </w:tc>
              <w:tc>
                <w:tcPr>
                  <w:tcW w:w="2693" w:type="dxa"/>
                  <w:vAlign w:val="center"/>
                </w:tcPr>
                <w:p>
                  <w:pPr>
                    <w:jc w:val="center"/>
                    <w:rPr>
                      <w:rFonts w:asciiTheme="majorEastAsia" w:hAnsiTheme="majorEastAsia" w:eastAsiaTheme="majorEastAsia"/>
                      <w:b/>
                      <w:color w:val="auto"/>
                      <w:szCs w:val="21"/>
                    </w:rPr>
                  </w:pPr>
                  <w:r>
                    <w:rPr>
                      <w:rFonts w:asciiTheme="majorEastAsia" w:hAnsiTheme="majorEastAsia" w:eastAsiaTheme="majorEastAsia"/>
                      <w:b/>
                      <w:color w:val="auto"/>
                      <w:szCs w:val="21"/>
                    </w:rPr>
                    <w:t>名称</w:t>
                  </w:r>
                </w:p>
              </w:tc>
              <w:tc>
                <w:tcPr>
                  <w:tcW w:w="2126" w:type="dxa"/>
                  <w:vAlign w:val="center"/>
                </w:tcPr>
                <w:p>
                  <w:pPr>
                    <w:jc w:val="center"/>
                    <w:rPr>
                      <w:rFonts w:asciiTheme="majorEastAsia" w:hAnsiTheme="majorEastAsia" w:eastAsiaTheme="majorEastAsia"/>
                      <w:b/>
                      <w:color w:val="auto"/>
                      <w:szCs w:val="21"/>
                    </w:rPr>
                  </w:pPr>
                  <w:r>
                    <w:rPr>
                      <w:rFonts w:asciiTheme="majorEastAsia" w:hAnsiTheme="majorEastAsia" w:eastAsiaTheme="majorEastAsia"/>
                      <w:b/>
                      <w:color w:val="auto"/>
                      <w:szCs w:val="21"/>
                    </w:rPr>
                    <w:t>用量</w:t>
                  </w:r>
                </w:p>
              </w:tc>
              <w:tc>
                <w:tcPr>
                  <w:tcW w:w="3018" w:type="dxa"/>
                </w:tcPr>
                <w:p>
                  <w:pPr>
                    <w:jc w:val="center"/>
                    <w:rPr>
                      <w:rFonts w:asciiTheme="majorEastAsia" w:hAnsiTheme="majorEastAsia" w:eastAsiaTheme="majorEastAsia"/>
                      <w:b/>
                      <w:color w:val="auto"/>
                      <w:szCs w:val="21"/>
                    </w:rPr>
                  </w:pPr>
                  <w:r>
                    <w:rPr>
                      <w:rFonts w:asciiTheme="majorEastAsia" w:hAnsiTheme="majorEastAsia" w:eastAsiaTheme="majorEastAsia"/>
                      <w:b/>
                      <w:color w:val="auto"/>
                      <w:szCs w:val="21"/>
                    </w:rPr>
                    <w:t>用途</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45" w:type="dxa"/>
                  <w:vAlign w:val="center"/>
                </w:tcPr>
                <w:p>
                  <w:pPr>
                    <w:jc w:val="center"/>
                    <w:rPr>
                      <w:rFonts w:asciiTheme="majorEastAsia" w:hAnsiTheme="majorEastAsia" w:eastAsiaTheme="majorEastAsia"/>
                      <w:color w:val="auto"/>
                      <w:szCs w:val="21"/>
                    </w:rPr>
                  </w:pPr>
                  <w:r>
                    <w:rPr>
                      <w:rFonts w:asciiTheme="majorEastAsia" w:hAnsiTheme="majorEastAsia" w:eastAsiaTheme="majorEastAsia"/>
                      <w:color w:val="auto"/>
                      <w:szCs w:val="21"/>
                    </w:rPr>
                    <w:t>1</w:t>
                  </w:r>
                </w:p>
              </w:tc>
              <w:tc>
                <w:tcPr>
                  <w:tcW w:w="2693" w:type="dxa"/>
                  <w:vAlign w:val="center"/>
                </w:tcPr>
                <w:p>
                  <w:pPr>
                    <w:jc w:val="center"/>
                    <w:rPr>
                      <w:rFonts w:asciiTheme="majorEastAsia" w:hAnsiTheme="majorEastAsia" w:eastAsiaTheme="majorEastAsia"/>
                      <w:color w:val="auto"/>
                      <w:szCs w:val="21"/>
                    </w:rPr>
                  </w:pPr>
                  <w:r>
                    <w:rPr>
                      <w:rFonts w:asciiTheme="majorEastAsia" w:hAnsiTheme="majorEastAsia" w:eastAsiaTheme="majorEastAsia"/>
                      <w:color w:val="auto"/>
                      <w:szCs w:val="21"/>
                    </w:rPr>
                    <w:t>10%成品次氯酸钠溶液</w:t>
                  </w:r>
                </w:p>
              </w:tc>
              <w:tc>
                <w:tcPr>
                  <w:tcW w:w="2126" w:type="dxa"/>
                  <w:vAlign w:val="center"/>
                </w:tcPr>
                <w:p>
                  <w:pPr>
                    <w:jc w:val="center"/>
                    <w:rPr>
                      <w:rFonts w:asciiTheme="majorEastAsia" w:hAnsiTheme="majorEastAsia" w:eastAsiaTheme="majorEastAsia"/>
                      <w:color w:val="auto"/>
                      <w:szCs w:val="21"/>
                    </w:rPr>
                  </w:pPr>
                  <w:r>
                    <w:rPr>
                      <w:rFonts w:asciiTheme="majorEastAsia" w:hAnsiTheme="majorEastAsia" w:eastAsiaTheme="majorEastAsia"/>
                      <w:color w:val="auto"/>
                      <w:szCs w:val="21"/>
                    </w:rPr>
                    <w:t>5-10mg/l</w:t>
                  </w:r>
                </w:p>
              </w:tc>
              <w:tc>
                <w:tcPr>
                  <w:tcW w:w="3018"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污水消毒制备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45" w:type="dxa"/>
                  <w:vAlign w:val="center"/>
                </w:tcPr>
                <w:p>
                  <w:pPr>
                    <w:jc w:val="center"/>
                    <w:rPr>
                      <w:rFonts w:asciiTheme="majorEastAsia" w:hAnsiTheme="majorEastAsia" w:eastAsiaTheme="majorEastAsia"/>
                      <w:color w:val="auto"/>
                      <w:szCs w:val="21"/>
                    </w:rPr>
                  </w:pPr>
                  <w:r>
                    <w:rPr>
                      <w:rFonts w:asciiTheme="majorEastAsia" w:hAnsiTheme="majorEastAsia" w:eastAsiaTheme="majorEastAsia"/>
                      <w:color w:val="auto"/>
                      <w:szCs w:val="21"/>
                    </w:rPr>
                    <w:t>2</w:t>
                  </w:r>
                </w:p>
              </w:tc>
              <w:tc>
                <w:tcPr>
                  <w:tcW w:w="2693" w:type="dxa"/>
                  <w:vAlign w:val="center"/>
                </w:tcPr>
                <w:p>
                  <w:pPr>
                    <w:jc w:val="center"/>
                    <w:rPr>
                      <w:rFonts w:asciiTheme="majorEastAsia" w:hAnsiTheme="majorEastAsia" w:eastAsiaTheme="majorEastAsia"/>
                      <w:color w:val="auto"/>
                      <w:szCs w:val="21"/>
                    </w:rPr>
                  </w:pPr>
                  <w:r>
                    <w:rPr>
                      <w:rFonts w:asciiTheme="majorEastAsia" w:hAnsiTheme="majorEastAsia" w:eastAsiaTheme="majorEastAsia"/>
                      <w:color w:val="auto"/>
                      <w:szCs w:val="21"/>
                    </w:rPr>
                    <w:t>除臭剂</w:t>
                  </w:r>
                </w:p>
              </w:tc>
              <w:tc>
                <w:tcPr>
                  <w:tcW w:w="2126" w:type="dxa"/>
                  <w:vAlign w:val="center"/>
                </w:tcPr>
                <w:p>
                  <w:pPr>
                    <w:jc w:val="center"/>
                    <w:rPr>
                      <w:rFonts w:asciiTheme="majorEastAsia" w:hAnsiTheme="majorEastAsia" w:eastAsiaTheme="majorEastAsia"/>
                      <w:color w:val="auto"/>
                      <w:szCs w:val="21"/>
                    </w:rPr>
                  </w:pPr>
                  <w:r>
                    <w:rPr>
                      <w:rFonts w:asciiTheme="majorEastAsia" w:hAnsiTheme="majorEastAsia" w:eastAsiaTheme="majorEastAsia"/>
                      <w:color w:val="auto"/>
                      <w:szCs w:val="21"/>
                    </w:rPr>
                    <w:t>5000ml/a</w:t>
                  </w:r>
                </w:p>
              </w:tc>
              <w:tc>
                <w:tcPr>
                  <w:tcW w:w="3018" w:type="dxa"/>
                  <w:vAlign w:val="center"/>
                </w:tcPr>
                <w:p>
                  <w:pPr>
                    <w:widowControl/>
                    <w:adjustRightInd w:val="0"/>
                    <w:snapToGrid w:val="0"/>
                    <w:jc w:val="center"/>
                    <w:rPr>
                      <w:rFonts w:asciiTheme="majorEastAsia" w:hAnsiTheme="majorEastAsia" w:eastAsiaTheme="majorEastAsia"/>
                      <w:color w:val="auto"/>
                      <w:kern w:val="0"/>
                      <w:szCs w:val="21"/>
                    </w:rPr>
                  </w:pPr>
                  <w:r>
                    <w:rPr>
                      <w:rFonts w:asciiTheme="majorEastAsia" w:hAnsiTheme="majorEastAsia" w:eastAsiaTheme="majorEastAsia"/>
                      <w:color w:val="auto"/>
                      <w:kern w:val="0"/>
                      <w:szCs w:val="21"/>
                    </w:rPr>
                    <w:t>场地除臭</w:t>
                  </w:r>
                </w:p>
              </w:tc>
            </w:tr>
          </w:tbl>
          <w:p>
            <w:pPr>
              <w:adjustRightInd w:val="0"/>
              <w:snapToGrid w:val="0"/>
              <w:spacing w:beforeLines="50"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本项目按0.8mg/l计算，次氯酸钠溶液用量为0.16kg/L。</w:t>
            </w:r>
          </w:p>
          <w:p>
            <w:pPr>
              <w:adjustRightInd w:val="0"/>
              <w:snapToGrid w:val="0"/>
              <w:spacing w:beforeLines="50" w:line="360" w:lineRule="auto"/>
              <w:ind w:firstLine="480" w:firstLineChars="200"/>
              <w:rPr>
                <w:rFonts w:asciiTheme="majorEastAsia" w:hAnsiTheme="majorEastAsia" w:eastAsiaTheme="majorEastAsia"/>
                <w:color w:val="auto"/>
                <w:sz w:val="24"/>
              </w:rPr>
            </w:pPr>
            <w:r>
              <w:rPr>
                <w:rFonts w:hint="eastAsia" w:cs="宋体" w:asciiTheme="majorEastAsia" w:hAnsiTheme="majorEastAsia" w:eastAsiaTheme="majorEastAsia"/>
                <w:color w:val="auto"/>
                <w:sz w:val="24"/>
              </w:rPr>
              <w:t>⑵</w:t>
            </w:r>
            <w:r>
              <w:rPr>
                <w:rFonts w:asciiTheme="majorEastAsia" w:hAnsiTheme="majorEastAsia" w:eastAsiaTheme="majorEastAsia"/>
                <w:color w:val="auto"/>
                <w:sz w:val="24"/>
              </w:rPr>
              <w:t>原辅材料物理、化学性质</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次氯酸钠（NaClO），呈苍黄色极不稳定固体。溶于水。水溶液呈</w:t>
            </w:r>
            <w:r>
              <w:rPr>
                <w:color w:val="auto"/>
              </w:rPr>
              <w:fldChar w:fldCharType="begin"/>
            </w:r>
            <w:r>
              <w:rPr>
                <w:color w:val="auto"/>
              </w:rPr>
              <w:instrText xml:space="preserve"> HYPERLINK "http://www.chemyq.com/xz/xz8/77220srdeg.htm" </w:instrText>
            </w:r>
            <w:r>
              <w:rPr>
                <w:color w:val="auto"/>
              </w:rPr>
              <w:fldChar w:fldCharType="separate"/>
            </w:r>
            <w:r>
              <w:rPr>
                <w:rFonts w:asciiTheme="majorEastAsia" w:hAnsiTheme="majorEastAsia" w:eastAsiaTheme="majorEastAsia"/>
                <w:color w:val="auto"/>
                <w:sz w:val="24"/>
              </w:rPr>
              <w:t>碱性反应</w:t>
            </w:r>
            <w:r>
              <w:rPr>
                <w:rFonts w:asciiTheme="majorEastAsia" w:hAnsiTheme="majorEastAsia" w:eastAsiaTheme="majorEastAsia"/>
                <w:color w:val="auto"/>
                <w:sz w:val="24"/>
              </w:rPr>
              <w:fldChar w:fldCharType="end"/>
            </w:r>
            <w:r>
              <w:rPr>
                <w:rFonts w:asciiTheme="majorEastAsia" w:hAnsiTheme="majorEastAsia" w:eastAsiaTheme="majorEastAsia"/>
                <w:color w:val="auto"/>
                <w:sz w:val="24"/>
              </w:rPr>
              <w:t>。能逐渐分解为</w:t>
            </w:r>
            <w:r>
              <w:rPr>
                <w:color w:val="auto"/>
              </w:rPr>
              <w:fldChar w:fldCharType="begin"/>
            </w:r>
            <w:r>
              <w:rPr>
                <w:color w:val="auto"/>
              </w:rPr>
              <w:instrText xml:space="preserve"> HYPERLINK "http://www.chemyq.com/xz/xz1/149sjkpl.htm" </w:instrText>
            </w:r>
            <w:r>
              <w:rPr>
                <w:color w:val="auto"/>
              </w:rPr>
              <w:fldChar w:fldCharType="separate"/>
            </w:r>
            <w:r>
              <w:rPr>
                <w:rFonts w:asciiTheme="majorEastAsia" w:hAnsiTheme="majorEastAsia" w:eastAsiaTheme="majorEastAsia"/>
                <w:color w:val="auto"/>
                <w:sz w:val="24"/>
              </w:rPr>
              <w:t>氯化钠</w:t>
            </w:r>
            <w:r>
              <w:rPr>
                <w:rFonts w:asciiTheme="majorEastAsia" w:hAnsiTheme="majorEastAsia" w:eastAsiaTheme="majorEastAsia"/>
                <w:color w:val="auto"/>
                <w:sz w:val="24"/>
              </w:rPr>
              <w:fldChar w:fldCharType="end"/>
            </w:r>
            <w:r>
              <w:rPr>
                <w:rFonts w:asciiTheme="majorEastAsia" w:hAnsiTheme="majorEastAsia" w:eastAsiaTheme="majorEastAsia"/>
                <w:color w:val="auto"/>
                <w:sz w:val="24"/>
              </w:rPr>
              <w:t>、</w:t>
            </w:r>
            <w:r>
              <w:rPr>
                <w:color w:val="auto"/>
              </w:rPr>
              <w:fldChar w:fldCharType="begin"/>
            </w:r>
            <w:r>
              <w:rPr>
                <w:color w:val="auto"/>
              </w:rPr>
              <w:instrText xml:space="preserve"> HYPERLINK "http://www.chemyq.com/xz/xz1/3192xqyke.htm" </w:instrText>
            </w:r>
            <w:r>
              <w:rPr>
                <w:color w:val="auto"/>
              </w:rPr>
              <w:fldChar w:fldCharType="separate"/>
            </w:r>
            <w:r>
              <w:rPr>
                <w:rFonts w:asciiTheme="majorEastAsia" w:hAnsiTheme="majorEastAsia" w:eastAsiaTheme="majorEastAsia"/>
                <w:color w:val="auto"/>
                <w:sz w:val="24"/>
              </w:rPr>
              <w:t>氯酸钠</w:t>
            </w:r>
            <w:r>
              <w:rPr>
                <w:rFonts w:asciiTheme="majorEastAsia" w:hAnsiTheme="majorEastAsia" w:eastAsiaTheme="majorEastAsia"/>
                <w:color w:val="auto"/>
                <w:sz w:val="24"/>
              </w:rPr>
              <w:fldChar w:fldCharType="end"/>
            </w:r>
            <w:r>
              <w:rPr>
                <w:rFonts w:asciiTheme="majorEastAsia" w:hAnsiTheme="majorEastAsia" w:eastAsiaTheme="majorEastAsia"/>
                <w:color w:val="auto"/>
                <w:sz w:val="24"/>
              </w:rPr>
              <w:t>和氧，是</w:t>
            </w:r>
            <w:r>
              <w:rPr>
                <w:color w:val="auto"/>
              </w:rPr>
              <w:fldChar w:fldCharType="begin"/>
            </w:r>
            <w:r>
              <w:rPr>
                <w:color w:val="auto"/>
              </w:rPr>
              <w:instrText xml:space="preserve"> HYPERLINK "http://www.chemyq.com/xz/xz5/49401gtaqb.htm" </w:instrText>
            </w:r>
            <w:r>
              <w:rPr>
                <w:color w:val="auto"/>
              </w:rPr>
              <w:fldChar w:fldCharType="separate"/>
            </w:r>
            <w:r>
              <w:rPr>
                <w:rFonts w:asciiTheme="majorEastAsia" w:hAnsiTheme="majorEastAsia" w:eastAsiaTheme="majorEastAsia"/>
                <w:color w:val="auto"/>
                <w:sz w:val="24"/>
              </w:rPr>
              <w:t>强氧化剂</w:t>
            </w:r>
            <w:r>
              <w:rPr>
                <w:rFonts w:asciiTheme="majorEastAsia" w:hAnsiTheme="majorEastAsia" w:eastAsiaTheme="majorEastAsia"/>
                <w:color w:val="auto"/>
                <w:sz w:val="24"/>
              </w:rPr>
              <w:fldChar w:fldCharType="end"/>
            </w:r>
            <w:r>
              <w:rPr>
                <w:rFonts w:asciiTheme="majorEastAsia" w:hAnsiTheme="majorEastAsia" w:eastAsiaTheme="majorEastAsia"/>
                <w:color w:val="auto"/>
                <w:sz w:val="24"/>
              </w:rPr>
              <w:t>。在光的作用下或加热分，分解特别迅速。水溶液在真空中蒸发时，能析出不稳定的五水物NaClO·5H</w:t>
            </w:r>
            <w:r>
              <w:rPr>
                <w:rFonts w:asciiTheme="majorEastAsia" w:hAnsiTheme="majorEastAsia" w:eastAsiaTheme="majorEastAsia"/>
                <w:color w:val="auto"/>
                <w:sz w:val="24"/>
                <w:vertAlign w:val="subscript"/>
              </w:rPr>
              <w:t>2</w:t>
            </w:r>
            <w:r>
              <w:rPr>
                <w:rFonts w:asciiTheme="majorEastAsia" w:hAnsiTheme="majorEastAsia" w:eastAsiaTheme="majorEastAsia"/>
                <w:color w:val="auto"/>
                <w:sz w:val="24"/>
              </w:rPr>
              <w:t>O，极易变为一NaClO·H</w:t>
            </w:r>
            <w:r>
              <w:rPr>
                <w:rFonts w:asciiTheme="majorEastAsia" w:hAnsiTheme="majorEastAsia" w:eastAsiaTheme="majorEastAsia"/>
                <w:color w:val="auto"/>
                <w:sz w:val="24"/>
                <w:vertAlign w:val="subscript"/>
              </w:rPr>
              <w:t>2</w:t>
            </w:r>
            <w:r>
              <w:rPr>
                <w:rFonts w:asciiTheme="majorEastAsia" w:hAnsiTheme="majorEastAsia" w:eastAsiaTheme="majorEastAsia"/>
                <w:color w:val="auto"/>
                <w:sz w:val="24"/>
              </w:rPr>
              <w:t>O。后者加热到70</w:t>
            </w:r>
            <w:r>
              <w:rPr>
                <w:rFonts w:hint="eastAsia" w:cs="宋体" w:asciiTheme="majorEastAsia" w:hAnsiTheme="majorEastAsia" w:eastAsiaTheme="majorEastAsia"/>
                <w:color w:val="auto"/>
                <w:sz w:val="24"/>
              </w:rPr>
              <w:t>℃</w:t>
            </w:r>
            <w:r>
              <w:rPr>
                <w:rFonts w:asciiTheme="majorEastAsia" w:hAnsiTheme="majorEastAsia" w:eastAsiaTheme="majorEastAsia"/>
                <w:color w:val="auto"/>
                <w:sz w:val="24"/>
              </w:rPr>
              <w:t>时即分解并爆炸。用于</w:t>
            </w:r>
            <w:r>
              <w:rPr>
                <w:color w:val="auto"/>
              </w:rPr>
              <w:fldChar w:fldCharType="begin"/>
            </w:r>
            <w:r>
              <w:rPr>
                <w:color w:val="auto"/>
              </w:rPr>
              <w:instrText xml:space="preserve"> HYPERLINK "http://www.chemyq.com/xz/xz5/48593ghrgr.htm" </w:instrText>
            </w:r>
            <w:r>
              <w:rPr>
                <w:color w:val="auto"/>
              </w:rPr>
              <w:fldChar w:fldCharType="separate"/>
            </w:r>
            <w:r>
              <w:rPr>
                <w:rFonts w:asciiTheme="majorEastAsia" w:hAnsiTheme="majorEastAsia" w:eastAsiaTheme="majorEastAsia"/>
                <w:color w:val="auto"/>
                <w:sz w:val="24"/>
              </w:rPr>
              <w:t>漂白纸浆</w:t>
            </w:r>
            <w:r>
              <w:rPr>
                <w:rFonts w:asciiTheme="majorEastAsia" w:hAnsiTheme="majorEastAsia" w:eastAsiaTheme="majorEastAsia"/>
                <w:color w:val="auto"/>
                <w:sz w:val="24"/>
              </w:rPr>
              <w:fldChar w:fldCharType="end"/>
            </w:r>
            <w:r>
              <w:rPr>
                <w:rFonts w:asciiTheme="majorEastAsia" w:hAnsiTheme="majorEastAsia" w:eastAsiaTheme="majorEastAsia"/>
                <w:color w:val="auto"/>
                <w:sz w:val="24"/>
              </w:rPr>
              <w:t>、织物，并用作</w:t>
            </w:r>
            <w:r>
              <w:rPr>
                <w:color w:val="auto"/>
              </w:rPr>
              <w:fldChar w:fldCharType="begin"/>
            </w:r>
            <w:r>
              <w:rPr>
                <w:color w:val="auto"/>
              </w:rPr>
              <w:instrText xml:space="preserve"> HYPERLINK "http://www.chemyq.com/xz/xz8/70285ccqic.htm" </w:instrText>
            </w:r>
            <w:r>
              <w:rPr>
                <w:color w:val="auto"/>
              </w:rPr>
              <w:fldChar w:fldCharType="separate"/>
            </w:r>
            <w:r>
              <w:rPr>
                <w:rFonts w:asciiTheme="majorEastAsia" w:hAnsiTheme="majorEastAsia" w:eastAsiaTheme="majorEastAsia"/>
                <w:color w:val="auto"/>
                <w:sz w:val="24"/>
              </w:rPr>
              <w:t>氧化剂</w:t>
            </w:r>
            <w:r>
              <w:rPr>
                <w:rFonts w:asciiTheme="majorEastAsia" w:hAnsiTheme="majorEastAsia" w:eastAsiaTheme="majorEastAsia"/>
                <w:color w:val="auto"/>
                <w:sz w:val="24"/>
              </w:rPr>
              <w:fldChar w:fldCharType="end"/>
            </w:r>
            <w:r>
              <w:rPr>
                <w:rFonts w:asciiTheme="majorEastAsia" w:hAnsiTheme="majorEastAsia" w:eastAsiaTheme="majorEastAsia"/>
                <w:color w:val="auto"/>
                <w:sz w:val="24"/>
              </w:rPr>
              <w:t>和水净化剂等。由电解冷的稀</w:t>
            </w:r>
            <w:r>
              <w:rPr>
                <w:color w:val="auto"/>
              </w:rPr>
              <w:fldChar w:fldCharType="begin"/>
            </w:r>
            <w:r>
              <w:rPr>
                <w:color w:val="auto"/>
              </w:rPr>
              <w:instrText xml:space="preserve"> HYPERLINK "http://www.chemyq.com/xz/xz1/149sjkpl.htm" </w:instrText>
            </w:r>
            <w:r>
              <w:rPr>
                <w:color w:val="auto"/>
              </w:rPr>
              <w:fldChar w:fldCharType="separate"/>
            </w:r>
            <w:r>
              <w:rPr>
                <w:rFonts w:asciiTheme="majorEastAsia" w:hAnsiTheme="majorEastAsia" w:eastAsiaTheme="majorEastAsia"/>
                <w:color w:val="auto"/>
                <w:sz w:val="24"/>
              </w:rPr>
              <w:t>食盐</w:t>
            </w:r>
            <w:r>
              <w:rPr>
                <w:rFonts w:asciiTheme="majorEastAsia" w:hAnsiTheme="majorEastAsia" w:eastAsiaTheme="majorEastAsia"/>
                <w:color w:val="auto"/>
                <w:sz w:val="24"/>
              </w:rPr>
              <w:fldChar w:fldCharType="end"/>
            </w:r>
            <w:r>
              <w:rPr>
                <w:rFonts w:asciiTheme="majorEastAsia" w:hAnsiTheme="majorEastAsia" w:eastAsiaTheme="majorEastAsia"/>
                <w:color w:val="auto"/>
                <w:sz w:val="24"/>
              </w:rPr>
              <w:t>溶液或由</w:t>
            </w:r>
            <w:r>
              <w:rPr>
                <w:color w:val="auto"/>
              </w:rPr>
              <w:fldChar w:fldCharType="begin"/>
            </w:r>
            <w:r>
              <w:rPr>
                <w:color w:val="auto"/>
              </w:rPr>
              <w:instrText xml:space="preserve"> HYPERLINK "http://www.chemyq.com/xz/xz1/2179nnbjo.htm" </w:instrText>
            </w:r>
            <w:r>
              <w:rPr>
                <w:color w:val="auto"/>
              </w:rPr>
              <w:fldChar w:fldCharType="separate"/>
            </w:r>
            <w:r>
              <w:rPr>
                <w:rFonts w:asciiTheme="majorEastAsia" w:hAnsiTheme="majorEastAsia" w:eastAsiaTheme="majorEastAsia"/>
                <w:color w:val="auto"/>
                <w:sz w:val="24"/>
              </w:rPr>
              <w:t>漂白粉</w:t>
            </w:r>
            <w:r>
              <w:rPr>
                <w:rFonts w:asciiTheme="majorEastAsia" w:hAnsiTheme="majorEastAsia" w:eastAsiaTheme="majorEastAsia"/>
                <w:color w:val="auto"/>
                <w:sz w:val="24"/>
              </w:rPr>
              <w:fldChar w:fldCharType="end"/>
            </w:r>
            <w:r>
              <w:rPr>
                <w:rFonts w:asciiTheme="majorEastAsia" w:hAnsiTheme="majorEastAsia" w:eastAsiaTheme="majorEastAsia"/>
                <w:color w:val="auto"/>
                <w:sz w:val="24"/>
              </w:rPr>
              <w:t>与</w:t>
            </w:r>
            <w:r>
              <w:rPr>
                <w:color w:val="auto"/>
              </w:rPr>
              <w:fldChar w:fldCharType="begin"/>
            </w:r>
            <w:r>
              <w:rPr>
                <w:color w:val="auto"/>
              </w:rPr>
              <w:instrText xml:space="preserve"> HYPERLINK "http://www.chemyq.com/xz/xz1/230mmtoh.htm" </w:instrText>
            </w:r>
            <w:r>
              <w:rPr>
                <w:color w:val="auto"/>
              </w:rPr>
              <w:fldChar w:fldCharType="separate"/>
            </w:r>
            <w:r>
              <w:rPr>
                <w:rFonts w:asciiTheme="majorEastAsia" w:hAnsiTheme="majorEastAsia" w:eastAsiaTheme="majorEastAsia"/>
                <w:color w:val="auto"/>
                <w:sz w:val="24"/>
              </w:rPr>
              <w:t>纯碱</w:t>
            </w:r>
            <w:r>
              <w:rPr>
                <w:rFonts w:asciiTheme="majorEastAsia" w:hAnsiTheme="majorEastAsia" w:eastAsiaTheme="majorEastAsia"/>
                <w:color w:val="auto"/>
                <w:sz w:val="24"/>
              </w:rPr>
              <w:fldChar w:fldCharType="end"/>
            </w:r>
            <w:r>
              <w:rPr>
                <w:rFonts w:asciiTheme="majorEastAsia" w:hAnsiTheme="majorEastAsia" w:eastAsiaTheme="majorEastAsia"/>
                <w:color w:val="auto"/>
                <w:sz w:val="24"/>
              </w:rPr>
              <w:t>作用后滤去</w:t>
            </w:r>
            <w:r>
              <w:rPr>
                <w:color w:val="auto"/>
              </w:rPr>
              <w:fldChar w:fldCharType="begin"/>
            </w:r>
            <w:r>
              <w:rPr>
                <w:color w:val="auto"/>
              </w:rPr>
              <w:instrText xml:space="preserve"> HYPERLINK "http://www.chemyq.com/xz/xz6/55805foinq.htm" </w:instrText>
            </w:r>
            <w:r>
              <w:rPr>
                <w:color w:val="auto"/>
              </w:rPr>
              <w:fldChar w:fldCharType="separate"/>
            </w:r>
            <w:r>
              <w:rPr>
                <w:rFonts w:asciiTheme="majorEastAsia" w:hAnsiTheme="majorEastAsia" w:eastAsiaTheme="majorEastAsia"/>
                <w:color w:val="auto"/>
                <w:sz w:val="24"/>
              </w:rPr>
              <w:t>碳酸钙</w:t>
            </w:r>
            <w:r>
              <w:rPr>
                <w:rFonts w:asciiTheme="majorEastAsia" w:hAnsiTheme="majorEastAsia" w:eastAsiaTheme="majorEastAsia"/>
                <w:color w:val="auto"/>
                <w:sz w:val="24"/>
              </w:rPr>
              <w:fldChar w:fldCharType="end"/>
            </w:r>
            <w:r>
              <w:rPr>
                <w:rFonts w:asciiTheme="majorEastAsia" w:hAnsiTheme="majorEastAsia" w:eastAsiaTheme="majorEastAsia"/>
                <w:color w:val="auto"/>
                <w:sz w:val="24"/>
              </w:rPr>
              <w:t>而制得。</w:t>
            </w:r>
          </w:p>
          <w:p>
            <w:pPr>
              <w:adjustRightInd w:val="0"/>
              <w:snapToGrid w:val="0"/>
              <w:spacing w:line="360" w:lineRule="auto"/>
              <w:ind w:firstLine="472" w:firstLineChars="196"/>
              <w:rPr>
                <w:rFonts w:asciiTheme="majorEastAsia" w:hAnsiTheme="majorEastAsia" w:eastAsiaTheme="majorEastAsia"/>
                <w:b/>
                <w:color w:val="auto"/>
                <w:sz w:val="24"/>
              </w:rPr>
            </w:pPr>
            <w:r>
              <w:rPr>
                <w:rFonts w:asciiTheme="majorEastAsia" w:hAnsiTheme="majorEastAsia" w:eastAsiaTheme="majorEastAsia"/>
                <w:b/>
                <w:color w:val="auto"/>
                <w:sz w:val="24"/>
              </w:rPr>
              <w:t>13、公用工程</w:t>
            </w:r>
          </w:p>
          <w:p>
            <w:pPr>
              <w:pStyle w:val="17"/>
              <w:adjustRightInd w:val="0"/>
              <w:snapToGrid w:val="0"/>
              <w:spacing w:line="360" w:lineRule="auto"/>
              <w:ind w:firstLine="482" w:firstLineChars="200"/>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13.1给水工程</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bCs/>
                <w:color w:val="auto"/>
                <w:kern w:val="0"/>
                <w:sz w:val="24"/>
              </w:rPr>
              <w:t>本项目生活用水及消防用水来源于村内机井。</w:t>
            </w:r>
          </w:p>
          <w:p>
            <w:pPr>
              <w:pStyle w:val="17"/>
              <w:adjustRightInd w:val="0"/>
              <w:snapToGrid w:val="0"/>
              <w:spacing w:line="360" w:lineRule="auto"/>
              <w:ind w:firstLine="482" w:firstLineChars="200"/>
              <w:rPr>
                <w:rFonts w:asciiTheme="majorEastAsia" w:hAnsiTheme="majorEastAsia" w:eastAsiaTheme="majorEastAsia"/>
                <w:b/>
                <w:color w:val="auto"/>
                <w:sz w:val="24"/>
                <w:szCs w:val="24"/>
              </w:rPr>
            </w:pPr>
            <w:r>
              <w:rPr>
                <w:rFonts w:asciiTheme="majorEastAsia" w:hAnsiTheme="majorEastAsia" w:eastAsiaTheme="majorEastAsia"/>
                <w:b/>
                <w:color w:val="auto"/>
                <w:sz w:val="24"/>
                <w:szCs w:val="24"/>
              </w:rPr>
              <w:t>13.2排水工程</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本项目的排水采用雨污分流制。雨水经厂区内雨水管网收集后集中排入厂外沟道内；厂区生活污水进入厂内污水处理处理系统进行处理，不向外排。本工程采用A</w:t>
            </w:r>
            <w:r>
              <w:rPr>
                <w:rFonts w:asciiTheme="majorEastAsia" w:hAnsiTheme="majorEastAsia" w:eastAsiaTheme="majorEastAsia"/>
                <w:color w:val="auto"/>
                <w:sz w:val="24"/>
                <w:vertAlign w:val="superscript"/>
              </w:rPr>
              <w:t>2</w:t>
            </w:r>
            <w:r>
              <w:rPr>
                <w:rFonts w:asciiTheme="majorEastAsia" w:hAnsiTheme="majorEastAsia" w:eastAsiaTheme="majorEastAsia"/>
                <w:color w:val="auto"/>
                <w:sz w:val="24"/>
              </w:rPr>
              <w:t>/O+MBR处理工艺，出水水质保证《城镇污水处理厂污染物排放标准》（GB18918-2002）的一级A标准。污水处理厂建成后每天将减少大量的污染物排放，可对周围环境及水体环境起到良好的保护作用。</w:t>
            </w:r>
          </w:p>
          <w:p>
            <w:pPr>
              <w:adjustRightInd w:val="0"/>
              <w:snapToGrid w:val="0"/>
              <w:spacing w:line="360" w:lineRule="auto"/>
              <w:ind w:firstLine="482" w:firstLineChars="200"/>
              <w:rPr>
                <w:rFonts w:asciiTheme="majorEastAsia" w:hAnsiTheme="majorEastAsia" w:eastAsiaTheme="majorEastAsia"/>
                <w:b/>
                <w:color w:val="auto"/>
                <w:sz w:val="24"/>
              </w:rPr>
            </w:pPr>
            <w:r>
              <w:rPr>
                <w:rFonts w:asciiTheme="majorEastAsia" w:hAnsiTheme="majorEastAsia" w:eastAsiaTheme="majorEastAsia"/>
                <w:b/>
                <w:color w:val="auto"/>
                <w:sz w:val="24"/>
              </w:rPr>
              <w:t>13.3供电工程</w:t>
            </w:r>
          </w:p>
          <w:p>
            <w:pPr>
              <w:autoSpaceDE w:val="0"/>
              <w:autoSpaceDN w:val="0"/>
              <w:adjustRightInd w:val="0"/>
              <w:snapToGrid w:val="0"/>
              <w:spacing w:line="360" w:lineRule="auto"/>
              <w:ind w:firstLine="480" w:firstLineChars="200"/>
              <w:jc w:val="left"/>
              <w:rPr>
                <w:rFonts w:asciiTheme="majorEastAsia" w:hAnsiTheme="majorEastAsia" w:eastAsiaTheme="majorEastAsia"/>
                <w:color w:val="auto"/>
                <w:kern w:val="0"/>
                <w:sz w:val="24"/>
              </w:rPr>
            </w:pPr>
            <w:r>
              <w:rPr>
                <w:rFonts w:asciiTheme="majorEastAsia" w:hAnsiTheme="majorEastAsia" w:eastAsiaTheme="majorEastAsia"/>
                <w:color w:val="auto"/>
                <w:kern w:val="0"/>
                <w:sz w:val="24"/>
              </w:rPr>
              <w:t>本工程设计主要包括污水厂厂区围墙以内所有构筑物及用电设备的供配电、照明、防雷及接地系统等相关电气设计。供电电压为 10kV，厂外供电线路及电源进户线由当地电力部门承担，设计分界点为以10kV进线负荷开关的下桩头为界，下桩头以下部分，包括进线电缆头。</w:t>
            </w:r>
          </w:p>
          <w:p>
            <w:pPr>
              <w:adjustRightInd w:val="0"/>
              <w:snapToGrid w:val="0"/>
              <w:spacing w:line="360" w:lineRule="auto"/>
              <w:ind w:firstLine="482" w:firstLineChars="200"/>
              <w:rPr>
                <w:rFonts w:asciiTheme="majorEastAsia" w:hAnsiTheme="majorEastAsia" w:eastAsiaTheme="majorEastAsia"/>
                <w:b/>
                <w:color w:val="auto"/>
                <w:sz w:val="24"/>
              </w:rPr>
            </w:pPr>
            <w:r>
              <w:rPr>
                <w:rFonts w:asciiTheme="majorEastAsia" w:hAnsiTheme="majorEastAsia" w:eastAsiaTheme="majorEastAsia"/>
                <w:b/>
                <w:color w:val="auto"/>
                <w:sz w:val="24"/>
              </w:rPr>
              <w:t>13.4供暖</w:t>
            </w:r>
          </w:p>
          <w:p>
            <w:pPr>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kern w:val="28"/>
                <w:sz w:val="24"/>
              </w:rPr>
              <w:t>本项目</w:t>
            </w:r>
            <w:r>
              <w:rPr>
                <w:rFonts w:asciiTheme="majorEastAsia" w:hAnsiTheme="majorEastAsia" w:eastAsiaTheme="majorEastAsia"/>
                <w:color w:val="auto"/>
                <w:sz w:val="24"/>
              </w:rPr>
              <w:t>冬季采暖采用电暖方式。</w:t>
            </w:r>
          </w:p>
          <w:p>
            <w:pPr>
              <w:adjustRightInd w:val="0"/>
              <w:snapToGrid w:val="0"/>
              <w:spacing w:line="360" w:lineRule="auto"/>
              <w:ind w:firstLine="482" w:firstLineChars="200"/>
              <w:rPr>
                <w:rFonts w:asciiTheme="majorEastAsia" w:hAnsiTheme="majorEastAsia" w:eastAsiaTheme="majorEastAsia"/>
                <w:b/>
                <w:color w:val="auto"/>
                <w:sz w:val="24"/>
              </w:rPr>
            </w:pPr>
            <w:r>
              <w:rPr>
                <w:rFonts w:asciiTheme="majorEastAsia" w:hAnsiTheme="majorEastAsia" w:eastAsiaTheme="majorEastAsia"/>
                <w:b/>
                <w:color w:val="auto"/>
                <w:sz w:val="24"/>
              </w:rPr>
              <w:t>13.5自控仪表工程</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为使整个污水升级改造处理系统能够安全可靠，经济合理地运行，使污水处理厂的管理和操作人员能够全面有效的兼容和控制，能够简捷准确地操作控制污水处理厂生产设备，根据本工程工艺流程的特点，配置一套0.4kV主系统设置网络仪表，并通过现场 modbus 总线与一套上位机连接，实现主回路监测控与事故报警，动态模拟系统结线等后台功能。</w:t>
            </w:r>
          </w:p>
          <w:p>
            <w:pPr>
              <w:adjustRightInd w:val="0"/>
              <w:snapToGrid w:val="0"/>
              <w:spacing w:line="360" w:lineRule="auto"/>
              <w:ind w:firstLine="482" w:firstLineChars="200"/>
              <w:rPr>
                <w:rFonts w:asciiTheme="majorEastAsia" w:hAnsiTheme="majorEastAsia" w:eastAsiaTheme="majorEastAsia"/>
                <w:b/>
                <w:color w:val="auto"/>
                <w:sz w:val="24"/>
              </w:rPr>
            </w:pPr>
            <w:r>
              <w:rPr>
                <w:rFonts w:asciiTheme="majorEastAsia" w:hAnsiTheme="majorEastAsia" w:eastAsiaTheme="majorEastAsia"/>
                <w:b/>
                <w:color w:val="auto"/>
                <w:sz w:val="24"/>
              </w:rPr>
              <w:t>13.6依托工程</w:t>
            </w:r>
          </w:p>
          <w:p>
            <w:pPr>
              <w:adjustRightInd w:val="0"/>
              <w:snapToGrid w:val="0"/>
              <w:spacing w:line="360" w:lineRule="auto"/>
              <w:ind w:firstLine="480" w:firstLineChars="200"/>
              <w:rPr>
                <w:rFonts w:asciiTheme="majorEastAsia" w:hAnsiTheme="majorEastAsia" w:eastAsiaTheme="majorEastAsia"/>
                <w:color w:val="auto"/>
                <w:sz w:val="24"/>
              </w:rPr>
            </w:pPr>
            <w:r>
              <w:rPr>
                <w:rFonts w:asciiTheme="majorEastAsia" w:hAnsiTheme="majorEastAsia" w:eastAsiaTheme="majorEastAsia"/>
                <w:color w:val="auto"/>
                <w:sz w:val="24"/>
              </w:rPr>
              <w:t>本项目为新建项目，无依托工程。</w:t>
            </w:r>
          </w:p>
          <w:p>
            <w:pPr>
              <w:adjustRightInd w:val="0"/>
              <w:snapToGrid w:val="0"/>
              <w:spacing w:line="360" w:lineRule="auto"/>
              <w:ind w:firstLine="482" w:firstLineChars="200"/>
              <w:rPr>
                <w:rFonts w:asciiTheme="majorEastAsia" w:hAnsiTheme="majorEastAsia" w:eastAsiaTheme="majorEastAsia"/>
                <w:b/>
                <w:color w:val="auto"/>
                <w:sz w:val="24"/>
              </w:rPr>
            </w:pPr>
            <w:r>
              <w:rPr>
                <w:rFonts w:asciiTheme="majorEastAsia" w:hAnsiTheme="majorEastAsia" w:eastAsiaTheme="majorEastAsia"/>
                <w:b/>
                <w:color w:val="auto"/>
                <w:sz w:val="24"/>
              </w:rPr>
              <w:t>14、项目施工组织</w:t>
            </w:r>
          </w:p>
          <w:p>
            <w:pPr>
              <w:pStyle w:val="32"/>
              <w:adjustRightInd w:val="0"/>
              <w:snapToGrid w:val="0"/>
              <w:spacing w:before="0" w:beforeAutospacing="0" w:after="0" w:afterAutospacing="0" w:line="360" w:lineRule="auto"/>
              <w:ind w:firstLine="480" w:firstLineChars="200"/>
              <w:jc w:val="both"/>
              <w:rPr>
                <w:rFonts w:asciiTheme="majorEastAsia" w:hAnsiTheme="majorEastAsia" w:eastAsiaTheme="majorEastAsia"/>
                <w:bCs/>
                <w:color w:val="auto"/>
                <w:kern w:val="2"/>
              </w:rPr>
            </w:pPr>
            <w:r>
              <w:rPr>
                <w:rFonts w:hint="eastAsia" w:cs="宋体" w:asciiTheme="majorEastAsia" w:hAnsiTheme="majorEastAsia" w:eastAsiaTheme="majorEastAsia"/>
                <w:bCs/>
                <w:color w:val="auto"/>
                <w:kern w:val="2"/>
              </w:rPr>
              <w:t>⑴</w:t>
            </w:r>
            <w:r>
              <w:rPr>
                <w:rFonts w:asciiTheme="majorEastAsia" w:hAnsiTheme="majorEastAsia" w:eastAsiaTheme="majorEastAsia"/>
                <w:bCs/>
                <w:color w:val="auto"/>
                <w:kern w:val="2"/>
              </w:rPr>
              <w:t>取土场</w:t>
            </w:r>
          </w:p>
          <w:p>
            <w:pPr>
              <w:pStyle w:val="32"/>
              <w:adjustRightInd w:val="0"/>
              <w:snapToGrid w:val="0"/>
              <w:spacing w:before="0" w:beforeAutospacing="0" w:after="0" w:afterAutospacing="0" w:line="360" w:lineRule="auto"/>
              <w:ind w:firstLine="480" w:firstLineChars="200"/>
              <w:jc w:val="both"/>
              <w:rPr>
                <w:rFonts w:asciiTheme="majorEastAsia" w:hAnsiTheme="majorEastAsia" w:eastAsiaTheme="majorEastAsia"/>
                <w:bCs/>
                <w:color w:val="auto"/>
                <w:kern w:val="2"/>
              </w:rPr>
            </w:pPr>
            <w:r>
              <w:rPr>
                <w:rFonts w:asciiTheme="majorEastAsia" w:hAnsiTheme="majorEastAsia" w:eastAsiaTheme="majorEastAsia"/>
                <w:bCs/>
                <w:color w:val="auto"/>
                <w:kern w:val="2"/>
              </w:rPr>
              <w:t>根据工程设计资料，工程挖方大于填方，无借方，故本工程不设取土场。</w:t>
            </w:r>
          </w:p>
          <w:p>
            <w:pPr>
              <w:pStyle w:val="32"/>
              <w:adjustRightInd w:val="0"/>
              <w:snapToGrid w:val="0"/>
              <w:spacing w:before="0" w:beforeAutospacing="0" w:after="0" w:afterAutospacing="0" w:line="360" w:lineRule="auto"/>
              <w:ind w:firstLine="480" w:firstLineChars="200"/>
              <w:jc w:val="both"/>
              <w:rPr>
                <w:rFonts w:asciiTheme="majorEastAsia" w:hAnsiTheme="majorEastAsia" w:eastAsiaTheme="majorEastAsia"/>
                <w:bCs/>
                <w:color w:val="auto"/>
                <w:kern w:val="2"/>
              </w:rPr>
            </w:pPr>
            <w:r>
              <w:rPr>
                <w:rFonts w:hint="eastAsia" w:cs="宋体" w:asciiTheme="majorEastAsia" w:hAnsiTheme="majorEastAsia" w:eastAsiaTheme="majorEastAsia"/>
                <w:bCs/>
                <w:color w:val="auto"/>
                <w:kern w:val="2"/>
              </w:rPr>
              <w:t>⑵</w:t>
            </w:r>
            <w:r>
              <w:rPr>
                <w:rFonts w:asciiTheme="majorEastAsia" w:hAnsiTheme="majorEastAsia" w:eastAsiaTheme="majorEastAsia"/>
                <w:bCs/>
                <w:color w:val="auto"/>
                <w:kern w:val="2"/>
              </w:rPr>
              <w:t>临时表土堆场</w:t>
            </w:r>
          </w:p>
          <w:p>
            <w:pPr>
              <w:pStyle w:val="32"/>
              <w:adjustRightInd w:val="0"/>
              <w:snapToGrid w:val="0"/>
              <w:spacing w:before="0" w:beforeAutospacing="0" w:after="0" w:afterAutospacing="0" w:line="360" w:lineRule="auto"/>
              <w:ind w:firstLine="480" w:firstLineChars="200"/>
              <w:jc w:val="both"/>
              <w:rPr>
                <w:rFonts w:asciiTheme="majorEastAsia" w:hAnsiTheme="majorEastAsia" w:eastAsiaTheme="majorEastAsia"/>
                <w:bCs/>
                <w:color w:val="auto"/>
                <w:kern w:val="2"/>
              </w:rPr>
            </w:pPr>
            <w:r>
              <w:rPr>
                <w:rFonts w:asciiTheme="majorEastAsia" w:hAnsiTheme="majorEastAsia" w:eastAsiaTheme="majorEastAsia"/>
                <w:color w:val="auto"/>
              </w:rPr>
              <w:t>本项目总挖方4008.36m</w:t>
            </w:r>
            <w:r>
              <w:rPr>
                <w:rFonts w:asciiTheme="majorEastAsia" w:hAnsiTheme="majorEastAsia" w:eastAsiaTheme="majorEastAsia"/>
                <w:color w:val="auto"/>
                <w:vertAlign w:val="superscript"/>
              </w:rPr>
              <w:t>2</w:t>
            </w:r>
            <w:r>
              <w:rPr>
                <w:rFonts w:asciiTheme="majorEastAsia" w:hAnsiTheme="majorEastAsia" w:eastAsiaTheme="majorEastAsia"/>
                <w:color w:val="auto"/>
              </w:rPr>
              <w:t>（其中污水处理厂挖方1003.96m</w:t>
            </w:r>
            <w:r>
              <w:rPr>
                <w:rFonts w:asciiTheme="majorEastAsia" w:hAnsiTheme="majorEastAsia" w:eastAsiaTheme="majorEastAsia"/>
                <w:color w:val="auto"/>
                <w:vertAlign w:val="superscript"/>
              </w:rPr>
              <w:t>2</w:t>
            </w:r>
            <w:r>
              <w:rPr>
                <w:rFonts w:asciiTheme="majorEastAsia" w:hAnsiTheme="majorEastAsia" w:eastAsiaTheme="majorEastAsia"/>
                <w:color w:val="auto"/>
              </w:rPr>
              <w:t>，污水收集管网挖方3004.4m</w:t>
            </w:r>
            <w:r>
              <w:rPr>
                <w:rFonts w:asciiTheme="majorEastAsia" w:hAnsiTheme="majorEastAsia" w:eastAsiaTheme="majorEastAsia"/>
                <w:color w:val="auto"/>
                <w:vertAlign w:val="superscript"/>
              </w:rPr>
              <w:t>2</w:t>
            </w:r>
            <w:r>
              <w:rPr>
                <w:rFonts w:asciiTheme="majorEastAsia" w:hAnsiTheme="majorEastAsia" w:eastAsiaTheme="majorEastAsia"/>
                <w:color w:val="auto"/>
              </w:rPr>
              <w:t>），填方3863.36m</w:t>
            </w:r>
            <w:r>
              <w:rPr>
                <w:rFonts w:asciiTheme="majorEastAsia" w:hAnsiTheme="majorEastAsia" w:eastAsiaTheme="majorEastAsia"/>
                <w:color w:val="auto"/>
                <w:vertAlign w:val="superscript"/>
              </w:rPr>
              <w:t>2</w:t>
            </w:r>
            <w:r>
              <w:rPr>
                <w:rFonts w:asciiTheme="majorEastAsia" w:hAnsiTheme="majorEastAsia" w:eastAsiaTheme="majorEastAsia"/>
                <w:color w:val="auto"/>
              </w:rPr>
              <w:t>。根据项目土石方平衡计算，本项目剩余土石方145m</w:t>
            </w:r>
            <w:r>
              <w:rPr>
                <w:rFonts w:asciiTheme="majorEastAsia" w:hAnsiTheme="majorEastAsia" w:eastAsiaTheme="majorEastAsia"/>
                <w:color w:val="auto"/>
                <w:vertAlign w:val="superscript"/>
              </w:rPr>
              <w:t>2</w:t>
            </w:r>
            <w:r>
              <w:rPr>
                <w:rFonts w:asciiTheme="majorEastAsia" w:hAnsiTheme="majorEastAsia" w:eastAsiaTheme="majorEastAsia"/>
                <w:color w:val="auto"/>
              </w:rPr>
              <w:t>。剩余土方用于场地周围土地平整，不外排</w:t>
            </w:r>
            <w:r>
              <w:rPr>
                <w:rFonts w:asciiTheme="majorEastAsia" w:hAnsiTheme="majorEastAsia" w:eastAsiaTheme="majorEastAsia"/>
                <w:bCs/>
                <w:color w:val="auto"/>
                <w:kern w:val="2"/>
              </w:rPr>
              <w:t>，本项目污水处理厂内设临时表土堆场1处，占地面积为100m</w:t>
            </w:r>
            <w:r>
              <w:rPr>
                <w:rFonts w:asciiTheme="majorEastAsia" w:hAnsiTheme="majorEastAsia" w:eastAsiaTheme="majorEastAsia"/>
                <w:bCs/>
                <w:color w:val="auto"/>
                <w:kern w:val="2"/>
                <w:vertAlign w:val="superscript"/>
              </w:rPr>
              <w:t>2</w:t>
            </w:r>
            <w:r>
              <w:rPr>
                <w:rFonts w:asciiTheme="majorEastAsia" w:hAnsiTheme="majorEastAsia" w:eastAsiaTheme="majorEastAsia"/>
                <w:bCs/>
                <w:color w:val="auto"/>
                <w:kern w:val="2"/>
              </w:rPr>
              <w:t>，要求在选址上避免占用泄洪通道、水利灌溉设施、农田、尽量少占耕地、远离敏感目标。</w:t>
            </w:r>
          </w:p>
          <w:p>
            <w:pPr>
              <w:pStyle w:val="32"/>
              <w:adjustRightInd w:val="0"/>
              <w:snapToGrid w:val="0"/>
              <w:spacing w:before="0" w:beforeAutospacing="0" w:after="0" w:afterAutospacing="0" w:line="360" w:lineRule="auto"/>
              <w:ind w:firstLine="480" w:firstLineChars="200"/>
              <w:jc w:val="both"/>
              <w:rPr>
                <w:rFonts w:asciiTheme="majorEastAsia" w:hAnsiTheme="majorEastAsia" w:eastAsiaTheme="majorEastAsia"/>
                <w:bCs/>
                <w:color w:val="auto"/>
                <w:kern w:val="2"/>
              </w:rPr>
            </w:pPr>
            <w:r>
              <w:rPr>
                <w:rFonts w:hint="eastAsia" w:cs="宋体" w:asciiTheme="majorEastAsia" w:hAnsiTheme="majorEastAsia" w:eastAsiaTheme="majorEastAsia"/>
                <w:bCs/>
                <w:color w:val="auto"/>
                <w:kern w:val="2"/>
              </w:rPr>
              <w:t>⑶</w:t>
            </w:r>
            <w:r>
              <w:rPr>
                <w:rFonts w:asciiTheme="majorEastAsia" w:hAnsiTheme="majorEastAsia" w:eastAsiaTheme="majorEastAsia"/>
                <w:bCs/>
                <w:color w:val="auto"/>
                <w:kern w:val="2"/>
              </w:rPr>
              <w:t>施工场地</w:t>
            </w:r>
          </w:p>
          <w:p>
            <w:pPr>
              <w:pStyle w:val="32"/>
              <w:adjustRightInd w:val="0"/>
              <w:snapToGrid w:val="0"/>
              <w:spacing w:before="0" w:beforeAutospacing="0" w:after="0" w:afterAutospacing="0" w:line="360" w:lineRule="auto"/>
              <w:ind w:firstLine="480" w:firstLineChars="200"/>
              <w:jc w:val="both"/>
              <w:rPr>
                <w:rFonts w:asciiTheme="majorEastAsia" w:hAnsiTheme="majorEastAsia" w:eastAsiaTheme="majorEastAsia"/>
                <w:bCs/>
                <w:color w:val="auto"/>
                <w:kern w:val="2"/>
              </w:rPr>
            </w:pPr>
            <w:r>
              <w:rPr>
                <w:rFonts w:asciiTheme="majorEastAsia" w:hAnsiTheme="majorEastAsia" w:eastAsiaTheme="majorEastAsia"/>
                <w:bCs/>
                <w:color w:val="auto"/>
                <w:kern w:val="2"/>
              </w:rPr>
              <w:t>本项目污水处理厂设1个临时施工场地，总面积300m</w:t>
            </w:r>
            <w:r>
              <w:rPr>
                <w:rFonts w:asciiTheme="majorEastAsia" w:hAnsiTheme="majorEastAsia" w:eastAsiaTheme="majorEastAsia"/>
                <w:bCs/>
                <w:color w:val="auto"/>
                <w:kern w:val="2"/>
                <w:vertAlign w:val="superscript"/>
              </w:rPr>
              <w:t>2</w:t>
            </w:r>
            <w:r>
              <w:rPr>
                <w:rFonts w:asciiTheme="majorEastAsia" w:hAnsiTheme="majorEastAsia" w:eastAsiaTheme="majorEastAsia"/>
                <w:bCs/>
                <w:color w:val="auto"/>
                <w:kern w:val="2"/>
              </w:rPr>
              <w:t>，占用土地类型全为空闲地，主要包括临时堆放建筑材料，施工机械停放。本项目不设置施工营地，施工人员为当地居民。</w:t>
            </w:r>
          </w:p>
          <w:p>
            <w:pPr>
              <w:adjustRightInd w:val="0"/>
              <w:snapToGrid w:val="0"/>
              <w:spacing w:line="360" w:lineRule="auto"/>
              <w:rPr>
                <w:rFonts w:asciiTheme="majorEastAsia" w:hAnsiTheme="majorEastAsia" w:eastAsiaTheme="majorEastAsia"/>
                <w:color w:val="auto"/>
                <w:sz w:val="24"/>
              </w:rPr>
            </w:pPr>
          </w:p>
          <w:p>
            <w:pPr>
              <w:adjustRightInd w:val="0"/>
              <w:snapToGrid w:val="0"/>
              <w:spacing w:line="360" w:lineRule="auto"/>
              <w:rPr>
                <w:rFonts w:asciiTheme="majorEastAsia" w:hAnsiTheme="majorEastAsia" w:eastAsiaTheme="majorEastAsia"/>
                <w:color w:val="auto"/>
                <w:sz w:val="24"/>
              </w:rPr>
            </w:pPr>
          </w:p>
          <w:p>
            <w:pPr>
              <w:adjustRightInd w:val="0"/>
              <w:snapToGrid w:val="0"/>
              <w:spacing w:line="360" w:lineRule="auto"/>
              <w:rPr>
                <w:rFonts w:asciiTheme="majorEastAsia" w:hAnsiTheme="majorEastAsia" w:eastAsiaTheme="majorEastAsia"/>
                <w:color w:val="auto"/>
                <w:sz w:val="24"/>
              </w:rPr>
            </w:pPr>
          </w:p>
          <w:p>
            <w:pPr>
              <w:adjustRightInd w:val="0"/>
              <w:snapToGrid w:val="0"/>
              <w:spacing w:line="360" w:lineRule="auto"/>
              <w:rPr>
                <w:rFonts w:asciiTheme="majorEastAsia" w:hAnsiTheme="majorEastAsia" w:eastAsiaTheme="majorEastAsia"/>
                <w:color w:val="auto"/>
                <w:sz w:val="24"/>
              </w:rPr>
            </w:pPr>
          </w:p>
          <w:p>
            <w:pPr>
              <w:adjustRightInd w:val="0"/>
              <w:snapToGrid w:val="0"/>
              <w:spacing w:line="360" w:lineRule="auto"/>
              <w:rPr>
                <w:rFonts w:asciiTheme="majorEastAsia" w:hAnsiTheme="majorEastAsia" w:eastAsiaTheme="majorEastAsia"/>
                <w:color w:val="auto"/>
                <w:sz w:val="24"/>
              </w:rPr>
            </w:pPr>
          </w:p>
          <w:p>
            <w:pPr>
              <w:adjustRightInd w:val="0"/>
              <w:snapToGrid w:val="0"/>
              <w:spacing w:line="360" w:lineRule="auto"/>
              <w:rPr>
                <w:rFonts w:asciiTheme="majorEastAsia" w:hAnsiTheme="majorEastAsia" w:eastAsiaTheme="majorEastAsia"/>
                <w:color w:val="auto"/>
                <w:sz w:val="24"/>
              </w:rPr>
            </w:pPr>
          </w:p>
          <w:p>
            <w:pPr>
              <w:adjustRightInd w:val="0"/>
              <w:snapToGrid w:val="0"/>
              <w:spacing w:line="360" w:lineRule="auto"/>
              <w:rPr>
                <w:rFonts w:asciiTheme="majorEastAsia" w:hAnsiTheme="majorEastAsia" w:eastAsiaTheme="majorEastAsia"/>
                <w:color w:val="auto"/>
                <w:sz w:val="24"/>
              </w:rPr>
            </w:pPr>
          </w:p>
          <w:p>
            <w:pPr>
              <w:adjustRightInd w:val="0"/>
              <w:snapToGrid w:val="0"/>
              <w:spacing w:line="360" w:lineRule="auto"/>
              <w:rPr>
                <w:rFonts w:asciiTheme="majorEastAsia" w:hAnsiTheme="majorEastAsia" w:eastAsiaTheme="majorEastAsia"/>
                <w:color w:val="auto"/>
                <w:sz w:val="24"/>
              </w:rPr>
            </w:pPr>
          </w:p>
          <w:p>
            <w:pPr>
              <w:adjustRightInd w:val="0"/>
              <w:snapToGrid w:val="0"/>
              <w:spacing w:line="360" w:lineRule="auto"/>
              <w:rPr>
                <w:rFonts w:asciiTheme="majorEastAsia" w:hAnsiTheme="majorEastAsia" w:eastAsiaTheme="majorEastAsia"/>
                <w:color w:val="auto"/>
                <w:sz w:val="24"/>
              </w:rPr>
            </w:pPr>
          </w:p>
          <w:p>
            <w:pPr>
              <w:adjustRightInd w:val="0"/>
              <w:snapToGrid w:val="0"/>
              <w:spacing w:line="360" w:lineRule="auto"/>
              <w:rPr>
                <w:rFonts w:asciiTheme="majorEastAsia" w:hAnsiTheme="majorEastAsia" w:eastAsiaTheme="majorEastAsia"/>
                <w:color w:val="auto"/>
                <w:sz w:val="24"/>
              </w:rPr>
            </w:pPr>
          </w:p>
          <w:p>
            <w:pPr>
              <w:adjustRightInd w:val="0"/>
              <w:snapToGrid w:val="0"/>
              <w:spacing w:line="360" w:lineRule="auto"/>
              <w:rPr>
                <w:rFonts w:asciiTheme="majorEastAsia" w:hAnsiTheme="majorEastAsia" w:eastAsiaTheme="majorEastAsia"/>
                <w:color w:val="auto"/>
                <w:sz w:val="24"/>
              </w:rPr>
            </w:pPr>
          </w:p>
          <w:p>
            <w:pPr>
              <w:adjustRightInd w:val="0"/>
              <w:snapToGrid w:val="0"/>
              <w:spacing w:line="360" w:lineRule="auto"/>
              <w:rPr>
                <w:rFonts w:asciiTheme="majorEastAsia" w:hAnsiTheme="majorEastAsia" w:eastAsiaTheme="majorEastAsia"/>
                <w:color w:val="auto"/>
                <w:sz w:val="24"/>
              </w:rPr>
            </w:pPr>
          </w:p>
          <w:p>
            <w:pPr>
              <w:adjustRightInd w:val="0"/>
              <w:snapToGrid w:val="0"/>
              <w:spacing w:line="360" w:lineRule="auto"/>
              <w:rPr>
                <w:rFonts w:asciiTheme="majorEastAsia" w:hAnsiTheme="majorEastAsia" w:eastAsiaTheme="majorEastAsia"/>
                <w:color w:val="auto"/>
                <w:sz w:val="24"/>
              </w:rPr>
            </w:pPr>
          </w:p>
          <w:p>
            <w:pPr>
              <w:adjustRightInd w:val="0"/>
              <w:snapToGrid w:val="0"/>
              <w:spacing w:line="360" w:lineRule="auto"/>
              <w:rPr>
                <w:rFonts w:asciiTheme="majorEastAsia" w:hAnsiTheme="majorEastAsia" w:eastAsiaTheme="majorEastAsia"/>
                <w:color w:val="auto"/>
                <w:sz w:val="24"/>
              </w:rPr>
            </w:pPr>
          </w:p>
          <w:p>
            <w:pPr>
              <w:adjustRightInd w:val="0"/>
              <w:snapToGrid w:val="0"/>
              <w:spacing w:line="360" w:lineRule="auto"/>
              <w:rPr>
                <w:rFonts w:asciiTheme="majorEastAsia" w:hAnsiTheme="majorEastAsia" w:eastAsiaTheme="majorEastAsia"/>
                <w:color w:val="auto"/>
                <w:sz w:val="24"/>
              </w:rPr>
            </w:pPr>
          </w:p>
          <w:p>
            <w:pPr>
              <w:adjustRightInd w:val="0"/>
              <w:snapToGrid w:val="0"/>
              <w:spacing w:line="360" w:lineRule="auto"/>
              <w:rPr>
                <w:rFonts w:asciiTheme="majorEastAsia" w:hAnsiTheme="majorEastAsia" w:eastAsiaTheme="majorEastAsia"/>
                <w:color w:val="auto"/>
                <w:sz w:val="24"/>
              </w:rPr>
            </w:pPr>
          </w:p>
        </w:tc>
      </w:tr>
    </w:tbl>
    <w:p>
      <w:pPr>
        <w:adjustRightInd w:val="0"/>
        <w:snapToGrid w:val="0"/>
        <w:jc w:val="left"/>
        <w:rPr>
          <w:rFonts w:eastAsiaTheme="minorEastAsia"/>
          <w:b/>
          <w:color w:val="auto"/>
          <w:sz w:val="28"/>
          <w:szCs w:val="28"/>
        </w:rPr>
      </w:pPr>
      <w:r>
        <w:rPr>
          <w:rFonts w:eastAsiaTheme="minorEastAsia"/>
          <w:b/>
          <w:color w:val="auto"/>
          <w:sz w:val="28"/>
          <w:szCs w:val="28"/>
        </w:rPr>
        <w:br w:type="page"/>
      </w:r>
    </w:p>
    <w:p>
      <w:pPr>
        <w:adjustRightInd w:val="0"/>
        <w:snapToGrid w:val="0"/>
        <w:jc w:val="left"/>
        <w:rPr>
          <w:rFonts w:eastAsiaTheme="minorEastAsia"/>
          <w:b/>
          <w:color w:val="auto"/>
          <w:sz w:val="28"/>
          <w:szCs w:val="28"/>
        </w:rPr>
      </w:pPr>
      <w:r>
        <w:rPr>
          <w:rFonts w:eastAsiaTheme="minorEastAsia"/>
          <w:b/>
          <w:color w:val="auto"/>
          <w:sz w:val="28"/>
          <w:szCs w:val="28"/>
        </w:rPr>
        <w:t>建设项目环境概况</w:t>
      </w:r>
    </w:p>
    <w:tbl>
      <w:tblPr>
        <w:tblStyle w:val="38"/>
        <w:tblW w:w="9111"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trPr>
        <w:tc>
          <w:tcPr>
            <w:tcW w:w="9111"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eastAsiaTheme="minorEastAsia"/>
                <w:color w:val="auto"/>
                <w:spacing w:val="-12"/>
                <w:sz w:val="24"/>
              </w:rPr>
            </w:pPr>
            <w:r>
              <w:rPr>
                <w:rFonts w:eastAsiaTheme="minorEastAsia"/>
                <w:b/>
                <w:bCs/>
                <w:color w:val="auto"/>
                <w:spacing w:val="-12"/>
                <w:sz w:val="24"/>
              </w:rPr>
              <w:t>自然环境简况与环境质量现状</w:t>
            </w:r>
          </w:p>
          <w:p>
            <w:pPr>
              <w:adjustRightInd w:val="0"/>
              <w:snapToGrid w:val="0"/>
              <w:spacing w:line="360" w:lineRule="auto"/>
              <w:ind w:firstLine="482" w:firstLineChars="200"/>
              <w:rPr>
                <w:rFonts w:eastAsiaTheme="minorEastAsia"/>
                <w:b/>
                <w:color w:val="auto"/>
                <w:sz w:val="24"/>
              </w:rPr>
            </w:pPr>
            <w:r>
              <w:rPr>
                <w:rFonts w:eastAsiaTheme="minorEastAsia"/>
                <w:b/>
                <w:color w:val="auto"/>
                <w:sz w:val="24"/>
              </w:rPr>
              <w:t>1、自然环境概况</w:t>
            </w:r>
          </w:p>
          <w:p>
            <w:pPr>
              <w:adjustRightInd w:val="0"/>
              <w:snapToGrid w:val="0"/>
              <w:spacing w:line="360" w:lineRule="auto"/>
              <w:ind w:firstLine="482" w:firstLineChars="200"/>
              <w:rPr>
                <w:rFonts w:eastAsiaTheme="minorEastAsia"/>
                <w:b/>
                <w:color w:val="auto"/>
                <w:sz w:val="24"/>
              </w:rPr>
            </w:pPr>
            <w:r>
              <w:rPr>
                <w:rFonts w:eastAsiaTheme="minorEastAsia"/>
                <w:b/>
                <w:color w:val="auto"/>
                <w:sz w:val="24"/>
              </w:rPr>
              <w:t>1.1地理位置</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隶属于甘肃省庆阳市，位于甘肃省东部，介于东经107°41′至108°34′，北纬35°15′至35°52′之间，东与子午岭，南与泾河与陕西省相接，西北、东南分别与合水县、西峰区及正宁县相邻，马莲河自北向南穿县而过，为宁县最主要河流。总面积 2633 平方公里（2014年），总人口54.89万（2014年）其中农业人口50.59万。总土地面积2653平方公里，耕地100万亩。</w:t>
            </w:r>
          </w:p>
          <w:p>
            <w:pPr>
              <w:spacing w:line="360" w:lineRule="auto"/>
              <w:ind w:firstLine="482" w:firstLineChars="200"/>
              <w:rPr>
                <w:rFonts w:eastAsiaTheme="minorEastAsia"/>
                <w:b/>
                <w:color w:val="auto"/>
                <w:sz w:val="24"/>
              </w:rPr>
            </w:pPr>
            <w:r>
              <w:rPr>
                <w:rFonts w:eastAsiaTheme="minorEastAsia"/>
                <w:b/>
                <w:color w:val="auto"/>
                <w:sz w:val="24"/>
              </w:rPr>
              <w:t>1.2地质构造</w:t>
            </w:r>
          </w:p>
          <w:p>
            <w:pPr>
              <w:overflowPunct w:val="0"/>
              <w:autoSpaceDE w:val="0"/>
              <w:adjustRightInd w:val="0"/>
              <w:snapToGrid w:val="0"/>
              <w:spacing w:line="360" w:lineRule="auto"/>
              <w:ind w:firstLine="460" w:firstLineChars="192"/>
              <w:rPr>
                <w:rFonts w:eastAsiaTheme="minorEastAsia"/>
                <w:color w:val="auto"/>
                <w:sz w:val="24"/>
              </w:rPr>
            </w:pPr>
            <w:r>
              <w:rPr>
                <w:rFonts w:eastAsiaTheme="minorEastAsia"/>
                <w:color w:val="auto"/>
                <w:sz w:val="24"/>
              </w:rPr>
              <w:t>宁县县城地处关山--六盘山褶皱带移动的鄂尔多斯地台东南部。宁县域境内基本地貌为:东部梁峁沟壑交错，中西部多川台河谷与高原沟壑相间，地形为东北高，西南低，东西长、南北窄，海拔在860m~1760m之间，相对高差900m。根据长庆油田对沉积类型、岩相特征、构造面貌及生储盖组合等成油地质条件勘探研究资料，本县油田成油地层主要为中生界侏罗系延安组和三叠系延长组。</w:t>
            </w:r>
          </w:p>
          <w:p>
            <w:pPr>
              <w:overflowPunct w:val="0"/>
              <w:autoSpaceDE w:val="0"/>
              <w:adjustRightInd w:val="0"/>
              <w:snapToGrid w:val="0"/>
              <w:spacing w:line="360" w:lineRule="auto"/>
              <w:ind w:firstLine="460" w:firstLineChars="192"/>
              <w:rPr>
                <w:rFonts w:eastAsiaTheme="minorEastAsia"/>
                <w:color w:val="auto"/>
                <w:sz w:val="24"/>
              </w:rPr>
            </w:pPr>
            <w:r>
              <w:rPr>
                <w:rFonts w:eastAsiaTheme="minorEastAsia"/>
                <w:color w:val="auto"/>
                <w:sz w:val="24"/>
              </w:rPr>
              <w:t>侏罗系延安组是盆地南部的主要勘探开发层系，储集层为碎屑岩，属河流—沼泽相沉积，地层为暗色泥质岩，厚250~300m，岩性变化大，物性差，渗透率一般达50mm左右，加之构造平缓，油藏多以岩性为主的隐藏圈闭。含油层分延4+5、延6~10六个层组43个小层，以下部油组为主，延6~10为富集区，特别是底部延10油层，物性较好，含油面积大，产量较高，是盆地内主力油层。</w:t>
            </w:r>
          </w:p>
          <w:p>
            <w:pPr>
              <w:overflowPunct w:val="0"/>
              <w:autoSpaceDE w:val="0"/>
              <w:adjustRightInd w:val="0"/>
              <w:snapToGrid w:val="0"/>
              <w:spacing w:line="360" w:lineRule="auto"/>
              <w:ind w:firstLine="460" w:firstLineChars="192"/>
              <w:rPr>
                <w:rFonts w:eastAsiaTheme="minorEastAsia"/>
                <w:color w:val="auto"/>
                <w:sz w:val="24"/>
              </w:rPr>
            </w:pPr>
            <w:r>
              <w:rPr>
                <w:rFonts w:eastAsiaTheme="minorEastAsia"/>
                <w:color w:val="auto"/>
                <w:sz w:val="24"/>
              </w:rPr>
              <w:t>三叠系延长统为内陆湖相砂、泥岩沉积，厚300~400m。油层分布范围广，累积厚度大，但储油物性极差，单井产量低，一般无自然能量，属特低渗油层。延长统共划为10个油层组，上部油组长1~3油层，渗透性相对较好，渗透率特低，平均小于1md，压裂前不出油，开发难度大。</w:t>
            </w:r>
          </w:p>
          <w:p>
            <w:pPr>
              <w:overflowPunct w:val="0"/>
              <w:autoSpaceDE w:val="0"/>
              <w:adjustRightInd w:val="0"/>
              <w:snapToGrid w:val="0"/>
              <w:spacing w:line="360" w:lineRule="auto"/>
              <w:ind w:firstLine="460" w:firstLineChars="192"/>
              <w:rPr>
                <w:rFonts w:eastAsiaTheme="minorEastAsia"/>
                <w:color w:val="auto"/>
                <w:sz w:val="24"/>
              </w:rPr>
            </w:pPr>
            <w:r>
              <w:rPr>
                <w:rFonts w:eastAsiaTheme="minorEastAsia"/>
                <w:color w:val="auto"/>
                <w:sz w:val="24"/>
              </w:rPr>
              <w:t>根据《中国地震参数区划图》（GB18306-2001），本区地震烈度</w:t>
            </w:r>
            <w:r>
              <w:rPr>
                <w:rFonts w:hint="eastAsia" w:ascii="宋体" w:hAnsi="宋体" w:cs="宋体"/>
                <w:color w:val="auto"/>
                <w:sz w:val="24"/>
              </w:rPr>
              <w:t>Ⅵ</w:t>
            </w:r>
            <w:r>
              <w:rPr>
                <w:rFonts w:eastAsiaTheme="minorEastAsia"/>
                <w:color w:val="auto"/>
                <w:sz w:val="24"/>
              </w:rPr>
              <w:t>度。</w:t>
            </w:r>
          </w:p>
          <w:p>
            <w:pPr>
              <w:adjustRightInd w:val="0"/>
              <w:snapToGrid w:val="0"/>
              <w:spacing w:line="360" w:lineRule="auto"/>
              <w:ind w:firstLine="482" w:firstLineChars="200"/>
              <w:rPr>
                <w:rFonts w:eastAsiaTheme="minorEastAsia"/>
                <w:b/>
                <w:color w:val="auto"/>
                <w:sz w:val="24"/>
              </w:rPr>
            </w:pPr>
            <w:bookmarkStart w:id="3" w:name="_Toc234031980"/>
            <w:bookmarkStart w:id="4" w:name="_Toc234159726"/>
            <w:bookmarkStart w:id="5" w:name="_Toc234032051"/>
            <w:r>
              <w:rPr>
                <w:rFonts w:eastAsiaTheme="minorEastAsia"/>
                <w:b/>
                <w:color w:val="auto"/>
                <w:sz w:val="24"/>
              </w:rPr>
              <w:t>1.3资源</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金村乡地处陇东黄土高原沟壑区，位于宁县东部，子午岭西麓，北临盘克镇，南与九岘乡毗邻，西和湘乐镇接壤,东依魏魏子午岭大森林。总土地面积10.9万亩，折合72.75平方公里。整体地形复杂，沟壑纵横，塬面窄而狭长，气候湿润，降水适中，土壤肥沃。天然绿色无公害原生态食品及石油资源丰富。</w:t>
            </w:r>
          </w:p>
          <w:bookmarkEnd w:id="3"/>
          <w:bookmarkEnd w:id="4"/>
          <w:bookmarkEnd w:id="5"/>
          <w:p>
            <w:pPr>
              <w:adjustRightInd w:val="0"/>
              <w:snapToGrid w:val="0"/>
              <w:spacing w:line="360" w:lineRule="auto"/>
              <w:ind w:firstLine="482" w:firstLineChars="200"/>
              <w:rPr>
                <w:rFonts w:eastAsiaTheme="minorEastAsia"/>
                <w:b/>
                <w:color w:val="auto"/>
                <w:sz w:val="24"/>
              </w:rPr>
            </w:pPr>
            <w:r>
              <w:rPr>
                <w:rFonts w:eastAsiaTheme="minorEastAsia"/>
                <w:b/>
                <w:color w:val="auto"/>
                <w:sz w:val="24"/>
              </w:rPr>
              <w:t>1.4气象条件</w:t>
            </w:r>
          </w:p>
          <w:p>
            <w:pPr>
              <w:adjustRightInd w:val="0"/>
              <w:snapToGrid w:val="0"/>
              <w:spacing w:line="360" w:lineRule="auto"/>
              <w:ind w:firstLine="504" w:firstLineChars="200"/>
              <w:rPr>
                <w:rFonts w:eastAsiaTheme="minorEastAsia"/>
                <w:color w:val="auto"/>
                <w:spacing w:val="6"/>
                <w:kern w:val="28"/>
                <w:sz w:val="24"/>
              </w:rPr>
            </w:pPr>
            <w:r>
              <w:rPr>
                <w:rFonts w:eastAsiaTheme="minorEastAsia"/>
                <w:color w:val="auto"/>
                <w:spacing w:val="6"/>
                <w:kern w:val="28"/>
                <w:sz w:val="24"/>
              </w:rPr>
              <w:t>宁县地处大陆内部，属暖温带大陆性季风气候，四季分明，光照充足。年平均气温8.7</w:t>
            </w:r>
            <w:r>
              <w:rPr>
                <w:rFonts w:hint="eastAsia" w:ascii="宋体" w:hAnsi="宋体" w:cs="宋体"/>
                <w:color w:val="auto"/>
                <w:spacing w:val="6"/>
                <w:kern w:val="28"/>
                <w:sz w:val="24"/>
              </w:rPr>
              <w:t>℃</w:t>
            </w:r>
            <w:r>
              <w:rPr>
                <w:rFonts w:eastAsiaTheme="minorEastAsia"/>
                <w:color w:val="auto"/>
                <w:spacing w:val="6"/>
                <w:kern w:val="28"/>
                <w:sz w:val="24"/>
              </w:rPr>
              <w:t>，历年极端最高气温 36.5</w:t>
            </w:r>
            <w:r>
              <w:rPr>
                <w:rFonts w:hint="eastAsia" w:ascii="宋体" w:hAnsi="宋体" w:cs="宋体"/>
                <w:color w:val="auto"/>
                <w:spacing w:val="6"/>
                <w:kern w:val="28"/>
                <w:sz w:val="24"/>
              </w:rPr>
              <w:t>℃</w:t>
            </w:r>
            <w:r>
              <w:rPr>
                <w:rFonts w:eastAsiaTheme="minorEastAsia"/>
                <w:color w:val="auto"/>
                <w:spacing w:val="6"/>
                <w:kern w:val="28"/>
                <w:sz w:val="24"/>
              </w:rPr>
              <w:t>，历年极端最低气温-25.4</w:t>
            </w:r>
            <w:r>
              <w:rPr>
                <w:rFonts w:hint="eastAsia" w:ascii="宋体" w:hAnsi="宋体" w:cs="宋体"/>
                <w:color w:val="auto"/>
                <w:spacing w:val="6"/>
                <w:kern w:val="28"/>
                <w:sz w:val="24"/>
              </w:rPr>
              <w:t>℃</w:t>
            </w:r>
            <w:r>
              <w:rPr>
                <w:rFonts w:eastAsiaTheme="minorEastAsia"/>
                <w:color w:val="auto"/>
                <w:spacing w:val="6"/>
                <w:kern w:val="28"/>
                <w:sz w:val="24"/>
              </w:rPr>
              <w:t>，历年最热月（7月）平均温度为 22</w:t>
            </w:r>
            <w:r>
              <w:rPr>
                <w:rFonts w:hint="eastAsia" w:ascii="宋体" w:hAnsi="宋体" w:cs="宋体"/>
                <w:color w:val="auto"/>
                <w:spacing w:val="6"/>
                <w:kern w:val="28"/>
                <w:sz w:val="24"/>
              </w:rPr>
              <w:t>℃</w:t>
            </w:r>
            <w:r>
              <w:rPr>
                <w:rFonts w:eastAsiaTheme="minorEastAsia"/>
                <w:color w:val="auto"/>
                <w:spacing w:val="6"/>
                <w:kern w:val="28"/>
                <w:sz w:val="24"/>
              </w:rPr>
              <w:t>，最冷月（元月）平均气温为-5.8</w:t>
            </w:r>
            <w:r>
              <w:rPr>
                <w:rFonts w:hint="eastAsia" w:ascii="宋体" w:hAnsi="宋体" w:cs="宋体"/>
                <w:color w:val="auto"/>
                <w:spacing w:val="6"/>
                <w:kern w:val="28"/>
                <w:sz w:val="24"/>
              </w:rPr>
              <w:t>℃</w:t>
            </w:r>
            <w:r>
              <w:rPr>
                <w:rFonts w:eastAsiaTheme="minorEastAsia"/>
                <w:color w:val="auto"/>
                <w:spacing w:val="6"/>
                <w:kern w:val="28"/>
                <w:sz w:val="24"/>
              </w:rPr>
              <w:t>。多年平均降水量565.9mm，春季半干旱，降雨多集中在7、8、9 三个月，降水年际变化差别明显，变率大。冬季干旱，雨雪稀少，夏秋多雨，降水集中。年蒸发量平均为 1442.6mm，历年平均相对湿度为67%。年平均日照时数为2369.1小时，年太阳辐射总量平均为127.3千卡/平方厘米。主导风向为南东风，次为北西风。冻土深度一般在80cm 以下，最大冻土深度为82cm，历年最大积雪深度为21cm，历年最大无霜期为219天，最短无霜期为126 天，多年平均无霜期为150天。</w:t>
            </w:r>
          </w:p>
          <w:p>
            <w:pPr>
              <w:adjustRightInd w:val="0"/>
              <w:snapToGrid w:val="0"/>
              <w:spacing w:line="360" w:lineRule="auto"/>
              <w:ind w:firstLine="504" w:firstLineChars="200"/>
              <w:rPr>
                <w:rFonts w:eastAsiaTheme="minorEastAsia"/>
                <w:color w:val="auto"/>
                <w:spacing w:val="6"/>
                <w:kern w:val="28"/>
                <w:sz w:val="24"/>
              </w:rPr>
            </w:pPr>
            <w:r>
              <w:rPr>
                <w:rFonts w:eastAsiaTheme="minorEastAsia"/>
                <w:color w:val="auto"/>
                <w:spacing w:val="6"/>
                <w:kern w:val="28"/>
                <w:sz w:val="24"/>
              </w:rPr>
              <w:t>主要气象参数如下：</w:t>
            </w:r>
          </w:p>
          <w:p>
            <w:pPr>
              <w:tabs>
                <w:tab w:val="center" w:pos="5116"/>
              </w:tabs>
              <w:spacing w:line="360" w:lineRule="auto"/>
              <w:ind w:firstLine="482" w:firstLineChars="200"/>
              <w:jc w:val="center"/>
              <w:rPr>
                <w:rFonts w:eastAsiaTheme="minorEastAsia"/>
                <w:b/>
                <w:color w:val="auto"/>
                <w:sz w:val="24"/>
              </w:rPr>
            </w:pPr>
            <w:r>
              <w:rPr>
                <w:rFonts w:eastAsiaTheme="minorEastAsia"/>
                <w:b/>
                <w:color w:val="auto"/>
                <w:sz w:val="24"/>
              </w:rPr>
              <w:t>表21常年气象要素统计表</w:t>
            </w:r>
          </w:p>
          <w:tbl>
            <w:tblPr>
              <w:tblStyle w:val="185"/>
              <w:tblW w:w="889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44"/>
              <w:gridCol w:w="2144"/>
              <w:gridCol w:w="2220"/>
              <w:gridCol w:w="23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88" w:type="dxa"/>
                  <w:gridSpan w:val="2"/>
                  <w:vAlign w:val="center"/>
                </w:tcPr>
                <w:p>
                  <w:pPr>
                    <w:rPr>
                      <w:rFonts w:eastAsiaTheme="minorEastAsia"/>
                      <w:color w:val="auto"/>
                      <w:kern w:val="0"/>
                      <w:szCs w:val="21"/>
                    </w:rPr>
                  </w:pPr>
                  <w:r>
                    <w:rPr>
                      <w:rFonts w:eastAsiaTheme="minorEastAsia"/>
                      <w:color w:val="auto"/>
                      <w:kern w:val="0"/>
                      <w:szCs w:val="21"/>
                    </w:rPr>
                    <w:t>气象要素</w:t>
                  </w:r>
                </w:p>
              </w:tc>
              <w:tc>
                <w:tcPr>
                  <w:tcW w:w="2220" w:type="dxa"/>
                  <w:vAlign w:val="center"/>
                </w:tcPr>
                <w:p>
                  <w:pPr>
                    <w:rPr>
                      <w:rFonts w:eastAsiaTheme="minorEastAsia"/>
                      <w:color w:val="auto"/>
                      <w:kern w:val="0"/>
                      <w:szCs w:val="21"/>
                    </w:rPr>
                  </w:pPr>
                  <w:r>
                    <w:rPr>
                      <w:rFonts w:eastAsiaTheme="minorEastAsia"/>
                      <w:color w:val="auto"/>
                      <w:kern w:val="0"/>
                      <w:szCs w:val="21"/>
                    </w:rPr>
                    <w:t>单位</w:t>
                  </w:r>
                </w:p>
              </w:tc>
              <w:tc>
                <w:tcPr>
                  <w:tcW w:w="2387" w:type="dxa"/>
                  <w:vAlign w:val="center"/>
                </w:tcPr>
                <w:p>
                  <w:pPr>
                    <w:rPr>
                      <w:rFonts w:eastAsiaTheme="minorEastAsia"/>
                      <w:color w:val="auto"/>
                      <w:szCs w:val="21"/>
                    </w:rPr>
                  </w:pPr>
                  <w:r>
                    <w:rPr>
                      <w:rFonts w:eastAsiaTheme="minorEastAsia"/>
                      <w:color w:val="auto"/>
                      <w:szCs w:val="21"/>
                    </w:rPr>
                    <w:t>数值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44" w:type="dxa"/>
                  <w:vMerge w:val="restart"/>
                  <w:vAlign w:val="center"/>
                </w:tcPr>
                <w:p>
                  <w:pPr>
                    <w:rPr>
                      <w:rFonts w:eastAsiaTheme="minorEastAsia"/>
                      <w:color w:val="auto"/>
                      <w:kern w:val="0"/>
                      <w:szCs w:val="21"/>
                    </w:rPr>
                  </w:pPr>
                  <w:r>
                    <w:rPr>
                      <w:rFonts w:eastAsiaTheme="minorEastAsia"/>
                      <w:color w:val="auto"/>
                      <w:kern w:val="0"/>
                      <w:szCs w:val="21"/>
                    </w:rPr>
                    <w:t>气温</w:t>
                  </w:r>
                </w:p>
              </w:tc>
              <w:tc>
                <w:tcPr>
                  <w:tcW w:w="2144" w:type="dxa"/>
                  <w:vAlign w:val="center"/>
                </w:tcPr>
                <w:p>
                  <w:pPr>
                    <w:rPr>
                      <w:rFonts w:eastAsiaTheme="minorEastAsia"/>
                      <w:color w:val="auto"/>
                      <w:kern w:val="0"/>
                      <w:szCs w:val="21"/>
                    </w:rPr>
                  </w:pPr>
                  <w:r>
                    <w:rPr>
                      <w:rFonts w:eastAsiaTheme="minorEastAsia"/>
                      <w:color w:val="auto"/>
                      <w:kern w:val="0"/>
                      <w:szCs w:val="21"/>
                    </w:rPr>
                    <w:t>年平均</w:t>
                  </w:r>
                </w:p>
              </w:tc>
              <w:tc>
                <w:tcPr>
                  <w:tcW w:w="2220" w:type="dxa"/>
                  <w:vAlign w:val="center"/>
                </w:tcPr>
                <w:p>
                  <w:pPr>
                    <w:rPr>
                      <w:rFonts w:eastAsiaTheme="minorEastAsia"/>
                      <w:color w:val="auto"/>
                      <w:kern w:val="0"/>
                      <w:szCs w:val="21"/>
                    </w:rPr>
                  </w:pPr>
                  <w:r>
                    <w:rPr>
                      <w:rFonts w:hint="eastAsia" w:ascii="宋体" w:hAnsi="宋体" w:cs="宋体"/>
                      <w:color w:val="auto"/>
                      <w:kern w:val="0"/>
                      <w:szCs w:val="21"/>
                    </w:rPr>
                    <w:t>℃</w:t>
                  </w:r>
                </w:p>
              </w:tc>
              <w:tc>
                <w:tcPr>
                  <w:tcW w:w="2387" w:type="dxa"/>
                  <w:vAlign w:val="center"/>
                </w:tcPr>
                <w:p>
                  <w:pPr>
                    <w:rPr>
                      <w:rFonts w:eastAsiaTheme="minorEastAsia"/>
                      <w:color w:val="auto"/>
                      <w:kern w:val="0"/>
                      <w:szCs w:val="21"/>
                    </w:rPr>
                  </w:pPr>
                  <w:r>
                    <w:rPr>
                      <w:rFonts w:eastAsiaTheme="minorEastAsia"/>
                      <w:color w:val="auto"/>
                      <w:kern w:val="0"/>
                      <w:szCs w:val="21"/>
                    </w:rPr>
                    <w:t>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44" w:type="dxa"/>
                  <w:vMerge w:val="continue"/>
                  <w:vAlign w:val="center"/>
                </w:tcPr>
                <w:p>
                  <w:pPr>
                    <w:widowControl/>
                    <w:jc w:val="left"/>
                    <w:rPr>
                      <w:rFonts w:eastAsiaTheme="minorEastAsia"/>
                      <w:color w:val="auto"/>
                      <w:kern w:val="0"/>
                      <w:szCs w:val="21"/>
                    </w:rPr>
                  </w:pPr>
                </w:p>
              </w:tc>
              <w:tc>
                <w:tcPr>
                  <w:tcW w:w="2144" w:type="dxa"/>
                  <w:vAlign w:val="center"/>
                </w:tcPr>
                <w:p>
                  <w:pPr>
                    <w:rPr>
                      <w:rFonts w:eastAsiaTheme="minorEastAsia"/>
                      <w:color w:val="auto"/>
                      <w:kern w:val="0"/>
                      <w:szCs w:val="21"/>
                    </w:rPr>
                  </w:pPr>
                  <w:r>
                    <w:rPr>
                      <w:rFonts w:eastAsiaTheme="minorEastAsia"/>
                      <w:color w:val="auto"/>
                      <w:kern w:val="0"/>
                      <w:szCs w:val="21"/>
                    </w:rPr>
                    <w:t>极端最高</w:t>
                  </w:r>
                </w:p>
              </w:tc>
              <w:tc>
                <w:tcPr>
                  <w:tcW w:w="2220" w:type="dxa"/>
                  <w:vAlign w:val="center"/>
                </w:tcPr>
                <w:p>
                  <w:pPr>
                    <w:rPr>
                      <w:rFonts w:eastAsiaTheme="minorEastAsia"/>
                      <w:color w:val="auto"/>
                      <w:kern w:val="0"/>
                      <w:szCs w:val="21"/>
                    </w:rPr>
                  </w:pPr>
                  <w:r>
                    <w:rPr>
                      <w:rFonts w:hint="eastAsia" w:ascii="宋体" w:hAnsi="宋体" w:cs="宋体"/>
                      <w:color w:val="auto"/>
                      <w:kern w:val="0"/>
                      <w:szCs w:val="21"/>
                    </w:rPr>
                    <w:t>℃</w:t>
                  </w:r>
                </w:p>
              </w:tc>
              <w:tc>
                <w:tcPr>
                  <w:tcW w:w="2387" w:type="dxa"/>
                  <w:vAlign w:val="center"/>
                </w:tcPr>
                <w:p>
                  <w:pPr>
                    <w:rPr>
                      <w:rFonts w:eastAsiaTheme="minorEastAsia"/>
                      <w:color w:val="auto"/>
                      <w:kern w:val="0"/>
                      <w:szCs w:val="21"/>
                    </w:rPr>
                  </w:pPr>
                  <w:r>
                    <w:rPr>
                      <w:rFonts w:eastAsiaTheme="minorEastAsia"/>
                      <w:color w:val="auto"/>
                      <w:kern w:val="0"/>
                      <w:szCs w:val="21"/>
                    </w:rPr>
                    <w:t>36.5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44" w:type="dxa"/>
                  <w:vMerge w:val="continue"/>
                  <w:vAlign w:val="center"/>
                </w:tcPr>
                <w:p>
                  <w:pPr>
                    <w:widowControl/>
                    <w:jc w:val="left"/>
                    <w:rPr>
                      <w:rFonts w:eastAsiaTheme="minorEastAsia"/>
                      <w:color w:val="auto"/>
                      <w:kern w:val="0"/>
                      <w:szCs w:val="21"/>
                    </w:rPr>
                  </w:pPr>
                </w:p>
              </w:tc>
              <w:tc>
                <w:tcPr>
                  <w:tcW w:w="2144" w:type="dxa"/>
                  <w:vAlign w:val="center"/>
                </w:tcPr>
                <w:p>
                  <w:pPr>
                    <w:rPr>
                      <w:rFonts w:eastAsiaTheme="minorEastAsia"/>
                      <w:color w:val="auto"/>
                      <w:kern w:val="0"/>
                      <w:szCs w:val="21"/>
                    </w:rPr>
                  </w:pPr>
                  <w:r>
                    <w:rPr>
                      <w:rFonts w:eastAsiaTheme="minorEastAsia"/>
                      <w:color w:val="auto"/>
                      <w:kern w:val="0"/>
                      <w:szCs w:val="21"/>
                    </w:rPr>
                    <w:t>极端最低</w:t>
                  </w:r>
                </w:p>
              </w:tc>
              <w:tc>
                <w:tcPr>
                  <w:tcW w:w="2220" w:type="dxa"/>
                  <w:vAlign w:val="center"/>
                </w:tcPr>
                <w:p>
                  <w:pPr>
                    <w:rPr>
                      <w:rFonts w:eastAsiaTheme="minorEastAsia"/>
                      <w:color w:val="auto"/>
                      <w:kern w:val="0"/>
                      <w:szCs w:val="21"/>
                    </w:rPr>
                  </w:pPr>
                  <w:r>
                    <w:rPr>
                      <w:rFonts w:hint="eastAsia" w:ascii="宋体" w:hAnsi="宋体" w:cs="宋体"/>
                      <w:color w:val="auto"/>
                      <w:kern w:val="0"/>
                      <w:szCs w:val="21"/>
                    </w:rPr>
                    <w:t>℃</w:t>
                  </w:r>
                </w:p>
              </w:tc>
              <w:tc>
                <w:tcPr>
                  <w:tcW w:w="2387" w:type="dxa"/>
                  <w:vAlign w:val="center"/>
                </w:tcPr>
                <w:p>
                  <w:pPr>
                    <w:rPr>
                      <w:rFonts w:eastAsiaTheme="minorEastAsia"/>
                      <w:color w:val="auto"/>
                      <w:kern w:val="0"/>
                      <w:szCs w:val="21"/>
                    </w:rPr>
                  </w:pPr>
                  <w:r>
                    <w:rPr>
                      <w:rFonts w:eastAsiaTheme="minorEastAsia"/>
                      <w:color w:val="auto"/>
                      <w:kern w:val="0"/>
                      <w:szCs w:val="21"/>
                    </w:rPr>
                    <w:t>-25.4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88" w:type="dxa"/>
                  <w:gridSpan w:val="2"/>
                  <w:vAlign w:val="center"/>
                </w:tcPr>
                <w:p>
                  <w:pPr>
                    <w:rPr>
                      <w:rFonts w:eastAsiaTheme="minorEastAsia"/>
                      <w:color w:val="auto"/>
                      <w:kern w:val="0"/>
                      <w:szCs w:val="21"/>
                    </w:rPr>
                  </w:pPr>
                  <w:r>
                    <w:rPr>
                      <w:rFonts w:eastAsiaTheme="minorEastAsia"/>
                      <w:color w:val="auto"/>
                      <w:kern w:val="0"/>
                      <w:szCs w:val="21"/>
                    </w:rPr>
                    <w:t>年平均降水量</w:t>
                  </w:r>
                </w:p>
              </w:tc>
              <w:tc>
                <w:tcPr>
                  <w:tcW w:w="2220" w:type="dxa"/>
                  <w:vAlign w:val="center"/>
                </w:tcPr>
                <w:p>
                  <w:pPr>
                    <w:rPr>
                      <w:rFonts w:eastAsiaTheme="minorEastAsia"/>
                      <w:color w:val="auto"/>
                      <w:kern w:val="0"/>
                      <w:szCs w:val="21"/>
                    </w:rPr>
                  </w:pPr>
                  <w:r>
                    <w:rPr>
                      <w:rFonts w:eastAsiaTheme="minorEastAsia"/>
                      <w:color w:val="auto"/>
                      <w:kern w:val="0"/>
                      <w:szCs w:val="21"/>
                    </w:rPr>
                    <w:t>mm</w:t>
                  </w:r>
                </w:p>
              </w:tc>
              <w:tc>
                <w:tcPr>
                  <w:tcW w:w="2387" w:type="dxa"/>
                  <w:vAlign w:val="center"/>
                </w:tcPr>
                <w:p>
                  <w:pPr>
                    <w:rPr>
                      <w:rFonts w:eastAsiaTheme="minorEastAsia"/>
                      <w:color w:val="auto"/>
                      <w:kern w:val="0"/>
                      <w:szCs w:val="21"/>
                    </w:rPr>
                  </w:pPr>
                  <w:r>
                    <w:rPr>
                      <w:rFonts w:eastAsiaTheme="minorEastAsia"/>
                      <w:color w:val="auto"/>
                      <w:spacing w:val="6"/>
                      <w:kern w:val="28"/>
                      <w:sz w:val="24"/>
                    </w:rPr>
                    <w:t>565.9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88" w:type="dxa"/>
                  <w:gridSpan w:val="2"/>
                  <w:vAlign w:val="center"/>
                </w:tcPr>
                <w:p>
                  <w:pPr>
                    <w:rPr>
                      <w:rFonts w:eastAsiaTheme="minorEastAsia"/>
                      <w:color w:val="auto"/>
                      <w:kern w:val="0"/>
                      <w:szCs w:val="21"/>
                    </w:rPr>
                  </w:pPr>
                  <w:r>
                    <w:rPr>
                      <w:rFonts w:eastAsiaTheme="minorEastAsia"/>
                      <w:color w:val="auto"/>
                      <w:kern w:val="0"/>
                      <w:szCs w:val="21"/>
                    </w:rPr>
                    <w:t>年平均蒸发量</w:t>
                  </w:r>
                </w:p>
              </w:tc>
              <w:tc>
                <w:tcPr>
                  <w:tcW w:w="2220" w:type="dxa"/>
                  <w:vAlign w:val="center"/>
                </w:tcPr>
                <w:p>
                  <w:pPr>
                    <w:rPr>
                      <w:rFonts w:eastAsiaTheme="minorEastAsia"/>
                      <w:color w:val="auto"/>
                      <w:kern w:val="0"/>
                      <w:szCs w:val="21"/>
                    </w:rPr>
                  </w:pPr>
                  <w:r>
                    <w:rPr>
                      <w:rFonts w:eastAsiaTheme="minorEastAsia"/>
                      <w:color w:val="auto"/>
                      <w:kern w:val="0"/>
                      <w:szCs w:val="21"/>
                    </w:rPr>
                    <w:t>mm</w:t>
                  </w:r>
                </w:p>
              </w:tc>
              <w:tc>
                <w:tcPr>
                  <w:tcW w:w="2387" w:type="dxa"/>
                  <w:vAlign w:val="center"/>
                </w:tcPr>
                <w:p>
                  <w:pPr>
                    <w:rPr>
                      <w:rFonts w:eastAsiaTheme="minorEastAsia"/>
                      <w:color w:val="auto"/>
                      <w:kern w:val="0"/>
                      <w:szCs w:val="21"/>
                    </w:rPr>
                  </w:pPr>
                  <w:r>
                    <w:rPr>
                      <w:rFonts w:eastAsiaTheme="minorEastAsia"/>
                      <w:color w:val="auto"/>
                      <w:kern w:val="0"/>
                      <w:szCs w:val="21"/>
                    </w:rPr>
                    <w:t>1442.6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44" w:type="dxa"/>
                  <w:vMerge w:val="restart"/>
                  <w:vAlign w:val="center"/>
                </w:tcPr>
                <w:p>
                  <w:pPr>
                    <w:rPr>
                      <w:rFonts w:eastAsiaTheme="minorEastAsia"/>
                      <w:color w:val="auto"/>
                      <w:kern w:val="0"/>
                      <w:szCs w:val="21"/>
                    </w:rPr>
                  </w:pPr>
                  <w:r>
                    <w:rPr>
                      <w:rFonts w:eastAsiaTheme="minorEastAsia"/>
                      <w:color w:val="auto"/>
                      <w:kern w:val="0"/>
                      <w:szCs w:val="21"/>
                    </w:rPr>
                    <w:t>风速</w:t>
                  </w:r>
                </w:p>
              </w:tc>
              <w:tc>
                <w:tcPr>
                  <w:tcW w:w="2144" w:type="dxa"/>
                  <w:vAlign w:val="center"/>
                </w:tcPr>
                <w:p>
                  <w:pPr>
                    <w:rPr>
                      <w:rFonts w:eastAsiaTheme="minorEastAsia"/>
                      <w:color w:val="auto"/>
                      <w:kern w:val="0"/>
                      <w:szCs w:val="21"/>
                    </w:rPr>
                  </w:pPr>
                  <w:r>
                    <w:rPr>
                      <w:rFonts w:eastAsiaTheme="minorEastAsia"/>
                      <w:color w:val="auto"/>
                      <w:kern w:val="0"/>
                      <w:szCs w:val="21"/>
                    </w:rPr>
                    <w:t>平均</w:t>
                  </w:r>
                </w:p>
              </w:tc>
              <w:tc>
                <w:tcPr>
                  <w:tcW w:w="2220" w:type="dxa"/>
                  <w:vAlign w:val="center"/>
                </w:tcPr>
                <w:p>
                  <w:pPr>
                    <w:rPr>
                      <w:rFonts w:eastAsiaTheme="minorEastAsia"/>
                      <w:color w:val="auto"/>
                      <w:kern w:val="0"/>
                      <w:szCs w:val="21"/>
                    </w:rPr>
                  </w:pPr>
                  <w:r>
                    <w:rPr>
                      <w:rFonts w:eastAsiaTheme="minorEastAsia"/>
                      <w:color w:val="auto"/>
                      <w:kern w:val="0"/>
                      <w:szCs w:val="21"/>
                    </w:rPr>
                    <w:t>m/s</w:t>
                  </w:r>
                </w:p>
              </w:tc>
              <w:tc>
                <w:tcPr>
                  <w:tcW w:w="2387" w:type="dxa"/>
                  <w:vAlign w:val="center"/>
                </w:tcPr>
                <w:p>
                  <w:pPr>
                    <w:rPr>
                      <w:rFonts w:eastAsiaTheme="minorEastAsia"/>
                      <w:color w:val="auto"/>
                      <w:kern w:val="0"/>
                      <w:szCs w:val="21"/>
                    </w:rPr>
                  </w:pPr>
                  <w:r>
                    <w:rPr>
                      <w:rFonts w:eastAsiaTheme="minorEastAsia"/>
                      <w:color w:val="auto"/>
                      <w:kern w:val="0"/>
                      <w:szCs w:val="21"/>
                    </w:rPr>
                    <w:t>1.93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44" w:type="dxa"/>
                  <w:vMerge w:val="continue"/>
                  <w:vAlign w:val="center"/>
                </w:tcPr>
                <w:p>
                  <w:pPr>
                    <w:widowControl/>
                    <w:jc w:val="left"/>
                    <w:rPr>
                      <w:rFonts w:eastAsiaTheme="minorEastAsia"/>
                      <w:color w:val="auto"/>
                      <w:kern w:val="0"/>
                      <w:szCs w:val="21"/>
                    </w:rPr>
                  </w:pPr>
                </w:p>
              </w:tc>
              <w:tc>
                <w:tcPr>
                  <w:tcW w:w="2144" w:type="dxa"/>
                  <w:vAlign w:val="center"/>
                </w:tcPr>
                <w:p>
                  <w:pPr>
                    <w:rPr>
                      <w:rFonts w:eastAsiaTheme="minorEastAsia"/>
                      <w:color w:val="auto"/>
                      <w:kern w:val="0"/>
                      <w:szCs w:val="21"/>
                    </w:rPr>
                  </w:pPr>
                  <w:r>
                    <w:rPr>
                      <w:rFonts w:eastAsiaTheme="minorEastAsia"/>
                      <w:color w:val="auto"/>
                      <w:kern w:val="0"/>
                      <w:szCs w:val="21"/>
                    </w:rPr>
                    <w:t>主导风向</w:t>
                  </w:r>
                </w:p>
              </w:tc>
              <w:tc>
                <w:tcPr>
                  <w:tcW w:w="2220" w:type="dxa"/>
                  <w:vAlign w:val="center"/>
                </w:tcPr>
                <w:p>
                  <w:pPr>
                    <w:rPr>
                      <w:rFonts w:eastAsiaTheme="minorEastAsia"/>
                      <w:color w:val="auto"/>
                      <w:szCs w:val="21"/>
                    </w:rPr>
                  </w:pPr>
                  <w:r>
                    <w:rPr>
                      <w:rFonts w:eastAsiaTheme="minorEastAsia"/>
                      <w:color w:val="auto"/>
                      <w:szCs w:val="21"/>
                    </w:rPr>
                    <w:t>/</w:t>
                  </w:r>
                </w:p>
              </w:tc>
              <w:tc>
                <w:tcPr>
                  <w:tcW w:w="2387" w:type="dxa"/>
                  <w:vAlign w:val="center"/>
                </w:tcPr>
                <w:p>
                  <w:pPr>
                    <w:rPr>
                      <w:rFonts w:eastAsiaTheme="minorEastAsia"/>
                      <w:color w:val="auto"/>
                      <w:kern w:val="0"/>
                      <w:szCs w:val="21"/>
                    </w:rPr>
                  </w:pPr>
                  <w:r>
                    <w:rPr>
                      <w:rFonts w:eastAsiaTheme="minorEastAsia"/>
                      <w:color w:val="auto"/>
                      <w:kern w:val="0"/>
                      <w:szCs w:val="21"/>
                    </w:rPr>
                    <w:t>NNW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88" w:type="dxa"/>
                  <w:gridSpan w:val="2"/>
                  <w:vAlign w:val="center"/>
                </w:tcPr>
                <w:p>
                  <w:pPr>
                    <w:rPr>
                      <w:rFonts w:eastAsiaTheme="minorEastAsia"/>
                      <w:color w:val="auto"/>
                      <w:kern w:val="0"/>
                      <w:szCs w:val="21"/>
                    </w:rPr>
                  </w:pPr>
                  <w:r>
                    <w:rPr>
                      <w:rFonts w:eastAsiaTheme="minorEastAsia"/>
                      <w:color w:val="auto"/>
                      <w:kern w:val="0"/>
                      <w:szCs w:val="21"/>
                    </w:rPr>
                    <w:t>日照时数</w:t>
                  </w:r>
                </w:p>
              </w:tc>
              <w:tc>
                <w:tcPr>
                  <w:tcW w:w="2220" w:type="dxa"/>
                  <w:vAlign w:val="center"/>
                </w:tcPr>
                <w:p>
                  <w:pPr>
                    <w:rPr>
                      <w:rFonts w:eastAsiaTheme="minorEastAsia"/>
                      <w:color w:val="auto"/>
                      <w:kern w:val="0"/>
                      <w:szCs w:val="21"/>
                    </w:rPr>
                  </w:pPr>
                  <w:r>
                    <w:rPr>
                      <w:rFonts w:eastAsiaTheme="minorEastAsia"/>
                      <w:color w:val="auto"/>
                      <w:kern w:val="0"/>
                      <w:szCs w:val="21"/>
                    </w:rPr>
                    <w:t>h</w:t>
                  </w:r>
                </w:p>
              </w:tc>
              <w:tc>
                <w:tcPr>
                  <w:tcW w:w="2387" w:type="dxa"/>
                  <w:vAlign w:val="center"/>
                </w:tcPr>
                <w:p>
                  <w:pPr>
                    <w:rPr>
                      <w:rFonts w:eastAsiaTheme="minorEastAsia"/>
                      <w:color w:val="auto"/>
                      <w:kern w:val="0"/>
                      <w:szCs w:val="21"/>
                    </w:rPr>
                  </w:pPr>
                  <w:r>
                    <w:rPr>
                      <w:rFonts w:eastAsiaTheme="minorEastAsia"/>
                      <w:color w:val="auto"/>
                      <w:kern w:val="0"/>
                      <w:szCs w:val="21"/>
                    </w:rPr>
                    <w:t>2369.1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88" w:type="dxa"/>
                  <w:gridSpan w:val="2"/>
                  <w:vAlign w:val="center"/>
                </w:tcPr>
                <w:p>
                  <w:pPr>
                    <w:rPr>
                      <w:rFonts w:eastAsiaTheme="minorEastAsia"/>
                      <w:color w:val="auto"/>
                      <w:kern w:val="0"/>
                      <w:szCs w:val="21"/>
                    </w:rPr>
                  </w:pPr>
                  <w:r>
                    <w:rPr>
                      <w:rFonts w:eastAsiaTheme="minorEastAsia"/>
                      <w:color w:val="auto"/>
                      <w:kern w:val="0"/>
                      <w:szCs w:val="21"/>
                    </w:rPr>
                    <w:t>无霜期</w:t>
                  </w:r>
                </w:p>
              </w:tc>
              <w:tc>
                <w:tcPr>
                  <w:tcW w:w="2220" w:type="dxa"/>
                  <w:vAlign w:val="center"/>
                </w:tcPr>
                <w:p>
                  <w:pPr>
                    <w:rPr>
                      <w:rFonts w:eastAsiaTheme="minorEastAsia"/>
                      <w:color w:val="auto"/>
                      <w:kern w:val="0"/>
                      <w:szCs w:val="21"/>
                    </w:rPr>
                  </w:pPr>
                  <w:r>
                    <w:rPr>
                      <w:rFonts w:eastAsiaTheme="minorEastAsia"/>
                      <w:color w:val="auto"/>
                      <w:kern w:val="0"/>
                      <w:szCs w:val="21"/>
                    </w:rPr>
                    <w:t>d</w:t>
                  </w:r>
                </w:p>
              </w:tc>
              <w:tc>
                <w:tcPr>
                  <w:tcW w:w="2387" w:type="dxa"/>
                  <w:vAlign w:val="center"/>
                </w:tcPr>
                <w:p>
                  <w:pPr>
                    <w:rPr>
                      <w:rFonts w:eastAsiaTheme="minorEastAsia"/>
                      <w:color w:val="auto"/>
                      <w:kern w:val="0"/>
                      <w:szCs w:val="21"/>
                    </w:rPr>
                  </w:pPr>
                  <w:r>
                    <w:rPr>
                      <w:rFonts w:eastAsiaTheme="minorEastAsia"/>
                      <w:color w:val="auto"/>
                      <w:kern w:val="0"/>
                      <w:szCs w:val="21"/>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88" w:type="dxa"/>
                  <w:gridSpan w:val="2"/>
                  <w:vAlign w:val="center"/>
                </w:tcPr>
                <w:p>
                  <w:pPr>
                    <w:rPr>
                      <w:rFonts w:eastAsiaTheme="minorEastAsia"/>
                      <w:color w:val="auto"/>
                      <w:kern w:val="0"/>
                      <w:szCs w:val="21"/>
                    </w:rPr>
                  </w:pPr>
                  <w:r>
                    <w:rPr>
                      <w:rFonts w:eastAsiaTheme="minorEastAsia"/>
                      <w:color w:val="auto"/>
                      <w:kern w:val="0"/>
                      <w:szCs w:val="21"/>
                    </w:rPr>
                    <w:t>最大冻深</w:t>
                  </w:r>
                </w:p>
              </w:tc>
              <w:tc>
                <w:tcPr>
                  <w:tcW w:w="2220" w:type="dxa"/>
                  <w:vAlign w:val="center"/>
                </w:tcPr>
                <w:p>
                  <w:pPr>
                    <w:rPr>
                      <w:rFonts w:eastAsiaTheme="minorEastAsia"/>
                      <w:color w:val="auto"/>
                      <w:kern w:val="0"/>
                      <w:szCs w:val="21"/>
                    </w:rPr>
                  </w:pPr>
                  <w:r>
                    <w:rPr>
                      <w:rFonts w:eastAsiaTheme="minorEastAsia"/>
                      <w:color w:val="auto"/>
                      <w:kern w:val="0"/>
                      <w:szCs w:val="21"/>
                    </w:rPr>
                    <w:t>cm</w:t>
                  </w:r>
                </w:p>
              </w:tc>
              <w:tc>
                <w:tcPr>
                  <w:tcW w:w="2387" w:type="dxa"/>
                  <w:vAlign w:val="center"/>
                </w:tcPr>
                <w:p>
                  <w:pPr>
                    <w:rPr>
                      <w:rFonts w:eastAsiaTheme="minorEastAsia"/>
                      <w:color w:val="auto"/>
                      <w:kern w:val="0"/>
                      <w:szCs w:val="21"/>
                    </w:rPr>
                  </w:pPr>
                  <w:r>
                    <w:rPr>
                      <w:rFonts w:eastAsiaTheme="minorEastAsia"/>
                      <w:color w:val="auto"/>
                      <w:kern w:val="0"/>
                      <w:szCs w:val="21"/>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88" w:type="dxa"/>
                  <w:gridSpan w:val="2"/>
                  <w:vAlign w:val="center"/>
                </w:tcPr>
                <w:p>
                  <w:pPr>
                    <w:rPr>
                      <w:rFonts w:eastAsiaTheme="minorEastAsia"/>
                      <w:color w:val="auto"/>
                      <w:kern w:val="0"/>
                      <w:szCs w:val="21"/>
                    </w:rPr>
                  </w:pPr>
                  <w:r>
                    <w:rPr>
                      <w:rFonts w:eastAsiaTheme="minorEastAsia"/>
                      <w:color w:val="auto"/>
                      <w:kern w:val="0"/>
                      <w:szCs w:val="21"/>
                    </w:rPr>
                    <w:t>相对湿度</w:t>
                  </w:r>
                </w:p>
              </w:tc>
              <w:tc>
                <w:tcPr>
                  <w:tcW w:w="2220" w:type="dxa"/>
                  <w:vAlign w:val="center"/>
                </w:tcPr>
                <w:p>
                  <w:pPr>
                    <w:rPr>
                      <w:rFonts w:eastAsiaTheme="minorEastAsia"/>
                      <w:color w:val="auto"/>
                      <w:kern w:val="0"/>
                      <w:szCs w:val="21"/>
                    </w:rPr>
                  </w:pPr>
                  <w:r>
                    <w:rPr>
                      <w:rFonts w:eastAsiaTheme="minorEastAsia"/>
                      <w:color w:val="auto"/>
                      <w:kern w:val="0"/>
                      <w:szCs w:val="21"/>
                    </w:rPr>
                    <w:t>%</w:t>
                  </w:r>
                </w:p>
              </w:tc>
              <w:tc>
                <w:tcPr>
                  <w:tcW w:w="2387" w:type="dxa"/>
                  <w:vAlign w:val="center"/>
                </w:tcPr>
                <w:p>
                  <w:pPr>
                    <w:rPr>
                      <w:rFonts w:eastAsiaTheme="minorEastAsia"/>
                      <w:color w:val="auto"/>
                      <w:kern w:val="0"/>
                      <w:szCs w:val="21"/>
                    </w:rPr>
                  </w:pPr>
                  <w:r>
                    <w:rPr>
                      <w:rFonts w:eastAsiaTheme="minorEastAsia"/>
                      <w:color w:val="auto"/>
                      <w:kern w:val="0"/>
                      <w:szCs w:val="21"/>
                    </w:rPr>
                    <w:t>62</w:t>
                  </w:r>
                </w:p>
              </w:tc>
            </w:tr>
          </w:tbl>
          <w:p>
            <w:pPr>
              <w:adjustRightInd w:val="0"/>
              <w:snapToGrid w:val="0"/>
              <w:spacing w:line="360" w:lineRule="auto"/>
              <w:ind w:firstLine="1063" w:firstLineChars="422"/>
              <w:rPr>
                <w:rFonts w:eastAsiaTheme="minorEastAsia"/>
                <w:color w:val="auto"/>
                <w:spacing w:val="6"/>
                <w:kern w:val="28"/>
                <w:sz w:val="24"/>
              </w:rPr>
            </w:pPr>
          </w:p>
          <w:p>
            <w:pPr>
              <w:adjustRightInd w:val="0"/>
              <w:snapToGrid w:val="0"/>
              <w:spacing w:line="360" w:lineRule="auto"/>
              <w:ind w:firstLine="482" w:firstLineChars="200"/>
              <w:rPr>
                <w:rFonts w:eastAsiaTheme="minorEastAsia"/>
                <w:b/>
                <w:color w:val="auto"/>
                <w:sz w:val="24"/>
              </w:rPr>
            </w:pPr>
            <w:r>
              <w:rPr>
                <w:rFonts w:eastAsiaTheme="minorEastAsia"/>
                <w:b/>
                <w:color w:val="auto"/>
                <w:sz w:val="24"/>
              </w:rPr>
              <w:t>1.5水文</w:t>
            </w:r>
          </w:p>
          <w:p>
            <w:pPr>
              <w:adjustRightInd w:val="0"/>
              <w:snapToGrid w:val="0"/>
              <w:spacing w:line="360" w:lineRule="auto"/>
              <w:ind w:firstLine="504" w:firstLineChars="200"/>
              <w:rPr>
                <w:rFonts w:eastAsiaTheme="minorEastAsia"/>
                <w:color w:val="auto"/>
                <w:spacing w:val="6"/>
                <w:kern w:val="28"/>
                <w:sz w:val="24"/>
              </w:rPr>
            </w:pPr>
            <w:r>
              <w:rPr>
                <w:rFonts w:eastAsiaTheme="minorEastAsia"/>
                <w:color w:val="auto"/>
                <w:spacing w:val="6"/>
                <w:kern w:val="28"/>
                <w:sz w:val="24"/>
              </w:rPr>
              <w:t>马莲河自北向南穿县而过，为宁县最主要河流。宁县河川径流水资源总量为 1.6589亿m</w:t>
            </w:r>
            <w:r>
              <w:rPr>
                <w:rFonts w:eastAsiaTheme="minorEastAsia"/>
                <w:color w:val="auto"/>
                <w:spacing w:val="6"/>
                <w:kern w:val="28"/>
                <w:sz w:val="24"/>
                <w:vertAlign w:val="superscript"/>
              </w:rPr>
              <w:t>3</w:t>
            </w:r>
            <w:r>
              <w:rPr>
                <w:rFonts w:eastAsiaTheme="minorEastAsia"/>
                <w:color w:val="auto"/>
                <w:spacing w:val="6"/>
                <w:kern w:val="28"/>
                <w:sz w:val="24"/>
              </w:rPr>
              <w:t>，人均水资源占有量为326.9m</w:t>
            </w:r>
            <w:r>
              <w:rPr>
                <w:rFonts w:eastAsiaTheme="minorEastAsia"/>
                <w:color w:val="auto"/>
                <w:spacing w:val="6"/>
                <w:kern w:val="28"/>
                <w:sz w:val="24"/>
                <w:vertAlign w:val="superscript"/>
              </w:rPr>
              <w:t>3</w:t>
            </w:r>
            <w:r>
              <w:rPr>
                <w:rFonts w:eastAsiaTheme="minorEastAsia"/>
                <w:color w:val="auto"/>
                <w:spacing w:val="6"/>
                <w:kern w:val="28"/>
                <w:sz w:val="24"/>
              </w:rPr>
              <w:t>，分别是全国和全省平均水平的15.5%，26.2%，水资源亩均占有量171 m，是全国和全省平均水平的7.73%、24.8%。</w:t>
            </w:r>
          </w:p>
          <w:p>
            <w:pPr>
              <w:adjustRightInd w:val="0"/>
              <w:snapToGrid w:val="0"/>
              <w:spacing w:line="360" w:lineRule="auto"/>
              <w:ind w:firstLine="482" w:firstLineChars="200"/>
              <w:rPr>
                <w:rFonts w:eastAsiaTheme="minorEastAsia"/>
                <w:b/>
                <w:color w:val="auto"/>
                <w:sz w:val="24"/>
              </w:rPr>
            </w:pPr>
            <w:r>
              <w:rPr>
                <w:rFonts w:eastAsiaTheme="minorEastAsia"/>
                <w:b/>
                <w:color w:val="auto"/>
                <w:sz w:val="24"/>
              </w:rPr>
              <w:t>1.6历史沿革</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境内有昭君出塞驻跸的绣花楼，秦直古道、习仲勋故居遗址。同时梁掌曾是新宁县人民政府驻地，历史上著名的梁掌会议在麻子掌召开，是陇东早期革命活动阵地之一，有着光荣的革命历史</w:t>
            </w:r>
          </w:p>
          <w:p>
            <w:pPr>
              <w:pStyle w:val="4"/>
              <w:spacing w:before="0" w:after="0" w:line="360" w:lineRule="auto"/>
              <w:ind w:firstLine="482" w:firstLineChars="200"/>
              <w:rPr>
                <w:color w:val="auto"/>
                <w:sz w:val="24"/>
                <w:szCs w:val="24"/>
              </w:rPr>
            </w:pPr>
            <w:r>
              <w:rPr>
                <w:color w:val="auto"/>
                <w:sz w:val="24"/>
                <w:szCs w:val="24"/>
              </w:rPr>
              <w:t>1.7地质简况</w:t>
            </w:r>
          </w:p>
          <w:p>
            <w:pPr>
              <w:pStyle w:val="186"/>
              <w:rPr>
                <w:rFonts w:cs="Times New Roman"/>
                <w:color w:val="auto"/>
                <w:lang w:val="zh-CN"/>
              </w:rPr>
            </w:pPr>
            <w:r>
              <w:rPr>
                <w:rFonts w:cs="Times New Roman"/>
                <w:color w:val="auto"/>
                <w:szCs w:val="24"/>
                <w:lang w:val="zh-CN"/>
              </w:rPr>
              <w:t>鄂尔多斯盆地三叠系延长组发育内陆湖泊-三角洲碎屑沉积体系，湖盆经历了发展、兴盛、衰亡的过程，深湖、半深湖相暗色泥岩、油页岩有机质丰富，尤其是中、下部长4+5、长7层，湖盆中心烃源岩厚度达50m～100m，既是良好的生油岩，又是区域盖层；沿湖相边缘发育的三角洲前缘</w:t>
            </w:r>
            <w:r>
              <w:rPr>
                <w:rFonts w:cs="Times New Roman"/>
                <w:color w:val="auto"/>
                <w:lang w:val="zh-CN"/>
              </w:rPr>
              <w:t>砂体、三角洲分流河道砂体为良好的油气储层，由于纵向沉积的多旋回性和横向上沉积相带的变化，浅湖相砂泥岩或三角洲分流间湾泥质岩为延长组大面积、多层系复合岩性圈闭的形成创造了条件。使延长组成为主要含油层系，平面上延长组可划分为两大沉积体系，即北东沉积体系和南西沉积体系，纵向上可划分为三期储盖组合，即长8～长7期储盖组合，长6～长4+5期储盖组合，长3～长1期储盖组合。</w:t>
            </w:r>
          </w:p>
          <w:p>
            <w:pPr>
              <w:pStyle w:val="186"/>
              <w:rPr>
                <w:rFonts w:cs="Times New Roman"/>
                <w:color w:val="auto"/>
                <w:lang w:val="zh-CN"/>
              </w:rPr>
            </w:pPr>
            <w:r>
              <w:rPr>
                <w:rFonts w:cs="Times New Roman"/>
                <w:color w:val="auto"/>
                <w:lang w:val="zh-CN"/>
              </w:rPr>
              <w:t>三叠系时受北东物源控制，发育了一套以碎屑岩为主的辨状河三角洲～湖相沉积体系，经过长7期湖盆的扩张后，开始收缩，到长3期湖盆收缩较快，其沉积环境从大面积的水下沉积演变为水上沉积，直至深湖相消失，全部演变为浅湖相的沉积。侏罗纪时，由于盆地的整体抬升，局部缺失长2、长1地层。</w:t>
            </w:r>
          </w:p>
          <w:p>
            <w:pPr>
              <w:pStyle w:val="186"/>
              <w:rPr>
                <w:rFonts w:cs="Times New Roman"/>
                <w:color w:val="auto"/>
                <w:lang w:val="zh-CN"/>
              </w:rPr>
            </w:pPr>
            <w:r>
              <w:rPr>
                <w:rFonts w:cs="Times New Roman"/>
                <w:color w:val="auto"/>
                <w:lang w:val="zh-CN"/>
              </w:rPr>
              <w:t>富县组及延安组下部延10地层属侏罗系早期的河流充填式沉积，对印支运动所形成的沟谷纵横的地貌起到填平补齐的作用。沟谷中主要为一套粗粒序的砂岩沉积，而高地腹部局部地区缺失延10地层，之后地貌逐渐夷平，发育了一套中细砂岩、砂泥岩及煤系地层等泛滥平原河流相沉积。古河的下切形成了下部油气向上运移的良好通道，古高地和斜坡区的河道砂岩是油气的储集体，泛滥平原沉积的泥岩及煤等细粒沉积则成为油气的遮挡条件，这些条件与西倾单斜上发育的低幅度鼻状构造相配合，在局部形成众多的延安组小型油气富集区。</w:t>
            </w:r>
          </w:p>
          <w:p>
            <w:pPr>
              <w:pStyle w:val="186"/>
              <w:rPr>
                <w:rFonts w:cs="Times New Roman"/>
                <w:color w:val="auto"/>
              </w:rPr>
            </w:pPr>
            <w:r>
              <w:rPr>
                <w:rFonts w:cs="Times New Roman"/>
                <w:color w:val="auto"/>
              </w:rPr>
              <w:t>从侏罗纪早期充填性河流相开始到延安组煤系地层结束是鄂尔多斯内陆坳陷盆地的第二沉积阶段，盆地中部为汇水区，沉积中心与沉降中心基本一致。早侏罗世早期，沿沟谷发育了古甘陕水系，沉积了厚20～260m呈树枝状展布的近3×104km2的河道砂体，此时气候一度干旱，出现了红层。随着侏罗系早期沉积物的充填，鄂尔多斯盆地渐趋平原化，气候转向温暖潮湿，植被茂密，湖塘、沼泽星罗棋布，形成广泛分布的延安组河流与沼泽相的煤系地层，而在盆地东部，西起华池，东至延安，北抵志丹，南达富县这些范围内出现浅水湖泊环境。</w:t>
            </w:r>
          </w:p>
          <w:p>
            <w:pPr>
              <w:pStyle w:val="186"/>
              <w:rPr>
                <w:rFonts w:cs="Times New Roman"/>
                <w:color w:val="auto"/>
              </w:rPr>
            </w:pPr>
            <w:r>
              <w:rPr>
                <w:rFonts w:cs="Times New Roman"/>
                <w:color w:val="auto"/>
              </w:rPr>
              <w:t>延安组</w:t>
            </w:r>
            <w:r>
              <w:rPr>
                <w:rFonts w:cs="Times New Roman"/>
                <w:color w:val="auto"/>
                <w:lang w:val="zh-CN"/>
              </w:rPr>
              <w:t>延9、延8</w:t>
            </w:r>
            <w:r>
              <w:rPr>
                <w:rFonts w:cs="Times New Roman"/>
                <w:color w:val="auto"/>
              </w:rPr>
              <w:t>为一套含煤岩系，属于河流-三角洲相沉积，在纵向上为砂岩、泥岩、煤或炭质泥岩组成的进积型多旋回沉积。岩石矿物学特征以灰白色、浅灰色长石质石英砂岩为主，岩石结构成熟度较好。高岭土质空隙型胶结，可见较多的白云母片，砂岩储油物性较好。</w:t>
            </w:r>
          </w:p>
          <w:p>
            <w:pPr>
              <w:pStyle w:val="186"/>
              <w:rPr>
                <w:rFonts w:cs="Times New Roman"/>
                <w:color w:val="auto"/>
              </w:rPr>
            </w:pPr>
            <w:r>
              <w:rPr>
                <w:rFonts w:cs="Times New Roman"/>
                <w:color w:val="auto"/>
              </w:rPr>
              <w:t>陕北延长组长6接受以北及东北方向为主的物源沉积，主要发育河控三角洲沉积体系，通过岩心观察、薄片鉴定、沉积构造和测井曲线响应等综合分析，认为长6油层组由早期的半深湖沉积、过渡为三角洲前缘沉积，经历了一个湖退的过程，骨架砂体为三角洲前缘的水下分流河道，分流河道砂体之间为分流间湾。</w:t>
            </w:r>
          </w:p>
          <w:p>
            <w:pPr>
              <w:adjustRightInd w:val="0"/>
              <w:snapToGrid w:val="0"/>
              <w:spacing w:line="360" w:lineRule="auto"/>
              <w:ind w:firstLine="482" w:firstLineChars="200"/>
              <w:rPr>
                <w:rFonts w:eastAsiaTheme="minorEastAsia"/>
                <w:b/>
                <w:color w:val="auto"/>
                <w:sz w:val="24"/>
              </w:rPr>
            </w:pPr>
            <w:r>
              <w:rPr>
                <w:rFonts w:eastAsiaTheme="minorEastAsia"/>
                <w:b/>
                <w:color w:val="auto"/>
                <w:sz w:val="24"/>
              </w:rPr>
              <w:t>2、经济社会</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乡党政领导班子针对“一川一塬”的地理特征，以科学发展观为指导，紧盯一个目标（突出项目带动发展），实施两大战略（产业富民、劳务富民），推进三项建设（党的建设、环境建设、基础设施建设），实现四个增长（经济总量、财政收入、农民人均纯收入、乡域经济总体实力），努力促进种植业与养殖业、城镇与农村、经济与社会、人与自然协调发展。全乡逐步形成了“塬面苹果和马铃薯，川区地膜大秋和苗木，全乡劳务、草畜和中药材”的产业格局。</w:t>
            </w:r>
          </w:p>
          <w:p>
            <w:pPr>
              <w:adjustRightInd w:val="0"/>
              <w:snapToGrid w:val="0"/>
              <w:spacing w:line="360" w:lineRule="auto"/>
              <w:ind w:firstLine="480" w:firstLineChars="200"/>
              <w:rPr>
                <w:rFonts w:eastAsiaTheme="minorEastAsia"/>
                <w:color w:val="auto"/>
                <w:sz w:val="24"/>
              </w:rPr>
            </w:pPr>
          </w:p>
          <w:p>
            <w:pPr>
              <w:adjustRightInd w:val="0"/>
              <w:snapToGrid w:val="0"/>
              <w:spacing w:line="360" w:lineRule="auto"/>
              <w:jc w:val="left"/>
              <w:rPr>
                <w:rFonts w:eastAsiaTheme="minorEastAsia"/>
                <w:color w:val="auto"/>
                <w:sz w:val="24"/>
              </w:rPr>
            </w:pPr>
          </w:p>
        </w:tc>
      </w:tr>
    </w:tbl>
    <w:p>
      <w:pPr>
        <w:adjustRightInd w:val="0"/>
        <w:snapToGrid w:val="0"/>
        <w:rPr>
          <w:rFonts w:eastAsiaTheme="minorEastAsia"/>
          <w:b/>
          <w:color w:val="auto"/>
          <w:sz w:val="28"/>
          <w:szCs w:val="28"/>
        </w:rPr>
      </w:pPr>
      <w:r>
        <w:rPr>
          <w:rFonts w:eastAsiaTheme="minorEastAsia"/>
          <w:b/>
          <w:color w:val="auto"/>
          <w:sz w:val="28"/>
          <w:szCs w:val="28"/>
        </w:rPr>
        <w:br w:type="page"/>
      </w:r>
    </w:p>
    <w:p>
      <w:pPr>
        <w:adjustRightInd w:val="0"/>
        <w:snapToGrid w:val="0"/>
        <w:rPr>
          <w:rFonts w:eastAsiaTheme="minorEastAsia"/>
          <w:b/>
          <w:color w:val="auto"/>
          <w:sz w:val="28"/>
          <w:szCs w:val="28"/>
        </w:rPr>
      </w:pPr>
      <w:r>
        <w:rPr>
          <w:rFonts w:eastAsiaTheme="minorEastAsia"/>
          <w:b/>
          <w:color w:val="auto"/>
          <w:sz w:val="28"/>
          <w:szCs w:val="28"/>
        </w:rPr>
        <w:t>环境质量现状</w:t>
      </w:r>
    </w:p>
    <w:tbl>
      <w:tblPr>
        <w:tblStyle w:val="39"/>
        <w:tblW w:w="9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7" w:hRule="atLeast"/>
          <w:jc w:val="center"/>
        </w:trPr>
        <w:tc>
          <w:tcPr>
            <w:tcW w:w="9123" w:type="dxa"/>
          </w:tcPr>
          <w:p>
            <w:pPr>
              <w:adjustRightInd w:val="0"/>
              <w:snapToGrid w:val="0"/>
              <w:spacing w:line="360" w:lineRule="auto"/>
              <w:ind w:firstLine="482" w:firstLineChars="200"/>
              <w:rPr>
                <w:rFonts w:eastAsiaTheme="minorEastAsia"/>
                <w:b/>
                <w:color w:val="auto"/>
                <w:sz w:val="24"/>
              </w:rPr>
            </w:pPr>
            <w:r>
              <w:rPr>
                <w:rFonts w:eastAsiaTheme="minorEastAsia"/>
                <w:b/>
                <w:color w:val="auto"/>
                <w:sz w:val="24"/>
              </w:rPr>
              <w:t>建设工程所在地区域环境质量现状及主要环境问题（环境空气、地面水、地下水、声环境、生态环境等）</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根据导则要求优先采用国家或地方生态环境主管部门公开发布的评价基准年环境质量公告或环境质量报告中的数据或结论，采用生态环境主管部门公开发布的环境空气质量现状数据，城市环境空气质量达标情况评价指标为SO</w:t>
            </w:r>
            <w:r>
              <w:rPr>
                <w:rFonts w:eastAsiaTheme="minorEastAsia"/>
                <w:color w:val="auto"/>
                <w:sz w:val="24"/>
                <w:vertAlign w:val="subscript"/>
              </w:rPr>
              <w:t>2</w:t>
            </w:r>
            <w:r>
              <w:rPr>
                <w:rFonts w:eastAsiaTheme="minorEastAsia"/>
                <w:color w:val="auto"/>
                <w:sz w:val="24"/>
              </w:rPr>
              <w:t>、NO</w:t>
            </w:r>
            <w:r>
              <w:rPr>
                <w:rFonts w:eastAsiaTheme="minorEastAsia"/>
                <w:color w:val="auto"/>
                <w:sz w:val="24"/>
                <w:vertAlign w:val="subscript"/>
              </w:rPr>
              <w:t>2</w:t>
            </w:r>
            <w:r>
              <w:rPr>
                <w:rFonts w:eastAsiaTheme="minorEastAsia"/>
                <w:color w:val="auto"/>
                <w:sz w:val="24"/>
              </w:rPr>
              <w:t>、PM</w:t>
            </w:r>
            <w:r>
              <w:rPr>
                <w:rFonts w:eastAsiaTheme="minorEastAsia"/>
                <w:color w:val="auto"/>
                <w:sz w:val="24"/>
                <w:vertAlign w:val="subscript"/>
              </w:rPr>
              <w:t>10</w:t>
            </w:r>
            <w:r>
              <w:rPr>
                <w:rFonts w:eastAsiaTheme="minorEastAsia"/>
                <w:color w:val="auto"/>
                <w:sz w:val="24"/>
              </w:rPr>
              <w:t>、PM</w:t>
            </w:r>
            <w:r>
              <w:rPr>
                <w:rFonts w:eastAsiaTheme="minorEastAsia"/>
                <w:color w:val="auto"/>
                <w:sz w:val="24"/>
                <w:vertAlign w:val="subscript"/>
              </w:rPr>
              <w:t>2.5</w:t>
            </w:r>
            <w:r>
              <w:rPr>
                <w:rFonts w:eastAsiaTheme="minorEastAsia"/>
                <w:color w:val="auto"/>
                <w:sz w:val="24"/>
              </w:rPr>
              <w:t>、CO和O</w:t>
            </w:r>
            <w:r>
              <w:rPr>
                <w:rFonts w:eastAsiaTheme="minorEastAsia"/>
                <w:color w:val="auto"/>
                <w:sz w:val="24"/>
                <w:vertAlign w:val="subscript"/>
              </w:rPr>
              <w:t>3</w:t>
            </w:r>
            <w:r>
              <w:rPr>
                <w:rFonts w:eastAsiaTheme="minorEastAsia"/>
                <w:color w:val="auto"/>
                <w:sz w:val="24"/>
              </w:rPr>
              <w:t>，六项污染物全部达标即为城市环境空气质量达标。本次评价依据《2017年甘肃省环境质量公报》数据和结论。项目区域环境质量现状评价见表22</w:t>
            </w:r>
          </w:p>
          <w:p>
            <w:pPr>
              <w:adjustRightInd w:val="0"/>
              <w:snapToGrid w:val="0"/>
              <w:spacing w:line="360" w:lineRule="auto"/>
              <w:jc w:val="center"/>
              <w:rPr>
                <w:rFonts w:eastAsiaTheme="minorEastAsia"/>
                <w:b/>
                <w:color w:val="auto"/>
                <w:sz w:val="24"/>
              </w:rPr>
            </w:pPr>
            <w:r>
              <w:rPr>
                <w:rFonts w:eastAsiaTheme="minorEastAsia"/>
                <w:b/>
                <w:color w:val="auto"/>
                <w:sz w:val="24"/>
              </w:rPr>
              <w:t>表22区域环境质量现状评价表</w:t>
            </w:r>
          </w:p>
          <w:tbl>
            <w:tblPr>
              <w:tblStyle w:val="38"/>
              <w:tblW w:w="8730"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93"/>
              <w:gridCol w:w="2125"/>
              <w:gridCol w:w="1701"/>
              <w:gridCol w:w="1706"/>
              <w:gridCol w:w="1133"/>
              <w:gridCol w:w="1072"/>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04" w:hRule="atLeast"/>
                <w:jc w:val="center"/>
              </w:trPr>
              <w:tc>
                <w:tcPr>
                  <w:tcW w:w="993" w:type="dxa"/>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污染物</w:t>
                  </w:r>
                </w:p>
              </w:tc>
              <w:tc>
                <w:tcPr>
                  <w:tcW w:w="2125" w:type="dxa"/>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年评价指标</w:t>
                  </w:r>
                </w:p>
              </w:tc>
              <w:tc>
                <w:tcPr>
                  <w:tcW w:w="1701"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现状浓度</w:t>
                  </w:r>
                  <w:r>
                    <w:rPr>
                      <w:rFonts w:eastAsiaTheme="minorEastAsia"/>
                      <w:color w:val="auto"/>
                      <w:sz w:val="24"/>
                    </w:rPr>
                    <w:t>μg/m</w:t>
                  </w:r>
                  <w:r>
                    <w:rPr>
                      <w:rFonts w:eastAsiaTheme="minorEastAsia"/>
                      <w:color w:val="auto"/>
                      <w:sz w:val="24"/>
                      <w:vertAlign w:val="superscript"/>
                    </w:rPr>
                    <w:t>3</w:t>
                  </w:r>
                </w:p>
              </w:tc>
              <w:tc>
                <w:tcPr>
                  <w:tcW w:w="1706"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标准值</w:t>
                  </w:r>
                  <w:r>
                    <w:rPr>
                      <w:rFonts w:eastAsiaTheme="minorEastAsia"/>
                      <w:color w:val="auto"/>
                      <w:sz w:val="24"/>
                    </w:rPr>
                    <w:t>μg/m</w:t>
                  </w:r>
                  <w:r>
                    <w:rPr>
                      <w:rFonts w:eastAsiaTheme="minorEastAsia"/>
                      <w:color w:val="auto"/>
                      <w:sz w:val="24"/>
                      <w:vertAlign w:val="superscript"/>
                    </w:rPr>
                    <w:t>3</w:t>
                  </w:r>
                </w:p>
              </w:tc>
              <w:tc>
                <w:tcPr>
                  <w:tcW w:w="1133"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占标率%</w:t>
                  </w:r>
                </w:p>
              </w:tc>
              <w:tc>
                <w:tcPr>
                  <w:tcW w:w="1072"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达标情况</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70" w:hRule="atLeast"/>
                <w:jc w:val="center"/>
              </w:trPr>
              <w:tc>
                <w:tcPr>
                  <w:tcW w:w="993" w:type="dxa"/>
                  <w:tcMar>
                    <w:left w:w="28" w:type="dxa"/>
                    <w:right w:w="28" w:type="dxa"/>
                  </w:tcMar>
                  <w:vAlign w:val="center"/>
                </w:tcPr>
                <w:p>
                  <w:pPr>
                    <w:autoSpaceDE w:val="0"/>
                    <w:autoSpaceDN w:val="0"/>
                    <w:adjustRightInd w:val="0"/>
                    <w:spacing w:line="240" w:lineRule="atLeast"/>
                    <w:jc w:val="center"/>
                    <w:rPr>
                      <w:rFonts w:eastAsiaTheme="minorEastAsia"/>
                      <w:color w:val="auto"/>
                    </w:rPr>
                  </w:pPr>
                  <w:r>
                    <w:rPr>
                      <w:rFonts w:eastAsiaTheme="minorEastAsia"/>
                      <w:color w:val="auto"/>
                    </w:rPr>
                    <w:t>PM</w:t>
                  </w:r>
                  <w:r>
                    <w:rPr>
                      <w:rFonts w:eastAsiaTheme="minorEastAsia"/>
                      <w:color w:val="auto"/>
                      <w:vertAlign w:val="subscript"/>
                    </w:rPr>
                    <w:t>2.5</w:t>
                  </w:r>
                </w:p>
              </w:tc>
              <w:tc>
                <w:tcPr>
                  <w:tcW w:w="2125" w:type="dxa"/>
                  <w:vMerge w:val="restart"/>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2017年平均质量浓度</w:t>
                  </w:r>
                </w:p>
              </w:tc>
              <w:tc>
                <w:tcPr>
                  <w:tcW w:w="1701"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41</w:t>
                  </w:r>
                </w:p>
              </w:tc>
              <w:tc>
                <w:tcPr>
                  <w:tcW w:w="1706" w:type="dxa"/>
                  <w:vAlign w:val="center"/>
                </w:tcPr>
                <w:p>
                  <w:pPr>
                    <w:spacing w:line="240" w:lineRule="atLeast"/>
                    <w:jc w:val="center"/>
                    <w:rPr>
                      <w:rFonts w:eastAsiaTheme="minorEastAsia"/>
                      <w:color w:val="auto"/>
                    </w:rPr>
                  </w:pPr>
                  <w:r>
                    <w:rPr>
                      <w:rFonts w:eastAsiaTheme="minorEastAsia"/>
                      <w:color w:val="auto"/>
                    </w:rPr>
                    <w:t>35</w:t>
                  </w:r>
                </w:p>
              </w:tc>
              <w:tc>
                <w:tcPr>
                  <w:tcW w:w="1133"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117</w:t>
                  </w:r>
                </w:p>
              </w:tc>
              <w:tc>
                <w:tcPr>
                  <w:tcW w:w="1072" w:type="dxa"/>
                  <w:vAlign w:val="center"/>
                </w:tcPr>
                <w:p>
                  <w:pPr>
                    <w:spacing w:line="240" w:lineRule="atLeast"/>
                    <w:jc w:val="center"/>
                    <w:rPr>
                      <w:rFonts w:eastAsiaTheme="minorEastAsia"/>
                      <w:color w:val="auto"/>
                    </w:rPr>
                  </w:pPr>
                  <w:r>
                    <w:rPr>
                      <w:rFonts w:eastAsiaTheme="minorEastAsia"/>
                      <w:color w:val="auto"/>
                    </w:rPr>
                    <w:t>不达标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1" w:hRule="atLeast"/>
                <w:jc w:val="center"/>
              </w:trPr>
              <w:tc>
                <w:tcPr>
                  <w:tcW w:w="993" w:type="dxa"/>
                  <w:tcMar>
                    <w:left w:w="28" w:type="dxa"/>
                    <w:right w:w="28" w:type="dxa"/>
                  </w:tcMar>
                  <w:vAlign w:val="center"/>
                </w:tcPr>
                <w:p>
                  <w:pPr>
                    <w:autoSpaceDE w:val="0"/>
                    <w:autoSpaceDN w:val="0"/>
                    <w:adjustRightInd w:val="0"/>
                    <w:spacing w:line="240" w:lineRule="atLeast"/>
                    <w:jc w:val="center"/>
                    <w:rPr>
                      <w:rFonts w:eastAsiaTheme="minorEastAsia"/>
                      <w:color w:val="auto"/>
                    </w:rPr>
                  </w:pPr>
                  <w:r>
                    <w:rPr>
                      <w:rFonts w:eastAsiaTheme="minorEastAsia"/>
                      <w:color w:val="auto"/>
                    </w:rPr>
                    <w:t>PM</w:t>
                  </w:r>
                  <w:r>
                    <w:rPr>
                      <w:rFonts w:eastAsiaTheme="minorEastAsia"/>
                      <w:color w:val="auto"/>
                      <w:vertAlign w:val="subscript"/>
                    </w:rPr>
                    <w:t>10</w:t>
                  </w:r>
                </w:p>
              </w:tc>
              <w:tc>
                <w:tcPr>
                  <w:tcW w:w="2125"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1701"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87</w:t>
                  </w:r>
                </w:p>
              </w:tc>
              <w:tc>
                <w:tcPr>
                  <w:tcW w:w="1706" w:type="dxa"/>
                  <w:vAlign w:val="center"/>
                </w:tcPr>
                <w:p>
                  <w:pPr>
                    <w:spacing w:line="240" w:lineRule="atLeast"/>
                    <w:jc w:val="center"/>
                    <w:rPr>
                      <w:rFonts w:eastAsiaTheme="minorEastAsia"/>
                      <w:color w:val="auto"/>
                    </w:rPr>
                  </w:pPr>
                  <w:r>
                    <w:rPr>
                      <w:rFonts w:eastAsiaTheme="minorEastAsia"/>
                      <w:color w:val="auto"/>
                    </w:rPr>
                    <w:t>70</w:t>
                  </w:r>
                </w:p>
              </w:tc>
              <w:tc>
                <w:tcPr>
                  <w:tcW w:w="1133"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124</w:t>
                  </w:r>
                </w:p>
              </w:tc>
              <w:tc>
                <w:tcPr>
                  <w:tcW w:w="1072" w:type="dxa"/>
                  <w:vAlign w:val="center"/>
                </w:tcPr>
                <w:p>
                  <w:pPr>
                    <w:spacing w:line="240" w:lineRule="atLeast"/>
                    <w:jc w:val="center"/>
                    <w:rPr>
                      <w:rFonts w:eastAsiaTheme="minorEastAsia"/>
                      <w:color w:val="auto"/>
                    </w:rPr>
                  </w:pPr>
                  <w:r>
                    <w:rPr>
                      <w:rFonts w:eastAsiaTheme="minorEastAsia"/>
                      <w:color w:val="auto"/>
                    </w:rPr>
                    <w:t>不达标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80" w:hRule="atLeast"/>
                <w:jc w:val="center"/>
              </w:trPr>
              <w:tc>
                <w:tcPr>
                  <w:tcW w:w="993" w:type="dxa"/>
                  <w:tcMar>
                    <w:left w:w="28" w:type="dxa"/>
                    <w:right w:w="28" w:type="dxa"/>
                  </w:tcMar>
                  <w:vAlign w:val="center"/>
                </w:tcPr>
                <w:p>
                  <w:pPr>
                    <w:autoSpaceDE w:val="0"/>
                    <w:autoSpaceDN w:val="0"/>
                    <w:adjustRightInd w:val="0"/>
                    <w:spacing w:line="240" w:lineRule="atLeast"/>
                    <w:jc w:val="center"/>
                    <w:rPr>
                      <w:rFonts w:eastAsiaTheme="minorEastAsia"/>
                      <w:color w:val="auto"/>
                    </w:rPr>
                  </w:pPr>
                  <w:r>
                    <w:rPr>
                      <w:rFonts w:eastAsiaTheme="minorEastAsia"/>
                      <w:color w:val="auto"/>
                    </w:rPr>
                    <w:t>SO</w:t>
                  </w:r>
                  <w:r>
                    <w:rPr>
                      <w:rFonts w:eastAsiaTheme="minorEastAsia"/>
                      <w:color w:val="auto"/>
                      <w:vertAlign w:val="subscript"/>
                    </w:rPr>
                    <w:t>2</w:t>
                  </w:r>
                </w:p>
              </w:tc>
              <w:tc>
                <w:tcPr>
                  <w:tcW w:w="2125"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1701"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24</w:t>
                  </w:r>
                </w:p>
              </w:tc>
              <w:tc>
                <w:tcPr>
                  <w:tcW w:w="1706" w:type="dxa"/>
                  <w:vAlign w:val="center"/>
                </w:tcPr>
                <w:p>
                  <w:pPr>
                    <w:spacing w:line="240" w:lineRule="atLeast"/>
                    <w:jc w:val="center"/>
                    <w:rPr>
                      <w:rFonts w:eastAsiaTheme="minorEastAsia"/>
                      <w:color w:val="auto"/>
                    </w:rPr>
                  </w:pPr>
                  <w:r>
                    <w:rPr>
                      <w:rFonts w:eastAsiaTheme="minorEastAsia"/>
                      <w:color w:val="auto"/>
                    </w:rPr>
                    <w:t>60</w:t>
                  </w:r>
                </w:p>
              </w:tc>
              <w:tc>
                <w:tcPr>
                  <w:tcW w:w="1133"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40</w:t>
                  </w:r>
                </w:p>
              </w:tc>
              <w:tc>
                <w:tcPr>
                  <w:tcW w:w="1072" w:type="dxa"/>
                  <w:vAlign w:val="center"/>
                </w:tcPr>
                <w:p>
                  <w:pPr>
                    <w:spacing w:line="240" w:lineRule="atLeast"/>
                    <w:jc w:val="center"/>
                    <w:rPr>
                      <w:rFonts w:eastAsiaTheme="minorEastAsia"/>
                      <w:color w:val="auto"/>
                    </w:rPr>
                  </w:pPr>
                  <w:r>
                    <w:rPr>
                      <w:rFonts w:eastAsiaTheme="minorEastAsia"/>
                      <w:color w:val="auto"/>
                    </w:rPr>
                    <w:t>达标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6" w:hRule="atLeast"/>
                <w:jc w:val="center"/>
              </w:trPr>
              <w:tc>
                <w:tcPr>
                  <w:tcW w:w="993" w:type="dxa"/>
                  <w:tcMar>
                    <w:left w:w="28" w:type="dxa"/>
                    <w:right w:w="28" w:type="dxa"/>
                  </w:tcMar>
                  <w:vAlign w:val="center"/>
                </w:tcPr>
                <w:p>
                  <w:pPr>
                    <w:autoSpaceDE w:val="0"/>
                    <w:autoSpaceDN w:val="0"/>
                    <w:adjustRightInd w:val="0"/>
                    <w:spacing w:line="240" w:lineRule="atLeast"/>
                    <w:jc w:val="center"/>
                    <w:rPr>
                      <w:rFonts w:eastAsiaTheme="minorEastAsia"/>
                      <w:color w:val="auto"/>
                    </w:rPr>
                  </w:pPr>
                  <w:r>
                    <w:rPr>
                      <w:rFonts w:eastAsiaTheme="minorEastAsia"/>
                      <w:color w:val="auto"/>
                    </w:rPr>
                    <w:t>NO</w:t>
                  </w:r>
                  <w:r>
                    <w:rPr>
                      <w:rFonts w:eastAsiaTheme="minorEastAsia"/>
                      <w:color w:val="auto"/>
                      <w:vertAlign w:val="subscript"/>
                    </w:rPr>
                    <w:t>2</w:t>
                  </w:r>
                </w:p>
              </w:tc>
              <w:tc>
                <w:tcPr>
                  <w:tcW w:w="2125"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1701"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24</w:t>
                  </w:r>
                </w:p>
              </w:tc>
              <w:tc>
                <w:tcPr>
                  <w:tcW w:w="1706" w:type="dxa"/>
                  <w:vAlign w:val="center"/>
                </w:tcPr>
                <w:p>
                  <w:pPr>
                    <w:spacing w:line="240" w:lineRule="atLeast"/>
                    <w:jc w:val="center"/>
                    <w:rPr>
                      <w:rFonts w:eastAsiaTheme="minorEastAsia"/>
                      <w:color w:val="auto"/>
                    </w:rPr>
                  </w:pPr>
                  <w:r>
                    <w:rPr>
                      <w:rFonts w:eastAsiaTheme="minorEastAsia"/>
                      <w:color w:val="auto"/>
                    </w:rPr>
                    <w:t>40</w:t>
                  </w:r>
                </w:p>
              </w:tc>
              <w:tc>
                <w:tcPr>
                  <w:tcW w:w="1133"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60</w:t>
                  </w:r>
                </w:p>
              </w:tc>
              <w:tc>
                <w:tcPr>
                  <w:tcW w:w="1072" w:type="dxa"/>
                  <w:vAlign w:val="center"/>
                </w:tcPr>
                <w:p>
                  <w:pPr>
                    <w:spacing w:line="240" w:lineRule="atLeast"/>
                    <w:jc w:val="center"/>
                    <w:rPr>
                      <w:rFonts w:eastAsiaTheme="minorEastAsia"/>
                      <w:color w:val="auto"/>
                    </w:rPr>
                  </w:pPr>
                  <w:r>
                    <w:rPr>
                      <w:rFonts w:eastAsiaTheme="minorEastAsia"/>
                      <w:color w:val="auto"/>
                    </w:rPr>
                    <w:t>达标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993" w:type="dxa"/>
                  <w:tcMar>
                    <w:left w:w="28" w:type="dxa"/>
                    <w:right w:w="28" w:type="dxa"/>
                  </w:tcMar>
                  <w:vAlign w:val="center"/>
                </w:tcPr>
                <w:p>
                  <w:pPr>
                    <w:autoSpaceDE w:val="0"/>
                    <w:autoSpaceDN w:val="0"/>
                    <w:adjustRightInd w:val="0"/>
                    <w:spacing w:line="240" w:lineRule="atLeast"/>
                    <w:jc w:val="center"/>
                    <w:rPr>
                      <w:rFonts w:eastAsiaTheme="minorEastAsia"/>
                      <w:color w:val="auto"/>
                    </w:rPr>
                  </w:pPr>
                  <w:r>
                    <w:rPr>
                      <w:rFonts w:eastAsiaTheme="minorEastAsia"/>
                      <w:color w:val="auto"/>
                    </w:rPr>
                    <w:t>CO</w:t>
                  </w:r>
                </w:p>
              </w:tc>
              <w:tc>
                <w:tcPr>
                  <w:tcW w:w="2125" w:type="dxa"/>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百分位数日平均</w:t>
                  </w:r>
                </w:p>
              </w:tc>
              <w:tc>
                <w:tcPr>
                  <w:tcW w:w="1701"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1.8mg/m</w:t>
                  </w:r>
                  <w:r>
                    <w:rPr>
                      <w:rFonts w:eastAsiaTheme="minorEastAsia"/>
                      <w:color w:val="auto"/>
                      <w:szCs w:val="21"/>
                      <w:vertAlign w:val="superscript"/>
                      <w:lang w:val="zh-CN"/>
                    </w:rPr>
                    <w:t>3</w:t>
                  </w:r>
                </w:p>
              </w:tc>
              <w:tc>
                <w:tcPr>
                  <w:tcW w:w="1706" w:type="dxa"/>
                  <w:vAlign w:val="center"/>
                </w:tcPr>
                <w:p>
                  <w:pPr>
                    <w:spacing w:line="240" w:lineRule="atLeast"/>
                    <w:jc w:val="center"/>
                    <w:rPr>
                      <w:rFonts w:eastAsiaTheme="minorEastAsia"/>
                      <w:color w:val="auto"/>
                    </w:rPr>
                  </w:pPr>
                  <w:r>
                    <w:rPr>
                      <w:rFonts w:eastAsiaTheme="minorEastAsia"/>
                      <w:color w:val="auto"/>
                    </w:rPr>
                    <w:t>4mg/m</w:t>
                  </w:r>
                  <w:r>
                    <w:rPr>
                      <w:rFonts w:eastAsiaTheme="minorEastAsia"/>
                      <w:color w:val="auto"/>
                      <w:vertAlign w:val="superscript"/>
                    </w:rPr>
                    <w:t>3</w:t>
                  </w:r>
                </w:p>
              </w:tc>
              <w:tc>
                <w:tcPr>
                  <w:tcW w:w="1133"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45</w:t>
                  </w:r>
                </w:p>
              </w:tc>
              <w:tc>
                <w:tcPr>
                  <w:tcW w:w="1072" w:type="dxa"/>
                  <w:vAlign w:val="center"/>
                </w:tcPr>
                <w:p>
                  <w:pPr>
                    <w:spacing w:line="240" w:lineRule="atLeast"/>
                    <w:jc w:val="center"/>
                    <w:rPr>
                      <w:rFonts w:eastAsiaTheme="minorEastAsia"/>
                      <w:color w:val="auto"/>
                    </w:rPr>
                  </w:pPr>
                  <w:r>
                    <w:rPr>
                      <w:rFonts w:eastAsiaTheme="minorEastAsia"/>
                      <w:color w:val="auto"/>
                    </w:rPr>
                    <w:t>达标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66" w:hRule="atLeast"/>
                <w:jc w:val="center"/>
              </w:trPr>
              <w:tc>
                <w:tcPr>
                  <w:tcW w:w="993" w:type="dxa"/>
                  <w:tcMar>
                    <w:left w:w="28" w:type="dxa"/>
                    <w:right w:w="28" w:type="dxa"/>
                  </w:tcMar>
                  <w:vAlign w:val="center"/>
                </w:tcPr>
                <w:p>
                  <w:pPr>
                    <w:autoSpaceDE w:val="0"/>
                    <w:autoSpaceDN w:val="0"/>
                    <w:adjustRightInd w:val="0"/>
                    <w:spacing w:line="240" w:lineRule="atLeast"/>
                    <w:jc w:val="center"/>
                    <w:rPr>
                      <w:rFonts w:eastAsiaTheme="minorEastAsia"/>
                      <w:color w:val="auto"/>
                    </w:rPr>
                  </w:pPr>
                  <w:r>
                    <w:rPr>
                      <w:rFonts w:eastAsiaTheme="minorEastAsia"/>
                      <w:color w:val="auto"/>
                    </w:rPr>
                    <w:t>O</w:t>
                  </w:r>
                  <w:r>
                    <w:rPr>
                      <w:rFonts w:eastAsiaTheme="minorEastAsia"/>
                      <w:color w:val="auto"/>
                      <w:vertAlign w:val="subscript"/>
                    </w:rPr>
                    <w:t>3</w:t>
                  </w:r>
                </w:p>
              </w:tc>
              <w:tc>
                <w:tcPr>
                  <w:tcW w:w="2125" w:type="dxa"/>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8小时平均质量浓度</w:t>
                  </w:r>
                </w:p>
              </w:tc>
              <w:tc>
                <w:tcPr>
                  <w:tcW w:w="1701"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144</w:t>
                  </w:r>
                </w:p>
              </w:tc>
              <w:tc>
                <w:tcPr>
                  <w:tcW w:w="1706" w:type="dxa"/>
                  <w:vAlign w:val="center"/>
                </w:tcPr>
                <w:p>
                  <w:pPr>
                    <w:spacing w:line="240" w:lineRule="atLeast"/>
                    <w:jc w:val="center"/>
                    <w:rPr>
                      <w:rFonts w:eastAsiaTheme="minorEastAsia"/>
                      <w:color w:val="auto"/>
                    </w:rPr>
                  </w:pPr>
                  <w:r>
                    <w:rPr>
                      <w:rFonts w:eastAsiaTheme="minorEastAsia"/>
                      <w:color w:val="auto"/>
                    </w:rPr>
                    <w:t>160</w:t>
                  </w:r>
                </w:p>
              </w:tc>
              <w:tc>
                <w:tcPr>
                  <w:tcW w:w="1133"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90</w:t>
                  </w:r>
                </w:p>
              </w:tc>
              <w:tc>
                <w:tcPr>
                  <w:tcW w:w="1072" w:type="dxa"/>
                  <w:vAlign w:val="center"/>
                </w:tcPr>
                <w:p>
                  <w:pPr>
                    <w:spacing w:line="240" w:lineRule="atLeast"/>
                    <w:jc w:val="center"/>
                    <w:rPr>
                      <w:rFonts w:eastAsiaTheme="minorEastAsia"/>
                      <w:color w:val="auto"/>
                    </w:rPr>
                  </w:pPr>
                  <w:r>
                    <w:rPr>
                      <w:rFonts w:eastAsiaTheme="minorEastAsia"/>
                      <w:color w:val="auto"/>
                    </w:rPr>
                    <w:t>达标</w:t>
                  </w:r>
                </w:p>
              </w:tc>
            </w:tr>
          </w:tbl>
          <w:p>
            <w:pPr>
              <w:adjustRightInd w:val="0"/>
              <w:snapToGrid w:val="0"/>
              <w:spacing w:line="360" w:lineRule="auto"/>
              <w:ind w:firstLine="480" w:firstLineChars="200"/>
              <w:rPr>
                <w:rFonts w:eastAsiaTheme="minorEastAsia"/>
                <w:color w:val="auto"/>
                <w:sz w:val="24"/>
              </w:rPr>
            </w:pPr>
            <w:r>
              <w:rPr>
                <w:rFonts w:eastAsiaTheme="minorEastAsia"/>
                <w:color w:val="auto"/>
                <w:sz w:val="24"/>
              </w:rPr>
              <w:t>根据数据统计显示</w:t>
            </w:r>
            <w:r>
              <w:rPr>
                <w:rFonts w:eastAsiaTheme="minorEastAsia"/>
                <w:color w:val="auto"/>
              </w:rPr>
              <w:t>PM</w:t>
            </w:r>
            <w:r>
              <w:rPr>
                <w:rFonts w:eastAsiaTheme="minorEastAsia"/>
                <w:color w:val="auto"/>
                <w:vertAlign w:val="subscript"/>
              </w:rPr>
              <w:t>2.5</w:t>
            </w:r>
            <w:r>
              <w:rPr>
                <w:rFonts w:eastAsiaTheme="minorEastAsia"/>
                <w:color w:val="auto"/>
                <w:sz w:val="24"/>
              </w:rPr>
              <w:t>、</w:t>
            </w:r>
            <w:r>
              <w:rPr>
                <w:rFonts w:eastAsiaTheme="minorEastAsia"/>
                <w:color w:val="auto"/>
              </w:rPr>
              <w:t>PM</w:t>
            </w:r>
            <w:r>
              <w:rPr>
                <w:rFonts w:eastAsiaTheme="minorEastAsia"/>
                <w:color w:val="auto"/>
                <w:vertAlign w:val="subscript"/>
              </w:rPr>
              <w:t>10</w:t>
            </w:r>
            <w:r>
              <w:rPr>
                <w:rFonts w:eastAsiaTheme="minorEastAsia"/>
                <w:color w:val="auto"/>
                <w:sz w:val="24"/>
              </w:rPr>
              <w:t>均存在区域年平均质量浓度不达标情况，判定该建设项目所在区域城市环境空气质量不达标。</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为了解本项目环境质量现状，本次环境影响评价引用《庆阳市环境保护局2017年度环境保护工作总结》（庆阳市环保局）对本项目环境质量现状做定性分析。</w:t>
            </w:r>
          </w:p>
          <w:p>
            <w:pPr>
              <w:adjustRightInd w:val="0"/>
              <w:snapToGrid w:val="0"/>
              <w:spacing w:line="360" w:lineRule="auto"/>
              <w:ind w:firstLine="472" w:firstLineChars="196"/>
              <w:rPr>
                <w:rFonts w:eastAsiaTheme="minorEastAsia"/>
                <w:b/>
                <w:color w:val="auto"/>
                <w:sz w:val="24"/>
              </w:rPr>
            </w:pPr>
            <w:r>
              <w:rPr>
                <w:rFonts w:eastAsiaTheme="minorEastAsia"/>
                <w:b/>
                <w:color w:val="auto"/>
                <w:sz w:val="24"/>
              </w:rPr>
              <w:t>1、环境空气质量现状</w:t>
            </w:r>
          </w:p>
          <w:p>
            <w:pPr>
              <w:adjustRightInd w:val="0"/>
              <w:snapToGrid w:val="0"/>
              <w:spacing w:line="360" w:lineRule="auto"/>
              <w:ind w:firstLine="482" w:firstLineChars="200"/>
              <w:rPr>
                <w:rFonts w:eastAsiaTheme="minorEastAsia"/>
                <w:b/>
                <w:color w:val="auto"/>
                <w:sz w:val="24"/>
              </w:rPr>
            </w:pPr>
            <w:r>
              <w:rPr>
                <w:rFonts w:eastAsiaTheme="minorEastAsia"/>
                <w:b/>
                <w:color w:val="auto"/>
                <w:sz w:val="24"/>
              </w:rPr>
              <w:t>1.1大气质量现状常规监测</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为了解本项目环境质量现状，本次环境影响评价引用《庆阳市环境保护局2017年度环境保护工作总结》（庆阳市环保局），截至年底，市区环境空气质量优良天数319天，比上年同期减少2天，可吸入颗粒物（PM</w:t>
            </w:r>
            <w:r>
              <w:rPr>
                <w:rFonts w:eastAsiaTheme="minorEastAsia"/>
                <w:color w:val="auto"/>
                <w:sz w:val="24"/>
                <w:vertAlign w:val="subscript"/>
              </w:rPr>
              <w:t>10</w:t>
            </w:r>
            <w:r>
              <w:rPr>
                <w:rFonts w:eastAsiaTheme="minorEastAsia"/>
                <w:color w:val="auto"/>
                <w:sz w:val="24"/>
              </w:rPr>
              <w:t>）均值为78微克/立方米，细颗粒物（PM</w:t>
            </w:r>
            <w:r>
              <w:rPr>
                <w:rFonts w:eastAsiaTheme="minorEastAsia"/>
                <w:color w:val="auto"/>
                <w:sz w:val="24"/>
                <w:vertAlign w:val="subscript"/>
              </w:rPr>
              <w:t>2.5</w:t>
            </w:r>
            <w:r>
              <w:rPr>
                <w:rFonts w:eastAsiaTheme="minorEastAsia"/>
                <w:color w:val="auto"/>
                <w:sz w:val="24"/>
              </w:rPr>
              <w:t>）均值为38微克/立方米，剔除沙尘天气影响，PM</w:t>
            </w:r>
            <w:r>
              <w:rPr>
                <w:rFonts w:eastAsiaTheme="minorEastAsia"/>
                <w:color w:val="auto"/>
                <w:sz w:val="24"/>
                <w:vertAlign w:val="subscript"/>
              </w:rPr>
              <w:t>10</w:t>
            </w:r>
            <w:r>
              <w:rPr>
                <w:rFonts w:eastAsiaTheme="minorEastAsia"/>
                <w:color w:val="auto"/>
                <w:sz w:val="24"/>
              </w:rPr>
              <w:t>年均值、PM</w:t>
            </w:r>
            <w:r>
              <w:rPr>
                <w:rFonts w:eastAsiaTheme="minorEastAsia"/>
                <w:color w:val="auto"/>
                <w:sz w:val="24"/>
                <w:vertAlign w:val="subscript"/>
              </w:rPr>
              <w:t>2.5</w:t>
            </w:r>
            <w:r>
              <w:rPr>
                <w:rFonts w:eastAsiaTheme="minorEastAsia"/>
                <w:color w:val="auto"/>
                <w:sz w:val="24"/>
              </w:rPr>
              <w:t>年均值完成年度目标任务。7个县城环境空气质量有所改善。12个县级及以上集中式饮用水源地水质达到国家水源地水质标准，75个乡（镇）水源地水质达标率为88%。河流水质稳定改善，蒲河水质良好，监测结果达到地表水III类标准，马莲河水质较去年有所改善，出境断面水质达到</w:t>
            </w:r>
            <w:r>
              <w:rPr>
                <w:rFonts w:hint="eastAsia" w:ascii="宋体" w:hAnsi="宋体" w:cs="宋体"/>
                <w:color w:val="auto"/>
                <w:sz w:val="24"/>
              </w:rPr>
              <w:t>Ⅳ</w:t>
            </w:r>
            <w:r>
              <w:rPr>
                <w:rFonts w:eastAsiaTheme="minorEastAsia"/>
                <w:color w:val="auto"/>
                <w:sz w:val="24"/>
              </w:rPr>
              <w:t>类标准。6个国考地下水环境质量监测点位水质达到或优于考核目标。国控源企业排放稳定达标，监督性监测率和企业信息公布率实现100%。无重大环境事件及核与辐射安全事件发生。</w:t>
            </w:r>
          </w:p>
          <w:p>
            <w:pPr>
              <w:adjustRightInd w:val="0"/>
              <w:snapToGrid w:val="0"/>
              <w:spacing w:line="360" w:lineRule="auto"/>
              <w:ind w:firstLine="482" w:firstLineChars="200"/>
              <w:rPr>
                <w:rFonts w:eastAsiaTheme="minorEastAsia"/>
                <w:color w:val="auto"/>
                <w:sz w:val="24"/>
              </w:rPr>
            </w:pPr>
            <w:r>
              <w:rPr>
                <w:rFonts w:eastAsiaTheme="minorEastAsia"/>
                <w:b/>
                <w:color w:val="auto"/>
                <w:sz w:val="24"/>
              </w:rPr>
              <w:t>1.2硫化氢、氨的补充监测</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为了解项目所在地特征污染物本底值，宁县金村乡人民政府委托兰州易通环境监测有限公司对项目所在地的环境空气质量现状进行监测，监测时间为2019年2月15日-2月22日，监测因子分别为硫化氢、氨。</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⑴</w:t>
            </w:r>
            <w:r>
              <w:rPr>
                <w:rFonts w:eastAsiaTheme="minorEastAsia"/>
                <w:color w:val="auto"/>
                <w:sz w:val="24"/>
              </w:rPr>
              <w:t>监测点位</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根据监测期间的平均风速、风向，本次监测在厂区内设置监控点1处，详见表23及图12；</w:t>
            </w:r>
          </w:p>
          <w:p>
            <w:pPr>
              <w:spacing w:line="360" w:lineRule="auto"/>
              <w:ind w:firstLine="482" w:firstLineChars="200"/>
              <w:jc w:val="center"/>
              <w:rPr>
                <w:rFonts w:eastAsiaTheme="minorEastAsia"/>
                <w:b/>
                <w:color w:val="auto"/>
                <w:sz w:val="24"/>
              </w:rPr>
            </w:pPr>
            <w:r>
              <w:rPr>
                <w:rFonts w:eastAsiaTheme="minorEastAsia"/>
                <w:b/>
                <w:color w:val="auto"/>
                <w:sz w:val="24"/>
              </w:rPr>
              <w:t>表23项目环境空气质量现状监测点</w:t>
            </w:r>
          </w:p>
          <w:tbl>
            <w:tblPr>
              <w:tblStyle w:val="38"/>
              <w:tblW w:w="8730"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9"/>
              <w:gridCol w:w="851"/>
              <w:gridCol w:w="1134"/>
              <w:gridCol w:w="1275"/>
              <w:gridCol w:w="2552"/>
              <w:gridCol w:w="1280"/>
              <w:gridCol w:w="929"/>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15" w:hRule="atLeast"/>
                <w:jc w:val="center"/>
              </w:trPr>
              <w:tc>
                <w:tcPr>
                  <w:tcW w:w="709" w:type="dxa"/>
                  <w:vMerge w:val="restart"/>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监测点位</w:t>
                  </w:r>
                </w:p>
              </w:tc>
              <w:tc>
                <w:tcPr>
                  <w:tcW w:w="1985" w:type="dxa"/>
                  <w:gridSpan w:val="2"/>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坐标</w:t>
                  </w:r>
                </w:p>
              </w:tc>
              <w:tc>
                <w:tcPr>
                  <w:tcW w:w="1275" w:type="dxa"/>
                  <w:vMerge w:val="restart"/>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监测因子</w:t>
                  </w:r>
                </w:p>
              </w:tc>
              <w:tc>
                <w:tcPr>
                  <w:tcW w:w="2552" w:type="dxa"/>
                  <w:vMerge w:val="restart"/>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监测时段</w:t>
                  </w:r>
                </w:p>
              </w:tc>
              <w:tc>
                <w:tcPr>
                  <w:tcW w:w="1280" w:type="dxa"/>
                  <w:vMerge w:val="restart"/>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相对厂址方位</w:t>
                  </w:r>
                </w:p>
              </w:tc>
              <w:tc>
                <w:tcPr>
                  <w:tcW w:w="929" w:type="dxa"/>
                  <w:vMerge w:val="restart"/>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相对厂界距离</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15" w:hRule="atLeast"/>
                <w:jc w:val="center"/>
              </w:trPr>
              <w:tc>
                <w:tcPr>
                  <w:tcW w:w="709"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851" w:type="dxa"/>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X</w:t>
                  </w:r>
                </w:p>
              </w:tc>
              <w:tc>
                <w:tcPr>
                  <w:tcW w:w="1134"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Y</w:t>
                  </w:r>
                </w:p>
              </w:tc>
              <w:tc>
                <w:tcPr>
                  <w:tcW w:w="1275"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2552"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1280"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929" w:type="dxa"/>
                  <w:vMerge w:val="continue"/>
                  <w:vAlign w:val="center"/>
                </w:tcPr>
                <w:p>
                  <w:pPr>
                    <w:autoSpaceDE w:val="0"/>
                    <w:autoSpaceDN w:val="0"/>
                    <w:adjustRightInd w:val="0"/>
                    <w:spacing w:line="240" w:lineRule="atLeast"/>
                    <w:jc w:val="center"/>
                    <w:rPr>
                      <w:rFonts w:eastAsiaTheme="minorEastAsia"/>
                      <w:color w:val="auto"/>
                      <w:szCs w:val="21"/>
                      <w:lang w:val="zh-CN"/>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95" w:hRule="atLeast"/>
                <w:jc w:val="center"/>
              </w:trPr>
              <w:tc>
                <w:tcPr>
                  <w:tcW w:w="709" w:type="dxa"/>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rPr>
                    <w:t>厂区内</w:t>
                  </w:r>
                </w:p>
              </w:tc>
              <w:tc>
                <w:tcPr>
                  <w:tcW w:w="851" w:type="dxa"/>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35.6506</w:t>
                  </w:r>
                </w:p>
              </w:tc>
              <w:tc>
                <w:tcPr>
                  <w:tcW w:w="1134"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108.2909</w:t>
                  </w:r>
                </w:p>
              </w:tc>
              <w:tc>
                <w:tcPr>
                  <w:tcW w:w="1275"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rPr>
                    <w:t>硫化氢、氨</w:t>
                  </w:r>
                </w:p>
              </w:tc>
              <w:tc>
                <w:tcPr>
                  <w:tcW w:w="2552"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rPr>
                    <w:t>2019年2月15日~2月22日</w:t>
                  </w:r>
                </w:p>
              </w:tc>
              <w:tc>
                <w:tcPr>
                  <w:tcW w:w="1280"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w:t>
                  </w:r>
                </w:p>
              </w:tc>
              <w:tc>
                <w:tcPr>
                  <w:tcW w:w="929"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rPr>
                    <w:t>/</w:t>
                  </w:r>
                </w:p>
              </w:tc>
            </w:tr>
          </w:tbl>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⑵</w:t>
            </w:r>
            <w:r>
              <w:rPr>
                <w:rFonts w:eastAsiaTheme="minorEastAsia"/>
                <w:color w:val="auto"/>
                <w:sz w:val="24"/>
              </w:rPr>
              <w:t>监测项目</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监测项目为：硫化氢、氨。</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⑶</w:t>
            </w:r>
            <w:r>
              <w:rPr>
                <w:rFonts w:eastAsiaTheme="minorEastAsia"/>
                <w:color w:val="auto"/>
                <w:sz w:val="24"/>
              </w:rPr>
              <w:t>监测时间和频次</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连续监测7天，每天4次；</w:t>
            </w:r>
          </w:p>
          <w:p>
            <w:pPr>
              <w:adjustRightInd w:val="0"/>
              <w:snapToGrid w:val="0"/>
              <w:spacing w:line="360" w:lineRule="auto"/>
              <w:ind w:firstLine="482" w:firstLineChars="200"/>
              <w:rPr>
                <w:rFonts w:eastAsiaTheme="minorEastAsia"/>
                <w:color w:val="auto"/>
                <w:sz w:val="24"/>
              </w:rPr>
            </w:pPr>
            <w:r>
              <w:rPr>
                <w:rFonts w:eastAsiaTheme="minorEastAsia"/>
                <w:b/>
                <w:color w:val="auto"/>
                <w:sz w:val="24"/>
              </w:rPr>
              <w:t>1.3监测统计结果及评价</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H</w:t>
            </w:r>
            <w:r>
              <w:rPr>
                <w:rFonts w:eastAsiaTheme="minorEastAsia"/>
                <w:color w:val="auto"/>
                <w:sz w:val="24"/>
                <w:vertAlign w:val="subscript"/>
              </w:rPr>
              <w:t>2</w:t>
            </w:r>
            <w:r>
              <w:rPr>
                <w:rFonts w:eastAsiaTheme="minorEastAsia"/>
                <w:color w:val="auto"/>
                <w:sz w:val="24"/>
              </w:rPr>
              <w:t>S、</w:t>
            </w:r>
            <w:r>
              <w:rPr>
                <w:rFonts w:eastAsiaTheme="minorEastAsia"/>
                <w:bCs/>
                <w:color w:val="auto"/>
                <w:sz w:val="24"/>
              </w:rPr>
              <w:t>NH</w:t>
            </w:r>
            <w:r>
              <w:rPr>
                <w:rFonts w:eastAsiaTheme="minorEastAsia"/>
                <w:bCs/>
                <w:color w:val="auto"/>
                <w:sz w:val="24"/>
                <w:vertAlign w:val="subscript"/>
              </w:rPr>
              <w:t>3</w:t>
            </w:r>
            <w:r>
              <w:rPr>
                <w:rFonts w:eastAsiaTheme="minorEastAsia"/>
                <w:color w:val="auto"/>
                <w:sz w:val="24"/>
              </w:rPr>
              <w:t>浓度监测结果见表24、25。</w:t>
            </w:r>
          </w:p>
          <w:p>
            <w:pPr>
              <w:adjustRightInd w:val="0"/>
              <w:snapToGrid w:val="0"/>
              <w:spacing w:line="360" w:lineRule="auto"/>
              <w:jc w:val="center"/>
              <w:rPr>
                <w:rFonts w:eastAsiaTheme="minorEastAsia"/>
                <w:b/>
                <w:color w:val="auto"/>
                <w:szCs w:val="21"/>
                <w:vertAlign w:val="superscript"/>
              </w:rPr>
            </w:pPr>
            <w:r>
              <w:rPr>
                <w:rFonts w:eastAsiaTheme="minorEastAsia"/>
                <w:b/>
                <w:color w:val="auto"/>
                <w:sz w:val="24"/>
              </w:rPr>
              <w:t>表24环境空气质量H</w:t>
            </w:r>
            <w:r>
              <w:rPr>
                <w:rFonts w:eastAsiaTheme="minorEastAsia"/>
                <w:b/>
                <w:color w:val="auto"/>
                <w:sz w:val="24"/>
                <w:vertAlign w:val="subscript"/>
              </w:rPr>
              <w:t>2</w:t>
            </w:r>
            <w:r>
              <w:rPr>
                <w:rFonts w:eastAsiaTheme="minorEastAsia"/>
                <w:b/>
                <w:color w:val="auto"/>
                <w:sz w:val="24"/>
              </w:rPr>
              <w:t>S小时浓度监测结果</w:t>
            </w:r>
            <w:r>
              <w:rPr>
                <w:rFonts w:eastAsiaTheme="minorEastAsia"/>
                <w:b/>
                <w:color w:val="auto"/>
                <w:szCs w:val="21"/>
              </w:rPr>
              <w:t>单位：μg/m</w:t>
            </w:r>
            <w:r>
              <w:rPr>
                <w:rFonts w:eastAsiaTheme="minorEastAsia"/>
                <w:b/>
                <w:color w:val="auto"/>
                <w:szCs w:val="21"/>
                <w:vertAlign w:val="superscript"/>
              </w:rPr>
              <w:t>3</w:t>
            </w:r>
          </w:p>
          <w:tbl>
            <w:tblPr>
              <w:tblStyle w:val="38"/>
              <w:tblW w:w="8730"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67"/>
              <w:gridCol w:w="851"/>
              <w:gridCol w:w="1134"/>
              <w:gridCol w:w="567"/>
              <w:gridCol w:w="1276"/>
              <w:gridCol w:w="708"/>
              <w:gridCol w:w="993"/>
              <w:gridCol w:w="1134"/>
              <w:gridCol w:w="789"/>
              <w:gridCol w:w="711"/>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67" w:type="dxa"/>
                  <w:vMerge w:val="restart"/>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监测点位</w:t>
                  </w:r>
                </w:p>
              </w:tc>
              <w:tc>
                <w:tcPr>
                  <w:tcW w:w="1985" w:type="dxa"/>
                  <w:gridSpan w:val="2"/>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坐标</w:t>
                  </w:r>
                </w:p>
              </w:tc>
              <w:tc>
                <w:tcPr>
                  <w:tcW w:w="567" w:type="dxa"/>
                  <w:vMerge w:val="restart"/>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污染物</w:t>
                  </w:r>
                </w:p>
              </w:tc>
              <w:tc>
                <w:tcPr>
                  <w:tcW w:w="1276" w:type="dxa"/>
                  <w:vMerge w:val="restart"/>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监测时间</w:t>
                  </w:r>
                </w:p>
              </w:tc>
              <w:tc>
                <w:tcPr>
                  <w:tcW w:w="708" w:type="dxa"/>
                  <w:vMerge w:val="restart"/>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评价标准</w:t>
                  </w:r>
                </w:p>
              </w:tc>
              <w:tc>
                <w:tcPr>
                  <w:tcW w:w="993" w:type="dxa"/>
                  <w:vMerge w:val="restart"/>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监测浓度范围</w:t>
                  </w:r>
                  <w:r>
                    <w:rPr>
                      <w:rFonts w:eastAsiaTheme="minorEastAsia"/>
                      <w:color w:val="auto"/>
                      <w:szCs w:val="21"/>
                    </w:rPr>
                    <w:t>μg/m</w:t>
                  </w:r>
                  <w:r>
                    <w:rPr>
                      <w:rFonts w:eastAsiaTheme="minorEastAsia"/>
                      <w:color w:val="auto"/>
                      <w:szCs w:val="21"/>
                      <w:vertAlign w:val="superscript"/>
                    </w:rPr>
                    <w:t>3</w:t>
                  </w:r>
                </w:p>
              </w:tc>
              <w:tc>
                <w:tcPr>
                  <w:tcW w:w="1134" w:type="dxa"/>
                  <w:vMerge w:val="restart"/>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最大浓度占标率%</w:t>
                  </w:r>
                </w:p>
              </w:tc>
              <w:tc>
                <w:tcPr>
                  <w:tcW w:w="789" w:type="dxa"/>
                  <w:vMerge w:val="restart"/>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超标率</w:t>
                  </w:r>
                </w:p>
              </w:tc>
              <w:tc>
                <w:tcPr>
                  <w:tcW w:w="711" w:type="dxa"/>
                  <w:vMerge w:val="restart"/>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达标情况</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67"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851" w:type="dxa"/>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X</w:t>
                  </w:r>
                </w:p>
              </w:tc>
              <w:tc>
                <w:tcPr>
                  <w:tcW w:w="1134"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Y</w:t>
                  </w:r>
                </w:p>
              </w:tc>
              <w:tc>
                <w:tcPr>
                  <w:tcW w:w="567"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1276"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708"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993"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1134"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789"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711" w:type="dxa"/>
                  <w:vMerge w:val="continue"/>
                  <w:vAlign w:val="center"/>
                </w:tcPr>
                <w:p>
                  <w:pPr>
                    <w:autoSpaceDE w:val="0"/>
                    <w:autoSpaceDN w:val="0"/>
                    <w:adjustRightInd w:val="0"/>
                    <w:spacing w:line="240" w:lineRule="atLeast"/>
                    <w:jc w:val="center"/>
                    <w:rPr>
                      <w:rFonts w:eastAsiaTheme="minorEastAsia"/>
                      <w:color w:val="auto"/>
                      <w:szCs w:val="21"/>
                      <w:lang w:val="zh-CN"/>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67" w:type="dxa"/>
                  <w:vMerge w:val="restart"/>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rPr>
                    <w:t>厂区内</w:t>
                  </w:r>
                </w:p>
              </w:tc>
              <w:tc>
                <w:tcPr>
                  <w:tcW w:w="851" w:type="dxa"/>
                  <w:vMerge w:val="restart"/>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35.6506</w:t>
                  </w:r>
                </w:p>
              </w:tc>
              <w:tc>
                <w:tcPr>
                  <w:tcW w:w="1134" w:type="dxa"/>
                  <w:vMerge w:val="restart"/>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108.2909</w:t>
                  </w:r>
                </w:p>
              </w:tc>
              <w:tc>
                <w:tcPr>
                  <w:tcW w:w="567" w:type="dxa"/>
                  <w:vMerge w:val="restart"/>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rPr>
                    <w:t>硫化氢</w:t>
                  </w:r>
                </w:p>
              </w:tc>
              <w:tc>
                <w:tcPr>
                  <w:tcW w:w="1276"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2019.2.15</w:t>
                  </w:r>
                </w:p>
              </w:tc>
              <w:tc>
                <w:tcPr>
                  <w:tcW w:w="708" w:type="dxa"/>
                  <w:vMerge w:val="restart"/>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10</w:t>
                  </w:r>
                  <w:r>
                    <w:rPr>
                      <w:rFonts w:eastAsiaTheme="minorEastAsia"/>
                      <w:color w:val="auto"/>
                      <w:szCs w:val="21"/>
                    </w:rPr>
                    <w:t>μg/m</w:t>
                  </w:r>
                  <w:r>
                    <w:rPr>
                      <w:rFonts w:eastAsiaTheme="minorEastAsia"/>
                      <w:color w:val="auto"/>
                      <w:szCs w:val="21"/>
                      <w:vertAlign w:val="superscript"/>
                    </w:rPr>
                    <w:t>3</w:t>
                  </w:r>
                </w:p>
              </w:tc>
              <w:tc>
                <w:tcPr>
                  <w:tcW w:w="993"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2~4</w:t>
                  </w:r>
                </w:p>
              </w:tc>
              <w:tc>
                <w:tcPr>
                  <w:tcW w:w="1134"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40</w:t>
                  </w:r>
                </w:p>
              </w:tc>
              <w:tc>
                <w:tcPr>
                  <w:tcW w:w="789"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0</w:t>
                  </w:r>
                </w:p>
              </w:tc>
              <w:tc>
                <w:tcPr>
                  <w:tcW w:w="711"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达标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67"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851"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1134"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567"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1276" w:type="dxa"/>
                </w:tcPr>
                <w:p>
                  <w:pPr>
                    <w:rPr>
                      <w:rFonts w:eastAsiaTheme="minorEastAsia"/>
                      <w:color w:val="auto"/>
                      <w:szCs w:val="21"/>
                    </w:rPr>
                  </w:pPr>
                  <w:r>
                    <w:rPr>
                      <w:rFonts w:eastAsiaTheme="minorEastAsia"/>
                      <w:color w:val="auto"/>
                      <w:szCs w:val="21"/>
                      <w:lang w:val="zh-CN"/>
                    </w:rPr>
                    <w:t>2019.2.16</w:t>
                  </w:r>
                </w:p>
              </w:tc>
              <w:tc>
                <w:tcPr>
                  <w:tcW w:w="708" w:type="dxa"/>
                  <w:vMerge w:val="continue"/>
                  <w:vAlign w:val="center"/>
                </w:tcPr>
                <w:p>
                  <w:pPr>
                    <w:spacing w:line="240" w:lineRule="atLeast"/>
                    <w:jc w:val="center"/>
                    <w:rPr>
                      <w:rFonts w:eastAsiaTheme="minorEastAsia"/>
                      <w:color w:val="auto"/>
                      <w:szCs w:val="21"/>
                      <w:lang w:val="zh-CN"/>
                    </w:rPr>
                  </w:pPr>
                </w:p>
              </w:tc>
              <w:tc>
                <w:tcPr>
                  <w:tcW w:w="993"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5~6</w:t>
                  </w:r>
                </w:p>
              </w:tc>
              <w:tc>
                <w:tcPr>
                  <w:tcW w:w="1134"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60</w:t>
                  </w:r>
                </w:p>
              </w:tc>
              <w:tc>
                <w:tcPr>
                  <w:tcW w:w="789"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0</w:t>
                  </w:r>
                </w:p>
              </w:tc>
              <w:tc>
                <w:tcPr>
                  <w:tcW w:w="711"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达标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67"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851"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1134"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567"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1276" w:type="dxa"/>
                </w:tcPr>
                <w:p>
                  <w:pPr>
                    <w:rPr>
                      <w:rFonts w:eastAsiaTheme="minorEastAsia"/>
                      <w:color w:val="auto"/>
                      <w:szCs w:val="21"/>
                    </w:rPr>
                  </w:pPr>
                  <w:r>
                    <w:rPr>
                      <w:rFonts w:eastAsiaTheme="minorEastAsia"/>
                      <w:color w:val="auto"/>
                      <w:szCs w:val="21"/>
                      <w:lang w:val="zh-CN"/>
                    </w:rPr>
                    <w:t>2019.2.17</w:t>
                  </w:r>
                </w:p>
              </w:tc>
              <w:tc>
                <w:tcPr>
                  <w:tcW w:w="708" w:type="dxa"/>
                  <w:vMerge w:val="continue"/>
                  <w:vAlign w:val="center"/>
                </w:tcPr>
                <w:p>
                  <w:pPr>
                    <w:spacing w:line="240" w:lineRule="atLeast"/>
                    <w:jc w:val="center"/>
                    <w:rPr>
                      <w:rFonts w:eastAsiaTheme="minorEastAsia"/>
                      <w:color w:val="auto"/>
                      <w:szCs w:val="21"/>
                      <w:lang w:val="zh-CN"/>
                    </w:rPr>
                  </w:pPr>
                </w:p>
              </w:tc>
              <w:tc>
                <w:tcPr>
                  <w:tcW w:w="993"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1~5</w:t>
                  </w:r>
                </w:p>
              </w:tc>
              <w:tc>
                <w:tcPr>
                  <w:tcW w:w="1134"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50</w:t>
                  </w:r>
                </w:p>
              </w:tc>
              <w:tc>
                <w:tcPr>
                  <w:tcW w:w="789"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0</w:t>
                  </w:r>
                </w:p>
              </w:tc>
              <w:tc>
                <w:tcPr>
                  <w:tcW w:w="711"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达标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67"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851"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1134"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567"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1276" w:type="dxa"/>
                </w:tcPr>
                <w:p>
                  <w:pPr>
                    <w:rPr>
                      <w:rFonts w:eastAsiaTheme="minorEastAsia"/>
                      <w:color w:val="auto"/>
                      <w:szCs w:val="21"/>
                    </w:rPr>
                  </w:pPr>
                  <w:r>
                    <w:rPr>
                      <w:rFonts w:eastAsiaTheme="minorEastAsia"/>
                      <w:color w:val="auto"/>
                      <w:szCs w:val="21"/>
                      <w:lang w:val="zh-CN"/>
                    </w:rPr>
                    <w:t>2019.2.19</w:t>
                  </w:r>
                </w:p>
              </w:tc>
              <w:tc>
                <w:tcPr>
                  <w:tcW w:w="708" w:type="dxa"/>
                  <w:vMerge w:val="continue"/>
                  <w:vAlign w:val="center"/>
                </w:tcPr>
                <w:p>
                  <w:pPr>
                    <w:spacing w:line="240" w:lineRule="atLeast"/>
                    <w:jc w:val="center"/>
                    <w:rPr>
                      <w:rFonts w:eastAsiaTheme="minorEastAsia"/>
                      <w:color w:val="auto"/>
                      <w:szCs w:val="21"/>
                      <w:lang w:val="zh-CN"/>
                    </w:rPr>
                  </w:pPr>
                </w:p>
              </w:tc>
              <w:tc>
                <w:tcPr>
                  <w:tcW w:w="993"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4~5</w:t>
                  </w:r>
                </w:p>
              </w:tc>
              <w:tc>
                <w:tcPr>
                  <w:tcW w:w="1134"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50</w:t>
                  </w:r>
                </w:p>
              </w:tc>
              <w:tc>
                <w:tcPr>
                  <w:tcW w:w="789"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0</w:t>
                  </w:r>
                </w:p>
              </w:tc>
              <w:tc>
                <w:tcPr>
                  <w:tcW w:w="711"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达标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67"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851"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1134"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567"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1276" w:type="dxa"/>
                </w:tcPr>
                <w:p>
                  <w:pPr>
                    <w:rPr>
                      <w:rFonts w:eastAsiaTheme="minorEastAsia"/>
                      <w:color w:val="auto"/>
                      <w:szCs w:val="21"/>
                    </w:rPr>
                  </w:pPr>
                  <w:r>
                    <w:rPr>
                      <w:rFonts w:eastAsiaTheme="minorEastAsia"/>
                      <w:color w:val="auto"/>
                      <w:szCs w:val="21"/>
                      <w:lang w:val="zh-CN"/>
                    </w:rPr>
                    <w:t>2019.2.20</w:t>
                  </w:r>
                </w:p>
              </w:tc>
              <w:tc>
                <w:tcPr>
                  <w:tcW w:w="708" w:type="dxa"/>
                  <w:vMerge w:val="continue"/>
                  <w:vAlign w:val="center"/>
                </w:tcPr>
                <w:p>
                  <w:pPr>
                    <w:spacing w:line="240" w:lineRule="atLeast"/>
                    <w:jc w:val="center"/>
                    <w:rPr>
                      <w:rFonts w:eastAsiaTheme="minorEastAsia"/>
                      <w:color w:val="auto"/>
                      <w:szCs w:val="21"/>
                      <w:lang w:val="zh-CN"/>
                    </w:rPr>
                  </w:pPr>
                </w:p>
              </w:tc>
              <w:tc>
                <w:tcPr>
                  <w:tcW w:w="993"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4~7</w:t>
                  </w:r>
                </w:p>
              </w:tc>
              <w:tc>
                <w:tcPr>
                  <w:tcW w:w="1134"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70</w:t>
                  </w:r>
                </w:p>
              </w:tc>
              <w:tc>
                <w:tcPr>
                  <w:tcW w:w="789"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0</w:t>
                  </w:r>
                </w:p>
              </w:tc>
              <w:tc>
                <w:tcPr>
                  <w:tcW w:w="711"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达标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67"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851"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1134"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567"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1276" w:type="dxa"/>
                  <w:vAlign w:val="center"/>
                </w:tcPr>
                <w:p>
                  <w:pPr>
                    <w:spacing w:line="240" w:lineRule="atLeast"/>
                    <w:jc w:val="center"/>
                    <w:rPr>
                      <w:rFonts w:eastAsiaTheme="minorEastAsia"/>
                      <w:color w:val="auto"/>
                      <w:szCs w:val="21"/>
                    </w:rPr>
                  </w:pPr>
                  <w:r>
                    <w:rPr>
                      <w:rFonts w:eastAsiaTheme="minorEastAsia"/>
                      <w:color w:val="auto"/>
                      <w:szCs w:val="21"/>
                      <w:lang w:val="zh-CN"/>
                    </w:rPr>
                    <w:t>2019.2.21</w:t>
                  </w:r>
                </w:p>
              </w:tc>
              <w:tc>
                <w:tcPr>
                  <w:tcW w:w="708" w:type="dxa"/>
                  <w:vMerge w:val="continue"/>
                  <w:vAlign w:val="center"/>
                </w:tcPr>
                <w:p>
                  <w:pPr>
                    <w:spacing w:line="240" w:lineRule="atLeast"/>
                    <w:jc w:val="center"/>
                    <w:rPr>
                      <w:rFonts w:eastAsiaTheme="minorEastAsia"/>
                      <w:color w:val="auto"/>
                      <w:szCs w:val="21"/>
                      <w:lang w:val="zh-CN"/>
                    </w:rPr>
                  </w:pPr>
                </w:p>
              </w:tc>
              <w:tc>
                <w:tcPr>
                  <w:tcW w:w="993"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4~6</w:t>
                  </w:r>
                </w:p>
              </w:tc>
              <w:tc>
                <w:tcPr>
                  <w:tcW w:w="1134"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60</w:t>
                  </w:r>
                </w:p>
              </w:tc>
              <w:tc>
                <w:tcPr>
                  <w:tcW w:w="789"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0</w:t>
                  </w:r>
                </w:p>
              </w:tc>
              <w:tc>
                <w:tcPr>
                  <w:tcW w:w="711"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达标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67"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851"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1134"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567"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1276"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2019.2.22</w:t>
                  </w:r>
                </w:p>
              </w:tc>
              <w:tc>
                <w:tcPr>
                  <w:tcW w:w="708" w:type="dxa"/>
                  <w:vMerge w:val="continue"/>
                  <w:vAlign w:val="center"/>
                </w:tcPr>
                <w:p>
                  <w:pPr>
                    <w:spacing w:line="240" w:lineRule="atLeast"/>
                    <w:jc w:val="center"/>
                    <w:rPr>
                      <w:rFonts w:eastAsiaTheme="minorEastAsia"/>
                      <w:color w:val="auto"/>
                      <w:szCs w:val="21"/>
                      <w:lang w:val="zh-CN"/>
                    </w:rPr>
                  </w:pPr>
                </w:p>
              </w:tc>
              <w:tc>
                <w:tcPr>
                  <w:tcW w:w="993"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3~5</w:t>
                  </w:r>
                </w:p>
              </w:tc>
              <w:tc>
                <w:tcPr>
                  <w:tcW w:w="1134"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50</w:t>
                  </w:r>
                </w:p>
              </w:tc>
              <w:tc>
                <w:tcPr>
                  <w:tcW w:w="789"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0</w:t>
                  </w:r>
                </w:p>
              </w:tc>
              <w:tc>
                <w:tcPr>
                  <w:tcW w:w="711"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达标</w:t>
                  </w:r>
                </w:p>
              </w:tc>
            </w:tr>
          </w:tbl>
          <w:p>
            <w:pPr>
              <w:adjustRightInd w:val="0"/>
              <w:snapToGrid w:val="0"/>
              <w:jc w:val="center"/>
              <w:rPr>
                <w:rFonts w:eastAsiaTheme="minorEastAsia"/>
                <w:b/>
                <w:color w:val="auto"/>
                <w:szCs w:val="21"/>
                <w:vertAlign w:val="superscript"/>
              </w:rPr>
            </w:pPr>
            <w:r>
              <w:rPr>
                <w:rFonts w:eastAsiaTheme="minorEastAsia"/>
                <w:b/>
                <w:color w:val="auto"/>
                <w:sz w:val="24"/>
              </w:rPr>
              <w:t>表25环</w:t>
            </w:r>
            <w:r>
              <w:rPr>
                <w:rFonts w:eastAsiaTheme="minorEastAsia"/>
                <w:b/>
                <w:bCs/>
                <w:color w:val="auto"/>
                <w:sz w:val="24"/>
              </w:rPr>
              <w:t>境空气质量NH</w:t>
            </w:r>
            <w:r>
              <w:rPr>
                <w:rFonts w:eastAsiaTheme="minorEastAsia"/>
                <w:b/>
                <w:bCs/>
                <w:color w:val="auto"/>
                <w:sz w:val="24"/>
                <w:vertAlign w:val="subscript"/>
              </w:rPr>
              <w:t>3</w:t>
            </w:r>
            <w:r>
              <w:rPr>
                <w:rFonts w:eastAsiaTheme="minorEastAsia"/>
                <w:b/>
                <w:bCs/>
                <w:color w:val="auto"/>
                <w:sz w:val="24"/>
              </w:rPr>
              <w:t>小时浓度监测结果</w:t>
            </w:r>
            <w:r>
              <w:rPr>
                <w:rFonts w:eastAsiaTheme="minorEastAsia"/>
                <w:b/>
                <w:color w:val="auto"/>
                <w:szCs w:val="21"/>
              </w:rPr>
              <w:t>单位：μg/m</w:t>
            </w:r>
            <w:r>
              <w:rPr>
                <w:rFonts w:eastAsiaTheme="minorEastAsia"/>
                <w:b/>
                <w:color w:val="auto"/>
                <w:szCs w:val="21"/>
                <w:vertAlign w:val="superscript"/>
              </w:rPr>
              <w:t>3</w:t>
            </w:r>
          </w:p>
          <w:p>
            <w:pPr>
              <w:adjustRightInd w:val="0"/>
              <w:snapToGrid w:val="0"/>
              <w:jc w:val="center"/>
              <w:rPr>
                <w:rFonts w:eastAsiaTheme="minorEastAsia"/>
                <w:b/>
                <w:color w:val="auto"/>
                <w:szCs w:val="21"/>
                <w:vertAlign w:val="superscript"/>
              </w:rPr>
            </w:pPr>
          </w:p>
          <w:tbl>
            <w:tblPr>
              <w:tblStyle w:val="38"/>
              <w:tblW w:w="8907"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94"/>
              <w:gridCol w:w="781"/>
              <w:gridCol w:w="1072"/>
              <w:gridCol w:w="435"/>
              <w:gridCol w:w="1195"/>
              <w:gridCol w:w="1072"/>
              <w:gridCol w:w="1137"/>
              <w:gridCol w:w="1416"/>
              <w:gridCol w:w="566"/>
              <w:gridCol w:w="739"/>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15" w:hRule="atLeast"/>
                <w:jc w:val="center"/>
              </w:trPr>
              <w:tc>
                <w:tcPr>
                  <w:tcW w:w="494" w:type="dxa"/>
                  <w:vMerge w:val="restart"/>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监测点位</w:t>
                  </w:r>
                </w:p>
              </w:tc>
              <w:tc>
                <w:tcPr>
                  <w:tcW w:w="1853" w:type="dxa"/>
                  <w:gridSpan w:val="2"/>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坐标</w:t>
                  </w:r>
                </w:p>
              </w:tc>
              <w:tc>
                <w:tcPr>
                  <w:tcW w:w="435" w:type="dxa"/>
                  <w:vMerge w:val="restart"/>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污染物</w:t>
                  </w:r>
                </w:p>
              </w:tc>
              <w:tc>
                <w:tcPr>
                  <w:tcW w:w="1195" w:type="dxa"/>
                  <w:vMerge w:val="restart"/>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监测时间</w:t>
                  </w:r>
                </w:p>
              </w:tc>
              <w:tc>
                <w:tcPr>
                  <w:tcW w:w="1072" w:type="dxa"/>
                  <w:vMerge w:val="restart"/>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评价标准</w:t>
                  </w:r>
                </w:p>
              </w:tc>
              <w:tc>
                <w:tcPr>
                  <w:tcW w:w="1137" w:type="dxa"/>
                  <w:vMerge w:val="restart"/>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监测浓度范围</w:t>
                  </w:r>
                  <w:r>
                    <w:rPr>
                      <w:rFonts w:eastAsiaTheme="minorEastAsia"/>
                      <w:color w:val="auto"/>
                      <w:szCs w:val="21"/>
                    </w:rPr>
                    <w:t>μg/m</w:t>
                  </w:r>
                  <w:r>
                    <w:rPr>
                      <w:rFonts w:eastAsiaTheme="minorEastAsia"/>
                      <w:color w:val="auto"/>
                      <w:szCs w:val="21"/>
                      <w:vertAlign w:val="superscript"/>
                    </w:rPr>
                    <w:t>3</w:t>
                  </w:r>
                </w:p>
              </w:tc>
              <w:tc>
                <w:tcPr>
                  <w:tcW w:w="1416" w:type="dxa"/>
                  <w:vMerge w:val="restart"/>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最大浓度占标率%</w:t>
                  </w:r>
                </w:p>
              </w:tc>
              <w:tc>
                <w:tcPr>
                  <w:tcW w:w="566" w:type="dxa"/>
                  <w:vMerge w:val="restart"/>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超标率</w:t>
                  </w:r>
                </w:p>
              </w:tc>
              <w:tc>
                <w:tcPr>
                  <w:tcW w:w="739" w:type="dxa"/>
                  <w:vMerge w:val="restart"/>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达标情况</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15" w:hRule="atLeast"/>
                <w:jc w:val="center"/>
              </w:trPr>
              <w:tc>
                <w:tcPr>
                  <w:tcW w:w="494"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781" w:type="dxa"/>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X</w:t>
                  </w:r>
                </w:p>
              </w:tc>
              <w:tc>
                <w:tcPr>
                  <w:tcW w:w="1072"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Y</w:t>
                  </w:r>
                </w:p>
              </w:tc>
              <w:tc>
                <w:tcPr>
                  <w:tcW w:w="435"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1195"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1072"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1137"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1416"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566"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739" w:type="dxa"/>
                  <w:vMerge w:val="continue"/>
                  <w:vAlign w:val="center"/>
                </w:tcPr>
                <w:p>
                  <w:pPr>
                    <w:autoSpaceDE w:val="0"/>
                    <w:autoSpaceDN w:val="0"/>
                    <w:adjustRightInd w:val="0"/>
                    <w:spacing w:line="240" w:lineRule="atLeast"/>
                    <w:jc w:val="center"/>
                    <w:rPr>
                      <w:rFonts w:eastAsiaTheme="minorEastAsia"/>
                      <w:color w:val="auto"/>
                      <w:szCs w:val="21"/>
                      <w:lang w:val="zh-CN"/>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4" w:hRule="atLeast"/>
                <w:jc w:val="center"/>
              </w:trPr>
              <w:tc>
                <w:tcPr>
                  <w:tcW w:w="494" w:type="dxa"/>
                  <w:vMerge w:val="restart"/>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rPr>
                    <w:t>厂区内</w:t>
                  </w:r>
                </w:p>
              </w:tc>
              <w:tc>
                <w:tcPr>
                  <w:tcW w:w="781" w:type="dxa"/>
                  <w:vMerge w:val="restart"/>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35.6506</w:t>
                  </w:r>
                </w:p>
              </w:tc>
              <w:tc>
                <w:tcPr>
                  <w:tcW w:w="1072" w:type="dxa"/>
                  <w:vMerge w:val="restart"/>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108.2909</w:t>
                  </w:r>
                </w:p>
              </w:tc>
              <w:tc>
                <w:tcPr>
                  <w:tcW w:w="435" w:type="dxa"/>
                  <w:vMerge w:val="restart"/>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rPr>
                    <w:t>氨</w:t>
                  </w:r>
                </w:p>
              </w:tc>
              <w:tc>
                <w:tcPr>
                  <w:tcW w:w="1195"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2019.2.15</w:t>
                  </w:r>
                </w:p>
              </w:tc>
              <w:tc>
                <w:tcPr>
                  <w:tcW w:w="1072" w:type="dxa"/>
                  <w:vMerge w:val="restart"/>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200</w:t>
                  </w:r>
                  <w:r>
                    <w:rPr>
                      <w:rFonts w:eastAsiaTheme="minorEastAsia"/>
                      <w:color w:val="auto"/>
                      <w:szCs w:val="21"/>
                    </w:rPr>
                    <w:t>μg/m</w:t>
                  </w:r>
                  <w:r>
                    <w:rPr>
                      <w:rFonts w:eastAsiaTheme="minorEastAsia"/>
                      <w:color w:val="auto"/>
                      <w:szCs w:val="21"/>
                      <w:vertAlign w:val="superscript"/>
                    </w:rPr>
                    <w:t>3</w:t>
                  </w:r>
                </w:p>
              </w:tc>
              <w:tc>
                <w:tcPr>
                  <w:tcW w:w="1137"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46~101</w:t>
                  </w:r>
                </w:p>
              </w:tc>
              <w:tc>
                <w:tcPr>
                  <w:tcW w:w="1416"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50.5</w:t>
                  </w:r>
                </w:p>
              </w:tc>
              <w:tc>
                <w:tcPr>
                  <w:tcW w:w="566"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0</w:t>
                  </w:r>
                </w:p>
              </w:tc>
              <w:tc>
                <w:tcPr>
                  <w:tcW w:w="739"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达标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3" w:hRule="atLeast"/>
                <w:jc w:val="center"/>
              </w:trPr>
              <w:tc>
                <w:tcPr>
                  <w:tcW w:w="494"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781"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1072"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435"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1195" w:type="dxa"/>
                </w:tcPr>
                <w:p>
                  <w:pPr>
                    <w:rPr>
                      <w:rFonts w:eastAsiaTheme="minorEastAsia"/>
                      <w:color w:val="auto"/>
                      <w:szCs w:val="21"/>
                    </w:rPr>
                  </w:pPr>
                  <w:r>
                    <w:rPr>
                      <w:rFonts w:eastAsiaTheme="minorEastAsia"/>
                      <w:color w:val="auto"/>
                      <w:szCs w:val="21"/>
                      <w:lang w:val="zh-CN"/>
                    </w:rPr>
                    <w:t>2019.2.16</w:t>
                  </w:r>
                </w:p>
              </w:tc>
              <w:tc>
                <w:tcPr>
                  <w:tcW w:w="1072" w:type="dxa"/>
                  <w:vMerge w:val="continue"/>
                  <w:vAlign w:val="center"/>
                </w:tcPr>
                <w:p>
                  <w:pPr>
                    <w:spacing w:line="240" w:lineRule="atLeast"/>
                    <w:jc w:val="center"/>
                    <w:rPr>
                      <w:rFonts w:eastAsiaTheme="minorEastAsia"/>
                      <w:color w:val="auto"/>
                      <w:szCs w:val="21"/>
                      <w:lang w:val="zh-CN"/>
                    </w:rPr>
                  </w:pPr>
                </w:p>
              </w:tc>
              <w:tc>
                <w:tcPr>
                  <w:tcW w:w="1137"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113~135</w:t>
                  </w:r>
                </w:p>
              </w:tc>
              <w:tc>
                <w:tcPr>
                  <w:tcW w:w="1416"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67.5</w:t>
                  </w:r>
                </w:p>
              </w:tc>
              <w:tc>
                <w:tcPr>
                  <w:tcW w:w="566"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0</w:t>
                  </w:r>
                </w:p>
              </w:tc>
              <w:tc>
                <w:tcPr>
                  <w:tcW w:w="739"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达标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86" w:hRule="atLeast"/>
                <w:jc w:val="center"/>
              </w:trPr>
              <w:tc>
                <w:tcPr>
                  <w:tcW w:w="494"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781"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1072"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435"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1195" w:type="dxa"/>
                </w:tcPr>
                <w:p>
                  <w:pPr>
                    <w:rPr>
                      <w:rFonts w:eastAsiaTheme="minorEastAsia"/>
                      <w:color w:val="auto"/>
                      <w:szCs w:val="21"/>
                    </w:rPr>
                  </w:pPr>
                  <w:r>
                    <w:rPr>
                      <w:rFonts w:eastAsiaTheme="minorEastAsia"/>
                      <w:color w:val="auto"/>
                      <w:szCs w:val="21"/>
                      <w:lang w:val="zh-CN"/>
                    </w:rPr>
                    <w:t>2019.2.17</w:t>
                  </w:r>
                </w:p>
              </w:tc>
              <w:tc>
                <w:tcPr>
                  <w:tcW w:w="1072" w:type="dxa"/>
                  <w:vMerge w:val="continue"/>
                  <w:vAlign w:val="center"/>
                </w:tcPr>
                <w:p>
                  <w:pPr>
                    <w:spacing w:line="240" w:lineRule="atLeast"/>
                    <w:jc w:val="center"/>
                    <w:rPr>
                      <w:rFonts w:eastAsiaTheme="minorEastAsia"/>
                      <w:color w:val="auto"/>
                      <w:szCs w:val="21"/>
                      <w:lang w:val="zh-CN"/>
                    </w:rPr>
                  </w:pPr>
                </w:p>
              </w:tc>
              <w:tc>
                <w:tcPr>
                  <w:tcW w:w="1137"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53~126</w:t>
                  </w:r>
                </w:p>
              </w:tc>
              <w:tc>
                <w:tcPr>
                  <w:tcW w:w="1416"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63</w:t>
                  </w:r>
                </w:p>
              </w:tc>
              <w:tc>
                <w:tcPr>
                  <w:tcW w:w="566"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0</w:t>
                  </w:r>
                </w:p>
              </w:tc>
              <w:tc>
                <w:tcPr>
                  <w:tcW w:w="739"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达标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9" w:hRule="atLeast"/>
                <w:jc w:val="center"/>
              </w:trPr>
              <w:tc>
                <w:tcPr>
                  <w:tcW w:w="494"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781"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1072"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435"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1195" w:type="dxa"/>
                </w:tcPr>
                <w:p>
                  <w:pPr>
                    <w:rPr>
                      <w:rFonts w:eastAsiaTheme="minorEastAsia"/>
                      <w:color w:val="auto"/>
                      <w:szCs w:val="21"/>
                    </w:rPr>
                  </w:pPr>
                  <w:r>
                    <w:rPr>
                      <w:rFonts w:eastAsiaTheme="minorEastAsia"/>
                      <w:color w:val="auto"/>
                      <w:szCs w:val="21"/>
                      <w:lang w:val="zh-CN"/>
                    </w:rPr>
                    <w:t>2019.2.19</w:t>
                  </w:r>
                </w:p>
              </w:tc>
              <w:tc>
                <w:tcPr>
                  <w:tcW w:w="1072" w:type="dxa"/>
                  <w:vMerge w:val="continue"/>
                  <w:vAlign w:val="center"/>
                </w:tcPr>
                <w:p>
                  <w:pPr>
                    <w:spacing w:line="240" w:lineRule="atLeast"/>
                    <w:jc w:val="center"/>
                    <w:rPr>
                      <w:rFonts w:eastAsiaTheme="minorEastAsia"/>
                      <w:color w:val="auto"/>
                      <w:szCs w:val="21"/>
                      <w:lang w:val="zh-CN"/>
                    </w:rPr>
                  </w:pPr>
                </w:p>
              </w:tc>
              <w:tc>
                <w:tcPr>
                  <w:tcW w:w="1137"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109~127</w:t>
                  </w:r>
                </w:p>
              </w:tc>
              <w:tc>
                <w:tcPr>
                  <w:tcW w:w="1416"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63.5</w:t>
                  </w:r>
                </w:p>
              </w:tc>
              <w:tc>
                <w:tcPr>
                  <w:tcW w:w="566"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0</w:t>
                  </w:r>
                </w:p>
              </w:tc>
              <w:tc>
                <w:tcPr>
                  <w:tcW w:w="739" w:type="dxa"/>
                  <w:vAlign w:val="center"/>
                </w:tcPr>
                <w:p>
                  <w:pPr>
                    <w:autoSpaceDE w:val="0"/>
                    <w:autoSpaceDN w:val="0"/>
                    <w:adjustRightInd w:val="0"/>
                    <w:spacing w:line="240" w:lineRule="atLeast"/>
                    <w:jc w:val="center"/>
                    <w:rPr>
                      <w:rFonts w:eastAsiaTheme="minorEastAsia"/>
                      <w:color w:val="auto"/>
                      <w:szCs w:val="21"/>
                      <w:lang w:val="zh-CN"/>
                    </w:rPr>
                  </w:pPr>
                  <w:r>
                    <w:rPr>
                      <w:rFonts w:eastAsiaTheme="minorEastAsia"/>
                      <w:color w:val="auto"/>
                      <w:szCs w:val="21"/>
                      <w:lang w:val="zh-CN"/>
                    </w:rPr>
                    <w:t>达标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6" w:hRule="atLeast"/>
                <w:jc w:val="center"/>
              </w:trPr>
              <w:tc>
                <w:tcPr>
                  <w:tcW w:w="494"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781"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1072"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435"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1195" w:type="dxa"/>
                </w:tcPr>
                <w:p>
                  <w:pPr>
                    <w:rPr>
                      <w:rFonts w:eastAsiaTheme="minorEastAsia"/>
                      <w:color w:val="auto"/>
                      <w:szCs w:val="21"/>
                    </w:rPr>
                  </w:pPr>
                  <w:r>
                    <w:rPr>
                      <w:rFonts w:eastAsiaTheme="minorEastAsia"/>
                      <w:color w:val="auto"/>
                      <w:szCs w:val="21"/>
                      <w:lang w:val="zh-CN"/>
                    </w:rPr>
                    <w:t>2019.2.20</w:t>
                  </w:r>
                </w:p>
              </w:tc>
              <w:tc>
                <w:tcPr>
                  <w:tcW w:w="1072" w:type="dxa"/>
                  <w:vMerge w:val="continue"/>
                  <w:vAlign w:val="center"/>
                </w:tcPr>
                <w:p>
                  <w:pPr>
                    <w:spacing w:line="240" w:lineRule="atLeast"/>
                    <w:jc w:val="center"/>
                    <w:rPr>
                      <w:rFonts w:eastAsiaTheme="minorEastAsia"/>
                      <w:color w:val="auto"/>
                      <w:szCs w:val="21"/>
                      <w:lang w:val="zh-CN"/>
                    </w:rPr>
                  </w:pPr>
                </w:p>
              </w:tc>
              <w:tc>
                <w:tcPr>
                  <w:tcW w:w="1137"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108~147</w:t>
                  </w:r>
                </w:p>
              </w:tc>
              <w:tc>
                <w:tcPr>
                  <w:tcW w:w="1416"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73.5</w:t>
                  </w:r>
                </w:p>
              </w:tc>
              <w:tc>
                <w:tcPr>
                  <w:tcW w:w="566"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0</w:t>
                  </w:r>
                </w:p>
              </w:tc>
              <w:tc>
                <w:tcPr>
                  <w:tcW w:w="739"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达标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86" w:hRule="atLeast"/>
                <w:jc w:val="center"/>
              </w:trPr>
              <w:tc>
                <w:tcPr>
                  <w:tcW w:w="494"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781"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1072"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435"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1195" w:type="dxa"/>
                  <w:vAlign w:val="center"/>
                </w:tcPr>
                <w:p>
                  <w:pPr>
                    <w:spacing w:line="240" w:lineRule="atLeast"/>
                    <w:jc w:val="center"/>
                    <w:rPr>
                      <w:rFonts w:eastAsiaTheme="minorEastAsia"/>
                      <w:color w:val="auto"/>
                      <w:szCs w:val="21"/>
                    </w:rPr>
                  </w:pPr>
                  <w:r>
                    <w:rPr>
                      <w:rFonts w:eastAsiaTheme="minorEastAsia"/>
                      <w:color w:val="auto"/>
                      <w:szCs w:val="21"/>
                      <w:lang w:val="zh-CN"/>
                    </w:rPr>
                    <w:t>2019.2.21</w:t>
                  </w:r>
                </w:p>
              </w:tc>
              <w:tc>
                <w:tcPr>
                  <w:tcW w:w="1072" w:type="dxa"/>
                  <w:vMerge w:val="continue"/>
                  <w:vAlign w:val="center"/>
                </w:tcPr>
                <w:p>
                  <w:pPr>
                    <w:spacing w:line="240" w:lineRule="atLeast"/>
                    <w:jc w:val="center"/>
                    <w:rPr>
                      <w:rFonts w:eastAsiaTheme="minorEastAsia"/>
                      <w:color w:val="auto"/>
                      <w:szCs w:val="21"/>
                      <w:lang w:val="zh-CN"/>
                    </w:rPr>
                  </w:pPr>
                </w:p>
              </w:tc>
              <w:tc>
                <w:tcPr>
                  <w:tcW w:w="1137"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113~123</w:t>
                  </w:r>
                </w:p>
              </w:tc>
              <w:tc>
                <w:tcPr>
                  <w:tcW w:w="1416"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61.5</w:t>
                  </w:r>
                </w:p>
              </w:tc>
              <w:tc>
                <w:tcPr>
                  <w:tcW w:w="566"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0</w:t>
                  </w:r>
                </w:p>
              </w:tc>
              <w:tc>
                <w:tcPr>
                  <w:tcW w:w="739"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达标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4" w:hRule="atLeast"/>
                <w:jc w:val="center"/>
              </w:trPr>
              <w:tc>
                <w:tcPr>
                  <w:tcW w:w="494"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781" w:type="dxa"/>
                  <w:vMerge w:val="continue"/>
                  <w:tcMar>
                    <w:left w:w="28" w:type="dxa"/>
                    <w:right w:w="28" w:type="dxa"/>
                  </w:tcMar>
                  <w:vAlign w:val="center"/>
                </w:tcPr>
                <w:p>
                  <w:pPr>
                    <w:autoSpaceDE w:val="0"/>
                    <w:autoSpaceDN w:val="0"/>
                    <w:adjustRightInd w:val="0"/>
                    <w:spacing w:line="240" w:lineRule="atLeast"/>
                    <w:jc w:val="center"/>
                    <w:rPr>
                      <w:rFonts w:eastAsiaTheme="minorEastAsia"/>
                      <w:color w:val="auto"/>
                      <w:szCs w:val="21"/>
                      <w:lang w:val="zh-CN"/>
                    </w:rPr>
                  </w:pPr>
                </w:p>
              </w:tc>
              <w:tc>
                <w:tcPr>
                  <w:tcW w:w="1072"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435" w:type="dxa"/>
                  <w:vMerge w:val="continue"/>
                  <w:vAlign w:val="center"/>
                </w:tcPr>
                <w:p>
                  <w:pPr>
                    <w:autoSpaceDE w:val="0"/>
                    <w:autoSpaceDN w:val="0"/>
                    <w:adjustRightInd w:val="0"/>
                    <w:spacing w:line="240" w:lineRule="atLeast"/>
                    <w:jc w:val="center"/>
                    <w:rPr>
                      <w:rFonts w:eastAsiaTheme="minorEastAsia"/>
                      <w:color w:val="auto"/>
                      <w:szCs w:val="21"/>
                      <w:lang w:val="zh-CN"/>
                    </w:rPr>
                  </w:pPr>
                </w:p>
              </w:tc>
              <w:tc>
                <w:tcPr>
                  <w:tcW w:w="1195"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2019.2.22</w:t>
                  </w:r>
                </w:p>
              </w:tc>
              <w:tc>
                <w:tcPr>
                  <w:tcW w:w="1072" w:type="dxa"/>
                  <w:vMerge w:val="continue"/>
                  <w:vAlign w:val="center"/>
                </w:tcPr>
                <w:p>
                  <w:pPr>
                    <w:spacing w:line="240" w:lineRule="atLeast"/>
                    <w:jc w:val="center"/>
                    <w:rPr>
                      <w:rFonts w:eastAsiaTheme="minorEastAsia"/>
                      <w:color w:val="auto"/>
                      <w:szCs w:val="21"/>
                      <w:lang w:val="zh-CN"/>
                    </w:rPr>
                  </w:pPr>
                </w:p>
              </w:tc>
              <w:tc>
                <w:tcPr>
                  <w:tcW w:w="1137"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90~111</w:t>
                  </w:r>
                </w:p>
              </w:tc>
              <w:tc>
                <w:tcPr>
                  <w:tcW w:w="1416"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55.5</w:t>
                  </w:r>
                </w:p>
              </w:tc>
              <w:tc>
                <w:tcPr>
                  <w:tcW w:w="566"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0</w:t>
                  </w:r>
                </w:p>
              </w:tc>
              <w:tc>
                <w:tcPr>
                  <w:tcW w:w="739" w:type="dxa"/>
                  <w:vAlign w:val="center"/>
                </w:tcPr>
                <w:p>
                  <w:pPr>
                    <w:spacing w:line="240" w:lineRule="atLeast"/>
                    <w:jc w:val="center"/>
                    <w:rPr>
                      <w:rFonts w:eastAsiaTheme="minorEastAsia"/>
                      <w:color w:val="auto"/>
                      <w:szCs w:val="21"/>
                      <w:lang w:val="zh-CN"/>
                    </w:rPr>
                  </w:pPr>
                  <w:r>
                    <w:rPr>
                      <w:rFonts w:eastAsiaTheme="minorEastAsia"/>
                      <w:color w:val="auto"/>
                      <w:szCs w:val="21"/>
                      <w:lang w:val="zh-CN"/>
                    </w:rPr>
                    <w:t>达标</w:t>
                  </w:r>
                </w:p>
              </w:tc>
            </w:tr>
          </w:tbl>
          <w:p>
            <w:pPr>
              <w:adjustRightInd w:val="0"/>
              <w:snapToGrid w:val="0"/>
              <w:spacing w:line="360" w:lineRule="auto"/>
              <w:ind w:firstLine="442" w:firstLineChars="200"/>
              <w:rPr>
                <w:rFonts w:eastAsiaTheme="minorEastAsia"/>
                <w:b/>
                <w:color w:val="auto"/>
                <w:sz w:val="22"/>
              </w:rPr>
            </w:pPr>
            <w:r>
              <w:rPr>
                <w:rFonts w:eastAsiaTheme="minorEastAsia"/>
                <w:b/>
                <w:color w:val="auto"/>
                <w:sz w:val="22"/>
              </w:rPr>
              <w:t>注：2019.2.18日因项目所在地下雪原因，未进行环境空气质量现状监测</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由表15、16可知，</w:t>
            </w:r>
            <w:r>
              <w:rPr>
                <w:rFonts w:eastAsiaTheme="minorEastAsia"/>
                <w:color w:val="auto"/>
                <w:kern w:val="0"/>
                <w:sz w:val="24"/>
              </w:rPr>
              <w:t>监测点位</w:t>
            </w:r>
            <w:r>
              <w:rPr>
                <w:rFonts w:eastAsiaTheme="minorEastAsia"/>
                <w:color w:val="auto"/>
                <w:sz w:val="24"/>
              </w:rPr>
              <w:t>H</w:t>
            </w:r>
            <w:r>
              <w:rPr>
                <w:rFonts w:eastAsiaTheme="minorEastAsia"/>
                <w:color w:val="auto"/>
                <w:sz w:val="24"/>
                <w:vertAlign w:val="subscript"/>
              </w:rPr>
              <w:t>2</w:t>
            </w:r>
            <w:r>
              <w:rPr>
                <w:rFonts w:eastAsiaTheme="minorEastAsia"/>
                <w:color w:val="auto"/>
                <w:sz w:val="24"/>
              </w:rPr>
              <w:t>S</w:t>
            </w:r>
            <w:r>
              <w:rPr>
                <w:rFonts w:eastAsiaTheme="minorEastAsia"/>
                <w:bCs/>
                <w:color w:val="auto"/>
                <w:kern w:val="0"/>
                <w:sz w:val="24"/>
              </w:rPr>
              <w:t>监测浓度</w:t>
            </w:r>
            <w:r>
              <w:rPr>
                <w:rFonts w:eastAsiaTheme="minorEastAsia"/>
                <w:color w:val="auto"/>
                <w:kern w:val="0"/>
                <w:sz w:val="24"/>
              </w:rPr>
              <w:t>范围为1~7</w:t>
            </w:r>
            <w:r>
              <w:rPr>
                <w:rFonts w:eastAsiaTheme="minorEastAsia"/>
                <w:color w:val="auto"/>
                <w:sz w:val="24"/>
              </w:rPr>
              <w:t>μg/m</w:t>
            </w:r>
            <w:r>
              <w:rPr>
                <w:rFonts w:eastAsiaTheme="minorEastAsia"/>
                <w:color w:val="auto"/>
                <w:sz w:val="24"/>
                <w:vertAlign w:val="superscript"/>
              </w:rPr>
              <w:t>3</w:t>
            </w:r>
            <w:r>
              <w:rPr>
                <w:rFonts w:eastAsiaTheme="minorEastAsia"/>
                <w:color w:val="auto"/>
                <w:sz w:val="24"/>
              </w:rPr>
              <w:t>；N</w:t>
            </w:r>
            <w:r>
              <w:rPr>
                <w:rFonts w:eastAsiaTheme="minorEastAsia"/>
                <w:bCs/>
                <w:color w:val="auto"/>
                <w:sz w:val="24"/>
              </w:rPr>
              <w:t>H</w:t>
            </w:r>
            <w:r>
              <w:rPr>
                <w:rFonts w:eastAsiaTheme="minorEastAsia"/>
                <w:bCs/>
                <w:color w:val="auto"/>
                <w:sz w:val="24"/>
                <w:vertAlign w:val="subscript"/>
              </w:rPr>
              <w:t>3</w:t>
            </w:r>
            <w:r>
              <w:rPr>
                <w:rFonts w:eastAsiaTheme="minorEastAsia"/>
                <w:bCs/>
                <w:color w:val="auto"/>
                <w:kern w:val="0"/>
                <w:sz w:val="24"/>
              </w:rPr>
              <w:t>监测浓度</w:t>
            </w:r>
            <w:r>
              <w:rPr>
                <w:rFonts w:eastAsiaTheme="minorEastAsia"/>
                <w:color w:val="auto"/>
                <w:kern w:val="0"/>
                <w:sz w:val="24"/>
              </w:rPr>
              <w:t>范围为46~147</w:t>
            </w:r>
            <w:r>
              <w:rPr>
                <w:rFonts w:eastAsiaTheme="minorEastAsia"/>
                <w:color w:val="auto"/>
                <w:sz w:val="24"/>
              </w:rPr>
              <w:t>μg/m</w:t>
            </w:r>
            <w:r>
              <w:rPr>
                <w:rFonts w:eastAsiaTheme="minorEastAsia"/>
                <w:color w:val="auto"/>
                <w:sz w:val="24"/>
                <w:vertAlign w:val="superscript"/>
              </w:rPr>
              <w:t>3</w:t>
            </w:r>
            <w:r>
              <w:rPr>
                <w:rFonts w:eastAsiaTheme="minorEastAsia"/>
                <w:color w:val="auto"/>
                <w:sz w:val="24"/>
              </w:rPr>
              <w:t>，满足《环境影响评价技术导则大气环境》（HJ2.2-2018）附录D</w:t>
            </w:r>
            <w:r>
              <w:rPr>
                <w:rFonts w:eastAsiaTheme="minorEastAsia"/>
                <w:bCs/>
                <w:color w:val="auto"/>
                <w:sz w:val="24"/>
              </w:rPr>
              <w:t>表D.1中标准限值</w:t>
            </w:r>
            <w:r>
              <w:rPr>
                <w:rFonts w:eastAsiaTheme="minorEastAsia"/>
                <w:color w:val="auto"/>
                <w:sz w:val="24"/>
              </w:rPr>
              <w:t>：H</w:t>
            </w:r>
            <w:r>
              <w:rPr>
                <w:rFonts w:eastAsiaTheme="minorEastAsia"/>
                <w:color w:val="auto"/>
                <w:sz w:val="24"/>
                <w:vertAlign w:val="subscript"/>
              </w:rPr>
              <w:t>2</w:t>
            </w:r>
            <w:r>
              <w:rPr>
                <w:rFonts w:eastAsiaTheme="minorEastAsia"/>
                <w:color w:val="auto"/>
                <w:sz w:val="24"/>
              </w:rPr>
              <w:t>S≤10ug/m</w:t>
            </w:r>
            <w:r>
              <w:rPr>
                <w:rFonts w:eastAsiaTheme="minorEastAsia"/>
                <w:color w:val="auto"/>
                <w:sz w:val="24"/>
                <w:vertAlign w:val="superscript"/>
              </w:rPr>
              <w:t>3</w:t>
            </w:r>
            <w:r>
              <w:rPr>
                <w:rFonts w:eastAsiaTheme="minorEastAsia"/>
                <w:color w:val="auto"/>
                <w:sz w:val="24"/>
              </w:rPr>
              <w:t>；</w:t>
            </w:r>
            <w:r>
              <w:rPr>
                <w:rFonts w:eastAsiaTheme="minorEastAsia"/>
                <w:bCs/>
                <w:color w:val="auto"/>
                <w:sz w:val="24"/>
              </w:rPr>
              <w:t>NH</w:t>
            </w:r>
            <w:r>
              <w:rPr>
                <w:rFonts w:eastAsiaTheme="minorEastAsia"/>
                <w:bCs/>
                <w:color w:val="auto"/>
                <w:sz w:val="24"/>
                <w:vertAlign w:val="subscript"/>
              </w:rPr>
              <w:t>3</w:t>
            </w:r>
            <w:r>
              <w:rPr>
                <w:rFonts w:eastAsiaTheme="minorEastAsia"/>
                <w:color w:val="auto"/>
                <w:sz w:val="24"/>
              </w:rPr>
              <w:t>≤200ug/m</w:t>
            </w:r>
            <w:r>
              <w:rPr>
                <w:rFonts w:eastAsiaTheme="minorEastAsia"/>
                <w:color w:val="auto"/>
                <w:sz w:val="24"/>
                <w:vertAlign w:val="superscript"/>
              </w:rPr>
              <w:t>3</w:t>
            </w:r>
            <w:r>
              <w:rPr>
                <w:rFonts w:eastAsiaTheme="minorEastAsia"/>
                <w:color w:val="auto"/>
                <w:sz w:val="24"/>
              </w:rPr>
              <w:t>要求。因此，通过监测数据说明本项目所在区域环境空气质量较好。</w:t>
            </w:r>
          </w:p>
          <w:p>
            <w:pPr>
              <w:adjustRightInd w:val="0"/>
              <w:snapToGrid w:val="0"/>
              <w:spacing w:line="360" w:lineRule="auto"/>
              <w:ind w:firstLine="472" w:firstLineChars="196"/>
              <w:rPr>
                <w:rFonts w:eastAsiaTheme="minorEastAsia"/>
                <w:b/>
                <w:color w:val="auto"/>
                <w:sz w:val="24"/>
              </w:rPr>
            </w:pPr>
            <w:r>
              <w:rPr>
                <w:rFonts w:eastAsiaTheme="minorEastAsia"/>
                <w:b/>
                <w:color w:val="auto"/>
                <w:sz w:val="24"/>
              </w:rPr>
              <w:t>2、地表水质量现状</w:t>
            </w:r>
          </w:p>
          <w:p>
            <w:pPr>
              <w:adjustRightInd w:val="0"/>
              <w:snapToGrid w:val="0"/>
              <w:spacing w:line="360" w:lineRule="auto"/>
              <w:ind w:firstLine="482"/>
              <w:rPr>
                <w:rFonts w:eastAsiaTheme="minorEastAsia"/>
                <w:color w:val="auto"/>
                <w:sz w:val="24"/>
              </w:rPr>
            </w:pPr>
            <w:r>
              <w:rPr>
                <w:rFonts w:eastAsiaTheme="minorEastAsia"/>
                <w:color w:val="auto"/>
                <w:sz w:val="24"/>
              </w:rPr>
              <w:t>2.1评价时期确定</w:t>
            </w:r>
          </w:p>
          <w:p>
            <w:pPr>
              <w:adjustRightInd w:val="0"/>
              <w:snapToGrid w:val="0"/>
              <w:spacing w:line="360" w:lineRule="auto"/>
              <w:ind w:firstLine="482"/>
              <w:rPr>
                <w:rFonts w:eastAsiaTheme="minorEastAsia"/>
                <w:color w:val="auto"/>
                <w:sz w:val="24"/>
              </w:rPr>
            </w:pPr>
            <w:r>
              <w:rPr>
                <w:rFonts w:eastAsiaTheme="minorEastAsia"/>
                <w:color w:val="auto"/>
                <w:sz w:val="24"/>
              </w:rPr>
              <w:t>根据《环境影响评价技术导则-地表水环境》（HJ2.3-2018）确定，本项目评价时期为枯水期</w:t>
            </w:r>
          </w:p>
          <w:p>
            <w:pPr>
              <w:adjustRightInd w:val="0"/>
              <w:snapToGrid w:val="0"/>
              <w:spacing w:line="360" w:lineRule="auto"/>
              <w:ind w:firstLine="482"/>
              <w:rPr>
                <w:rFonts w:eastAsiaTheme="minorEastAsia"/>
                <w:color w:val="auto"/>
                <w:sz w:val="24"/>
              </w:rPr>
            </w:pPr>
            <w:r>
              <w:rPr>
                <w:rFonts w:eastAsiaTheme="minorEastAsia"/>
                <w:color w:val="auto"/>
                <w:sz w:val="24"/>
              </w:rPr>
              <w:t>2.2地表水环境质量现状</w:t>
            </w:r>
          </w:p>
          <w:p>
            <w:pPr>
              <w:adjustRightInd w:val="0"/>
              <w:snapToGrid w:val="0"/>
              <w:spacing w:line="360" w:lineRule="auto"/>
              <w:ind w:firstLine="482"/>
              <w:rPr>
                <w:rFonts w:eastAsiaTheme="minorEastAsia"/>
                <w:color w:val="auto"/>
                <w:sz w:val="24"/>
              </w:rPr>
            </w:pPr>
            <w:r>
              <w:rPr>
                <w:rFonts w:eastAsiaTheme="minorEastAsia"/>
                <w:color w:val="auto"/>
                <w:sz w:val="24"/>
              </w:rPr>
              <w:t>本项目所在区地表水为柏树底河，属马莲河支流，为了解项目所在地地表水环境质量现状，宁县金村乡人民政府委托</w:t>
            </w:r>
            <w:r>
              <w:rPr>
                <w:rFonts w:eastAsiaTheme="minorEastAsia"/>
                <w:color w:val="auto"/>
                <w:kern w:val="0"/>
                <w:sz w:val="24"/>
              </w:rPr>
              <w:t>兰州易通环境监测有限公司于2019年2月20日至21日连续2天</w:t>
            </w:r>
            <w:r>
              <w:rPr>
                <w:rFonts w:eastAsiaTheme="minorEastAsia"/>
                <w:color w:val="auto"/>
                <w:sz w:val="24"/>
              </w:rPr>
              <w:t>对项目区地表水环境质量现状进行了现场监测。</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⑴</w:t>
            </w:r>
            <w:r>
              <w:rPr>
                <w:rFonts w:eastAsiaTheme="minorEastAsia"/>
                <w:color w:val="auto"/>
                <w:sz w:val="24"/>
              </w:rPr>
              <w:t>监测断面布置</w:t>
            </w:r>
          </w:p>
          <w:p>
            <w:pPr>
              <w:adjustRightInd w:val="0"/>
              <w:snapToGrid w:val="0"/>
              <w:spacing w:line="360" w:lineRule="auto"/>
              <w:ind w:firstLine="352" w:firstLineChars="147"/>
              <w:rPr>
                <w:rFonts w:eastAsiaTheme="minorEastAsia"/>
                <w:b/>
                <w:color w:val="auto"/>
                <w:sz w:val="24"/>
              </w:rPr>
            </w:pPr>
            <w:r>
              <w:rPr>
                <w:rFonts w:eastAsiaTheme="minorEastAsia"/>
                <w:color w:val="auto"/>
                <w:sz w:val="24"/>
              </w:rPr>
              <w:t>本次布设2个监测断面，地表水环境质量现状监测断面分别为：1#（污水排放口入柏树底河上游500m处）、2#（污水排入柏树底河后下游1000m处）。监测断面与本项目的位置关系见表26及图13。</w:t>
            </w:r>
          </w:p>
          <w:p>
            <w:pPr>
              <w:adjustRightInd w:val="0"/>
              <w:snapToGrid w:val="0"/>
              <w:spacing w:line="360" w:lineRule="auto"/>
              <w:ind w:firstLine="482"/>
              <w:jc w:val="center"/>
              <w:rPr>
                <w:rFonts w:eastAsiaTheme="minorEastAsia"/>
                <w:b/>
                <w:color w:val="auto"/>
                <w:sz w:val="24"/>
              </w:rPr>
            </w:pPr>
            <w:r>
              <w:rPr>
                <w:rFonts w:eastAsiaTheme="minorEastAsia"/>
                <w:b/>
                <w:color w:val="auto"/>
                <w:sz w:val="24"/>
              </w:rPr>
              <w:t>表26地表水监测点位与本项目的位置关系表</w:t>
            </w:r>
          </w:p>
          <w:tbl>
            <w:tblPr>
              <w:tblStyle w:val="38"/>
              <w:tblW w:w="8643"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93"/>
              <w:gridCol w:w="5703"/>
              <w:gridCol w:w="1447"/>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493" w:type="dxa"/>
                  <w:vAlign w:val="center"/>
                </w:tcPr>
                <w:p>
                  <w:pPr>
                    <w:adjustRightInd w:val="0"/>
                    <w:snapToGrid w:val="0"/>
                    <w:jc w:val="center"/>
                    <w:rPr>
                      <w:rFonts w:eastAsiaTheme="minorEastAsia"/>
                      <w:color w:val="auto"/>
                      <w:szCs w:val="21"/>
                    </w:rPr>
                  </w:pPr>
                  <w:r>
                    <w:rPr>
                      <w:rFonts w:eastAsiaTheme="minorEastAsia"/>
                      <w:color w:val="auto"/>
                      <w:szCs w:val="21"/>
                    </w:rPr>
                    <w:t>编号</w:t>
                  </w:r>
                </w:p>
              </w:tc>
              <w:tc>
                <w:tcPr>
                  <w:tcW w:w="5703" w:type="dxa"/>
                  <w:vAlign w:val="center"/>
                </w:tcPr>
                <w:p>
                  <w:pPr>
                    <w:adjustRightInd w:val="0"/>
                    <w:snapToGrid w:val="0"/>
                    <w:jc w:val="center"/>
                    <w:rPr>
                      <w:rFonts w:eastAsiaTheme="minorEastAsia"/>
                      <w:color w:val="auto"/>
                      <w:szCs w:val="21"/>
                    </w:rPr>
                  </w:pPr>
                  <w:r>
                    <w:rPr>
                      <w:rFonts w:eastAsiaTheme="minorEastAsia"/>
                      <w:color w:val="auto"/>
                      <w:szCs w:val="21"/>
                    </w:rPr>
                    <w:t>与本项目的中心位置关系</w:t>
                  </w:r>
                </w:p>
              </w:tc>
              <w:tc>
                <w:tcPr>
                  <w:tcW w:w="1447" w:type="dxa"/>
                  <w:vAlign w:val="center"/>
                </w:tcPr>
                <w:p>
                  <w:pPr>
                    <w:adjustRightInd w:val="0"/>
                    <w:snapToGrid w:val="0"/>
                    <w:jc w:val="center"/>
                    <w:rPr>
                      <w:rFonts w:eastAsiaTheme="minorEastAsia"/>
                      <w:color w:val="auto"/>
                      <w:szCs w:val="21"/>
                    </w:rPr>
                  </w:pPr>
                  <w:r>
                    <w:rPr>
                      <w:rFonts w:eastAsiaTheme="minorEastAsia"/>
                      <w:color w:val="auto"/>
                      <w:szCs w:val="21"/>
                    </w:rPr>
                    <w:t>备注</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493" w:type="dxa"/>
                  <w:vAlign w:val="center"/>
                </w:tcPr>
                <w:p>
                  <w:pPr>
                    <w:adjustRightInd w:val="0"/>
                    <w:snapToGrid w:val="0"/>
                    <w:jc w:val="center"/>
                    <w:rPr>
                      <w:rFonts w:eastAsiaTheme="minorEastAsia"/>
                      <w:color w:val="auto"/>
                      <w:szCs w:val="21"/>
                    </w:rPr>
                  </w:pPr>
                  <w:r>
                    <w:rPr>
                      <w:rFonts w:eastAsiaTheme="minorEastAsia"/>
                      <w:color w:val="auto"/>
                      <w:szCs w:val="21"/>
                    </w:rPr>
                    <w:t>1#断面</w:t>
                  </w:r>
                </w:p>
              </w:tc>
              <w:tc>
                <w:tcPr>
                  <w:tcW w:w="5703" w:type="dxa"/>
                  <w:vAlign w:val="center"/>
                </w:tcPr>
                <w:p>
                  <w:pPr>
                    <w:adjustRightInd w:val="0"/>
                    <w:snapToGrid w:val="0"/>
                    <w:jc w:val="center"/>
                    <w:rPr>
                      <w:rFonts w:eastAsiaTheme="minorEastAsia"/>
                      <w:color w:val="auto"/>
                      <w:szCs w:val="21"/>
                    </w:rPr>
                  </w:pPr>
                  <w:r>
                    <w:rPr>
                      <w:rFonts w:eastAsiaTheme="minorEastAsia"/>
                      <w:color w:val="auto"/>
                      <w:szCs w:val="21"/>
                    </w:rPr>
                    <w:t>污水排放口入柏树底河上游500m处</w:t>
                  </w:r>
                </w:p>
              </w:tc>
              <w:tc>
                <w:tcPr>
                  <w:tcW w:w="1447" w:type="dxa"/>
                  <w:vAlign w:val="center"/>
                </w:tcPr>
                <w:p>
                  <w:pPr>
                    <w:adjustRightInd w:val="0"/>
                    <w:snapToGrid w:val="0"/>
                    <w:spacing w:line="240" w:lineRule="atLeast"/>
                    <w:rPr>
                      <w:rFonts w:eastAsiaTheme="minorEastAsia"/>
                      <w:color w:val="auto"/>
                      <w:szCs w:val="21"/>
                    </w:rPr>
                  </w:pPr>
                  <w:r>
                    <w:rPr>
                      <w:rFonts w:eastAsiaTheme="minorEastAsia"/>
                      <w:color w:val="auto"/>
                      <w:szCs w:val="21"/>
                    </w:rPr>
                    <w:t>对照断面</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493" w:type="dxa"/>
                  <w:vAlign w:val="center"/>
                </w:tcPr>
                <w:p>
                  <w:pPr>
                    <w:adjustRightInd w:val="0"/>
                    <w:snapToGrid w:val="0"/>
                    <w:jc w:val="center"/>
                    <w:rPr>
                      <w:rFonts w:eastAsiaTheme="minorEastAsia"/>
                      <w:color w:val="auto"/>
                      <w:szCs w:val="21"/>
                    </w:rPr>
                  </w:pPr>
                  <w:r>
                    <w:rPr>
                      <w:rFonts w:eastAsiaTheme="minorEastAsia"/>
                      <w:color w:val="auto"/>
                      <w:szCs w:val="21"/>
                    </w:rPr>
                    <w:t>2#断面</w:t>
                  </w:r>
                </w:p>
              </w:tc>
              <w:tc>
                <w:tcPr>
                  <w:tcW w:w="5703" w:type="dxa"/>
                  <w:vAlign w:val="center"/>
                </w:tcPr>
                <w:p>
                  <w:pPr>
                    <w:adjustRightInd w:val="0"/>
                    <w:snapToGrid w:val="0"/>
                    <w:jc w:val="center"/>
                    <w:rPr>
                      <w:rFonts w:eastAsiaTheme="minorEastAsia"/>
                      <w:color w:val="auto"/>
                      <w:szCs w:val="21"/>
                    </w:rPr>
                  </w:pPr>
                  <w:r>
                    <w:rPr>
                      <w:rFonts w:eastAsiaTheme="minorEastAsia"/>
                      <w:color w:val="auto"/>
                    </w:rPr>
                    <w:t>污水排入柏树底河后下游1000m处</w:t>
                  </w:r>
                </w:p>
              </w:tc>
              <w:tc>
                <w:tcPr>
                  <w:tcW w:w="1447" w:type="dxa"/>
                  <w:vAlign w:val="center"/>
                </w:tcPr>
                <w:p>
                  <w:pPr>
                    <w:adjustRightInd w:val="0"/>
                    <w:snapToGrid w:val="0"/>
                    <w:spacing w:line="240" w:lineRule="atLeast"/>
                    <w:rPr>
                      <w:rFonts w:eastAsiaTheme="minorEastAsia"/>
                      <w:color w:val="auto"/>
                      <w:szCs w:val="21"/>
                    </w:rPr>
                  </w:pPr>
                  <w:r>
                    <w:rPr>
                      <w:rFonts w:eastAsiaTheme="minorEastAsia"/>
                      <w:color w:val="auto"/>
                      <w:szCs w:val="21"/>
                    </w:rPr>
                    <w:t>控制断面</w:t>
                  </w:r>
                </w:p>
              </w:tc>
            </w:tr>
          </w:tbl>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⑵</w:t>
            </w:r>
            <w:r>
              <w:rPr>
                <w:rFonts w:eastAsiaTheme="minorEastAsia"/>
                <w:color w:val="auto"/>
                <w:sz w:val="24"/>
              </w:rPr>
              <w:t>监测时间及频率</w:t>
            </w:r>
          </w:p>
          <w:p>
            <w:pPr>
              <w:adjustRightInd w:val="0"/>
              <w:snapToGrid w:val="0"/>
              <w:spacing w:line="360" w:lineRule="auto"/>
              <w:ind w:firstLine="482"/>
              <w:rPr>
                <w:rFonts w:eastAsiaTheme="minorEastAsia"/>
                <w:color w:val="auto"/>
                <w:sz w:val="24"/>
              </w:rPr>
            </w:pPr>
            <w:r>
              <w:rPr>
                <w:rFonts w:eastAsiaTheme="minorEastAsia"/>
                <w:color w:val="auto"/>
                <w:sz w:val="24"/>
              </w:rPr>
              <w:t>连续监测2天，每天1次。</w:t>
            </w:r>
          </w:p>
          <w:p>
            <w:pPr>
              <w:adjustRightInd w:val="0"/>
              <w:snapToGrid w:val="0"/>
              <w:spacing w:line="360" w:lineRule="auto"/>
              <w:ind w:firstLine="482"/>
              <w:rPr>
                <w:rFonts w:eastAsiaTheme="minorEastAsia"/>
                <w:color w:val="auto"/>
                <w:sz w:val="24"/>
              </w:rPr>
            </w:pPr>
            <w:r>
              <w:rPr>
                <w:rFonts w:hint="eastAsia" w:ascii="宋体" w:hAnsi="宋体" w:cs="宋体"/>
                <w:color w:val="auto"/>
                <w:sz w:val="24"/>
              </w:rPr>
              <w:t>⑶</w:t>
            </w:r>
            <w:r>
              <w:rPr>
                <w:rFonts w:eastAsiaTheme="minorEastAsia"/>
                <w:color w:val="auto"/>
                <w:sz w:val="24"/>
              </w:rPr>
              <w:t>监测项目</w:t>
            </w:r>
          </w:p>
          <w:p>
            <w:pPr>
              <w:adjustRightInd w:val="0"/>
              <w:snapToGrid w:val="0"/>
              <w:spacing w:line="360" w:lineRule="auto"/>
              <w:ind w:firstLine="482"/>
              <w:rPr>
                <w:rFonts w:eastAsiaTheme="minorEastAsia"/>
                <w:color w:val="auto"/>
                <w:sz w:val="24"/>
              </w:rPr>
            </w:pPr>
            <w:r>
              <w:rPr>
                <w:rFonts w:eastAsiaTheme="minorEastAsia"/>
                <w:color w:val="auto"/>
                <w:sz w:val="24"/>
              </w:rPr>
              <w:t>pH、CODcr、BOD</w:t>
            </w:r>
            <w:r>
              <w:rPr>
                <w:rFonts w:eastAsiaTheme="minorEastAsia"/>
                <w:color w:val="auto"/>
                <w:sz w:val="24"/>
                <w:vertAlign w:val="subscript"/>
              </w:rPr>
              <w:t>5</w:t>
            </w:r>
            <w:r>
              <w:rPr>
                <w:rFonts w:eastAsiaTheme="minorEastAsia"/>
                <w:color w:val="auto"/>
                <w:sz w:val="24"/>
              </w:rPr>
              <w:t>、氨氮、总氮、总磷、溶解氧、水温、挥发酚、氰化物、高锰酸盐指数、砷、汞、铜、铅、锌、镉、动植物油、粪大肠菌群共19项；</w:t>
            </w:r>
          </w:p>
          <w:p>
            <w:pPr>
              <w:adjustRightInd w:val="0"/>
              <w:snapToGrid w:val="0"/>
              <w:spacing w:line="360" w:lineRule="auto"/>
              <w:ind w:firstLine="482"/>
              <w:rPr>
                <w:rFonts w:eastAsiaTheme="minorEastAsia"/>
                <w:color w:val="auto"/>
                <w:sz w:val="24"/>
              </w:rPr>
            </w:pPr>
            <w:r>
              <w:rPr>
                <w:rFonts w:hint="eastAsia" w:ascii="宋体" w:hAnsi="宋体" w:cs="宋体"/>
                <w:color w:val="auto"/>
                <w:sz w:val="24"/>
              </w:rPr>
              <w:t>⑷</w:t>
            </w:r>
            <w:r>
              <w:rPr>
                <w:rFonts w:eastAsiaTheme="minorEastAsia"/>
                <w:color w:val="auto"/>
                <w:sz w:val="24"/>
              </w:rPr>
              <w:t>监测方法</w:t>
            </w:r>
          </w:p>
          <w:p>
            <w:pPr>
              <w:adjustRightInd w:val="0"/>
              <w:snapToGrid w:val="0"/>
              <w:spacing w:line="360" w:lineRule="auto"/>
              <w:ind w:firstLine="482"/>
              <w:rPr>
                <w:rFonts w:eastAsiaTheme="minorEastAsia"/>
                <w:color w:val="auto"/>
                <w:sz w:val="24"/>
              </w:rPr>
            </w:pPr>
            <w:r>
              <w:rPr>
                <w:rFonts w:eastAsiaTheme="minorEastAsia"/>
                <w:color w:val="auto"/>
                <w:sz w:val="24"/>
              </w:rPr>
              <w:t>采样要求按《地表水和污水监测技术规范》执行，分析方法执行《地表水环境质量标准》（GB3838-2002）进行采样及分析。</w:t>
            </w:r>
          </w:p>
          <w:p>
            <w:pPr>
              <w:adjustRightInd w:val="0"/>
              <w:snapToGrid w:val="0"/>
              <w:spacing w:line="360" w:lineRule="auto"/>
              <w:ind w:firstLine="482"/>
              <w:rPr>
                <w:rFonts w:eastAsiaTheme="minorEastAsia"/>
                <w:color w:val="auto"/>
                <w:sz w:val="24"/>
              </w:rPr>
            </w:pPr>
            <w:r>
              <w:rPr>
                <w:rFonts w:hint="eastAsia" w:ascii="宋体" w:hAnsi="宋体" w:cs="宋体"/>
                <w:color w:val="auto"/>
                <w:sz w:val="24"/>
              </w:rPr>
              <w:t>⑸</w:t>
            </w:r>
            <w:r>
              <w:rPr>
                <w:rFonts w:eastAsiaTheme="minorEastAsia"/>
                <w:color w:val="auto"/>
                <w:sz w:val="24"/>
              </w:rPr>
              <w:t>监测结果</w:t>
            </w:r>
          </w:p>
          <w:p>
            <w:pPr>
              <w:adjustRightInd w:val="0"/>
              <w:snapToGrid w:val="0"/>
              <w:spacing w:line="360" w:lineRule="auto"/>
              <w:ind w:firstLine="480" w:firstLineChars="200"/>
              <w:rPr>
                <w:rFonts w:eastAsiaTheme="minorEastAsia"/>
                <w:b/>
                <w:color w:val="auto"/>
                <w:sz w:val="24"/>
              </w:rPr>
            </w:pPr>
            <w:r>
              <w:rPr>
                <w:rFonts w:eastAsiaTheme="minorEastAsia"/>
                <w:color w:val="auto"/>
                <w:sz w:val="24"/>
              </w:rPr>
              <w:t>地表水监测结果统计见表27。</w:t>
            </w:r>
          </w:p>
          <w:p>
            <w:pPr>
              <w:tabs>
                <w:tab w:val="left" w:pos="675"/>
              </w:tabs>
              <w:adjustRightInd w:val="0"/>
              <w:snapToGrid w:val="0"/>
              <w:spacing w:line="360" w:lineRule="auto"/>
              <w:jc w:val="center"/>
              <w:rPr>
                <w:rFonts w:eastAsiaTheme="minorEastAsia"/>
                <w:b/>
                <w:color w:val="auto"/>
                <w:sz w:val="24"/>
              </w:rPr>
            </w:pPr>
            <w:r>
              <w:rPr>
                <w:rFonts w:eastAsiaTheme="minorEastAsia"/>
                <w:b/>
                <w:color w:val="auto"/>
                <w:sz w:val="24"/>
              </w:rPr>
              <w:t>表27地表水质监测结果</w:t>
            </w:r>
            <w:r>
              <w:rPr>
                <w:rFonts w:eastAsiaTheme="minorEastAsia"/>
                <w:b/>
                <w:bCs/>
                <w:color w:val="auto"/>
                <w:szCs w:val="21"/>
              </w:rPr>
              <w:t>单位：</w:t>
            </w:r>
            <w:r>
              <w:rPr>
                <w:rFonts w:eastAsiaTheme="minorEastAsia"/>
                <w:b/>
                <w:color w:val="auto"/>
                <w:szCs w:val="21"/>
              </w:rPr>
              <w:t>mg/L（pH和粪大肠菌群除外）</w:t>
            </w:r>
          </w:p>
          <w:tbl>
            <w:tblPr>
              <w:tblStyle w:val="38"/>
              <w:tblpPr w:leftFromText="180" w:rightFromText="180" w:vertAnchor="text" w:horzAnchor="margin" w:tblpXSpec="center" w:tblpY="158"/>
              <w:tblOverlap w:val="never"/>
              <w:tblW w:w="8907"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93"/>
              <w:gridCol w:w="992"/>
              <w:gridCol w:w="946"/>
              <w:gridCol w:w="1066"/>
              <w:gridCol w:w="1066"/>
              <w:gridCol w:w="1074"/>
              <w:gridCol w:w="1117"/>
              <w:gridCol w:w="1653"/>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993" w:type="dxa"/>
                  <w:vMerge w:val="restart"/>
                  <w:vAlign w:val="center"/>
                </w:tcPr>
                <w:p>
                  <w:pPr>
                    <w:adjustRightInd w:val="0"/>
                    <w:snapToGrid w:val="0"/>
                    <w:jc w:val="center"/>
                    <w:rPr>
                      <w:rFonts w:eastAsiaTheme="minorEastAsia"/>
                      <w:color w:val="auto"/>
                      <w:szCs w:val="21"/>
                    </w:rPr>
                  </w:pPr>
                </w:p>
              </w:tc>
              <w:tc>
                <w:tcPr>
                  <w:tcW w:w="1938" w:type="dxa"/>
                  <w:gridSpan w:val="2"/>
                  <w:vAlign w:val="center"/>
                </w:tcPr>
                <w:p>
                  <w:pPr>
                    <w:adjustRightInd w:val="0"/>
                    <w:snapToGrid w:val="0"/>
                    <w:jc w:val="center"/>
                    <w:rPr>
                      <w:rFonts w:eastAsiaTheme="minorEastAsia"/>
                      <w:color w:val="auto"/>
                      <w:szCs w:val="21"/>
                    </w:rPr>
                  </w:pPr>
                  <w:r>
                    <w:rPr>
                      <w:rFonts w:eastAsiaTheme="minorEastAsia"/>
                      <w:color w:val="auto"/>
                      <w:szCs w:val="21"/>
                    </w:rPr>
                    <w:t>2019.2.20</w:t>
                  </w:r>
                </w:p>
              </w:tc>
              <w:tc>
                <w:tcPr>
                  <w:tcW w:w="2132" w:type="dxa"/>
                  <w:gridSpan w:val="2"/>
                  <w:vAlign w:val="center"/>
                </w:tcPr>
                <w:p>
                  <w:pPr>
                    <w:adjustRightInd w:val="0"/>
                    <w:snapToGrid w:val="0"/>
                    <w:jc w:val="center"/>
                    <w:rPr>
                      <w:rFonts w:eastAsiaTheme="minorEastAsia"/>
                      <w:color w:val="auto"/>
                      <w:szCs w:val="21"/>
                    </w:rPr>
                  </w:pPr>
                  <w:r>
                    <w:rPr>
                      <w:rFonts w:eastAsiaTheme="minorEastAsia"/>
                      <w:color w:val="auto"/>
                      <w:szCs w:val="21"/>
                    </w:rPr>
                    <w:t>2019.2.21</w:t>
                  </w:r>
                </w:p>
              </w:tc>
              <w:tc>
                <w:tcPr>
                  <w:tcW w:w="2191" w:type="dxa"/>
                  <w:gridSpan w:val="2"/>
                  <w:vAlign w:val="center"/>
                </w:tcPr>
                <w:p>
                  <w:pPr>
                    <w:adjustRightInd w:val="0"/>
                    <w:snapToGrid w:val="0"/>
                    <w:jc w:val="center"/>
                    <w:rPr>
                      <w:rFonts w:eastAsiaTheme="minorEastAsia"/>
                      <w:color w:val="auto"/>
                      <w:szCs w:val="21"/>
                    </w:rPr>
                  </w:pPr>
                  <w:r>
                    <w:rPr>
                      <w:rFonts w:eastAsiaTheme="minorEastAsia"/>
                      <w:color w:val="auto"/>
                      <w:szCs w:val="21"/>
                    </w:rPr>
                    <w:t>2019.2.22</w:t>
                  </w:r>
                </w:p>
              </w:tc>
              <w:tc>
                <w:tcPr>
                  <w:tcW w:w="1653" w:type="dxa"/>
                  <w:vMerge w:val="restart"/>
                  <w:vAlign w:val="center"/>
                </w:tcPr>
                <w:p>
                  <w:pPr>
                    <w:adjustRightInd w:val="0"/>
                    <w:snapToGrid w:val="0"/>
                    <w:jc w:val="center"/>
                    <w:rPr>
                      <w:rFonts w:eastAsiaTheme="minorEastAsia"/>
                      <w:color w:val="auto"/>
                      <w:szCs w:val="21"/>
                    </w:rPr>
                  </w:pPr>
                  <w:r>
                    <w:rPr>
                      <w:rFonts w:eastAsiaTheme="minorEastAsia"/>
                      <w:color w:val="auto"/>
                      <w:szCs w:val="21"/>
                    </w:rPr>
                    <w:t>《地表水环境质量标准》(GB3838-2002)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993" w:type="dxa"/>
                  <w:vMerge w:val="continue"/>
                  <w:vAlign w:val="center"/>
                </w:tcPr>
                <w:p>
                  <w:pPr>
                    <w:adjustRightInd w:val="0"/>
                    <w:snapToGrid w:val="0"/>
                    <w:jc w:val="center"/>
                    <w:rPr>
                      <w:rFonts w:eastAsiaTheme="minorEastAsia"/>
                      <w:color w:val="auto"/>
                      <w:szCs w:val="21"/>
                    </w:rPr>
                  </w:pP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1#</w:t>
                  </w:r>
                </w:p>
              </w:tc>
              <w:tc>
                <w:tcPr>
                  <w:tcW w:w="946" w:type="dxa"/>
                  <w:vAlign w:val="center"/>
                </w:tcPr>
                <w:p>
                  <w:pPr>
                    <w:adjustRightInd w:val="0"/>
                    <w:snapToGrid w:val="0"/>
                    <w:jc w:val="center"/>
                    <w:rPr>
                      <w:rFonts w:eastAsiaTheme="minorEastAsia"/>
                      <w:color w:val="auto"/>
                      <w:szCs w:val="21"/>
                    </w:rPr>
                  </w:pPr>
                  <w:r>
                    <w:rPr>
                      <w:rFonts w:eastAsiaTheme="minorEastAsia"/>
                      <w:color w:val="auto"/>
                      <w:szCs w:val="21"/>
                    </w:rPr>
                    <w:t>2#</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1#</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2#</w:t>
                  </w:r>
                </w:p>
              </w:tc>
              <w:tc>
                <w:tcPr>
                  <w:tcW w:w="1074" w:type="dxa"/>
                  <w:vAlign w:val="center"/>
                </w:tcPr>
                <w:p>
                  <w:pPr>
                    <w:adjustRightInd w:val="0"/>
                    <w:snapToGrid w:val="0"/>
                    <w:jc w:val="center"/>
                    <w:rPr>
                      <w:rFonts w:eastAsiaTheme="minorEastAsia"/>
                      <w:color w:val="auto"/>
                      <w:szCs w:val="21"/>
                    </w:rPr>
                  </w:pPr>
                  <w:r>
                    <w:rPr>
                      <w:rFonts w:eastAsiaTheme="minorEastAsia"/>
                      <w:color w:val="auto"/>
                      <w:szCs w:val="21"/>
                    </w:rPr>
                    <w:t>1#</w:t>
                  </w:r>
                </w:p>
              </w:tc>
              <w:tc>
                <w:tcPr>
                  <w:tcW w:w="1117" w:type="dxa"/>
                  <w:vAlign w:val="center"/>
                </w:tcPr>
                <w:p>
                  <w:pPr>
                    <w:adjustRightInd w:val="0"/>
                    <w:snapToGrid w:val="0"/>
                    <w:jc w:val="center"/>
                    <w:rPr>
                      <w:rFonts w:eastAsiaTheme="minorEastAsia"/>
                      <w:color w:val="auto"/>
                      <w:szCs w:val="21"/>
                    </w:rPr>
                  </w:pPr>
                  <w:r>
                    <w:rPr>
                      <w:rFonts w:eastAsiaTheme="minorEastAsia"/>
                      <w:color w:val="auto"/>
                      <w:szCs w:val="21"/>
                    </w:rPr>
                    <w:t>2#</w:t>
                  </w:r>
                </w:p>
              </w:tc>
              <w:tc>
                <w:tcPr>
                  <w:tcW w:w="1653" w:type="dxa"/>
                  <w:vMerge w:val="continue"/>
                  <w:vAlign w:val="center"/>
                </w:tcPr>
                <w:p>
                  <w:pPr>
                    <w:adjustRightInd w:val="0"/>
                    <w:snapToGrid w:val="0"/>
                    <w:jc w:val="center"/>
                    <w:rPr>
                      <w:rFonts w:eastAsiaTheme="min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993" w:type="dxa"/>
                  <w:vAlign w:val="center"/>
                </w:tcPr>
                <w:p>
                  <w:pPr>
                    <w:adjustRightInd w:val="0"/>
                    <w:snapToGrid w:val="0"/>
                    <w:jc w:val="center"/>
                    <w:rPr>
                      <w:rFonts w:eastAsiaTheme="minorEastAsia"/>
                      <w:color w:val="auto"/>
                      <w:szCs w:val="21"/>
                    </w:rPr>
                  </w:pPr>
                  <w:r>
                    <w:rPr>
                      <w:rFonts w:eastAsiaTheme="minorEastAsia"/>
                      <w:color w:val="auto"/>
                      <w:szCs w:val="21"/>
                    </w:rPr>
                    <w:t>水温（</w:t>
                  </w:r>
                  <w:r>
                    <w:rPr>
                      <w:rFonts w:hint="eastAsia" w:ascii="宋体" w:hAnsi="宋体" w:cs="宋体"/>
                      <w:color w:val="auto"/>
                      <w:szCs w:val="21"/>
                    </w:rPr>
                    <w:t>℃</w:t>
                  </w:r>
                  <w:r>
                    <w:rPr>
                      <w:rFonts w:eastAsiaTheme="minorEastAsia"/>
                      <w:color w:val="auto"/>
                      <w:szCs w:val="21"/>
                    </w:rPr>
                    <w:t>)</w:t>
                  </w: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19.6</w:t>
                  </w:r>
                </w:p>
              </w:tc>
              <w:tc>
                <w:tcPr>
                  <w:tcW w:w="946" w:type="dxa"/>
                  <w:vAlign w:val="center"/>
                </w:tcPr>
                <w:p>
                  <w:pPr>
                    <w:jc w:val="center"/>
                    <w:rPr>
                      <w:rFonts w:eastAsiaTheme="minorEastAsia"/>
                      <w:color w:val="auto"/>
                      <w:szCs w:val="21"/>
                    </w:rPr>
                  </w:pPr>
                  <w:r>
                    <w:rPr>
                      <w:rFonts w:eastAsiaTheme="minorEastAsia"/>
                      <w:color w:val="auto"/>
                      <w:szCs w:val="21"/>
                    </w:rPr>
                    <w:t>19.6</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19.6</w:t>
                  </w:r>
                </w:p>
              </w:tc>
              <w:tc>
                <w:tcPr>
                  <w:tcW w:w="1066" w:type="dxa"/>
                  <w:vAlign w:val="center"/>
                </w:tcPr>
                <w:p>
                  <w:pPr>
                    <w:jc w:val="center"/>
                    <w:rPr>
                      <w:rFonts w:eastAsiaTheme="minorEastAsia"/>
                      <w:color w:val="auto"/>
                      <w:szCs w:val="21"/>
                    </w:rPr>
                  </w:pPr>
                  <w:r>
                    <w:rPr>
                      <w:rFonts w:eastAsiaTheme="minorEastAsia"/>
                      <w:color w:val="auto"/>
                      <w:szCs w:val="21"/>
                    </w:rPr>
                    <w:t>19.6</w:t>
                  </w:r>
                </w:p>
              </w:tc>
              <w:tc>
                <w:tcPr>
                  <w:tcW w:w="1074" w:type="dxa"/>
                  <w:vAlign w:val="center"/>
                </w:tcPr>
                <w:p>
                  <w:pPr>
                    <w:adjustRightInd w:val="0"/>
                    <w:snapToGrid w:val="0"/>
                    <w:jc w:val="center"/>
                    <w:rPr>
                      <w:rFonts w:eastAsiaTheme="minorEastAsia"/>
                      <w:color w:val="auto"/>
                      <w:szCs w:val="21"/>
                    </w:rPr>
                  </w:pPr>
                  <w:r>
                    <w:rPr>
                      <w:rFonts w:eastAsiaTheme="minorEastAsia"/>
                      <w:color w:val="auto"/>
                      <w:szCs w:val="21"/>
                    </w:rPr>
                    <w:t>20.2</w:t>
                  </w:r>
                </w:p>
              </w:tc>
              <w:tc>
                <w:tcPr>
                  <w:tcW w:w="1117" w:type="dxa"/>
                  <w:vAlign w:val="center"/>
                </w:tcPr>
                <w:p>
                  <w:pPr>
                    <w:jc w:val="center"/>
                    <w:rPr>
                      <w:rFonts w:eastAsiaTheme="minorEastAsia"/>
                      <w:color w:val="auto"/>
                      <w:szCs w:val="21"/>
                    </w:rPr>
                  </w:pPr>
                  <w:r>
                    <w:rPr>
                      <w:rFonts w:eastAsiaTheme="minorEastAsia"/>
                      <w:color w:val="auto"/>
                      <w:szCs w:val="21"/>
                    </w:rPr>
                    <w:t>20.2</w:t>
                  </w:r>
                </w:p>
              </w:tc>
              <w:tc>
                <w:tcPr>
                  <w:tcW w:w="1653" w:type="dxa"/>
                  <w:vAlign w:val="center"/>
                </w:tcPr>
                <w:p>
                  <w:pPr>
                    <w:jc w:val="center"/>
                    <w:rPr>
                      <w:rFonts w:eastAsiaTheme="minorEastAsia"/>
                      <w:color w:val="auto"/>
                      <w:szCs w:val="21"/>
                    </w:rPr>
                  </w:pPr>
                  <w:r>
                    <w:rPr>
                      <w:rFonts w:eastAsiaTheme="minorEastAsia"/>
                      <w:color w:val="auto"/>
                      <w:szCs w:val="21"/>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5" w:hRule="atLeast"/>
                <w:jc w:val="center"/>
              </w:trPr>
              <w:tc>
                <w:tcPr>
                  <w:tcW w:w="993" w:type="dxa"/>
                  <w:vAlign w:val="center"/>
                </w:tcPr>
                <w:p>
                  <w:pPr>
                    <w:adjustRightInd w:val="0"/>
                    <w:snapToGrid w:val="0"/>
                    <w:jc w:val="center"/>
                    <w:rPr>
                      <w:rFonts w:eastAsiaTheme="minorEastAsia"/>
                      <w:color w:val="auto"/>
                      <w:szCs w:val="21"/>
                    </w:rPr>
                  </w:pPr>
                  <w:r>
                    <w:rPr>
                      <w:rFonts w:eastAsiaTheme="minorEastAsia"/>
                      <w:color w:val="auto"/>
                      <w:szCs w:val="21"/>
                    </w:rPr>
                    <w:t>pH</w:t>
                  </w: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8.10</w:t>
                  </w:r>
                </w:p>
              </w:tc>
              <w:tc>
                <w:tcPr>
                  <w:tcW w:w="946" w:type="dxa"/>
                  <w:vAlign w:val="center"/>
                </w:tcPr>
                <w:p>
                  <w:pPr>
                    <w:jc w:val="center"/>
                    <w:rPr>
                      <w:rFonts w:eastAsiaTheme="minorEastAsia"/>
                      <w:color w:val="auto"/>
                      <w:szCs w:val="21"/>
                    </w:rPr>
                  </w:pPr>
                  <w:r>
                    <w:rPr>
                      <w:rFonts w:eastAsiaTheme="minorEastAsia"/>
                      <w:color w:val="auto"/>
                      <w:szCs w:val="21"/>
                    </w:rPr>
                    <w:t>8.11</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8.14</w:t>
                  </w:r>
                </w:p>
              </w:tc>
              <w:tc>
                <w:tcPr>
                  <w:tcW w:w="1066" w:type="dxa"/>
                  <w:vAlign w:val="center"/>
                </w:tcPr>
                <w:p>
                  <w:pPr>
                    <w:jc w:val="center"/>
                    <w:rPr>
                      <w:rFonts w:eastAsiaTheme="minorEastAsia"/>
                      <w:color w:val="auto"/>
                      <w:szCs w:val="21"/>
                    </w:rPr>
                  </w:pPr>
                  <w:r>
                    <w:rPr>
                      <w:rFonts w:eastAsiaTheme="minorEastAsia"/>
                      <w:color w:val="auto"/>
                      <w:szCs w:val="21"/>
                    </w:rPr>
                    <w:t>8.29</w:t>
                  </w:r>
                </w:p>
              </w:tc>
              <w:tc>
                <w:tcPr>
                  <w:tcW w:w="1074" w:type="dxa"/>
                  <w:vAlign w:val="center"/>
                </w:tcPr>
                <w:p>
                  <w:pPr>
                    <w:adjustRightInd w:val="0"/>
                    <w:snapToGrid w:val="0"/>
                    <w:jc w:val="center"/>
                    <w:rPr>
                      <w:rFonts w:eastAsiaTheme="minorEastAsia"/>
                      <w:color w:val="auto"/>
                      <w:szCs w:val="21"/>
                    </w:rPr>
                  </w:pPr>
                  <w:r>
                    <w:rPr>
                      <w:rFonts w:eastAsiaTheme="minorEastAsia"/>
                      <w:color w:val="auto"/>
                      <w:szCs w:val="21"/>
                    </w:rPr>
                    <w:t>8.13</w:t>
                  </w:r>
                </w:p>
              </w:tc>
              <w:tc>
                <w:tcPr>
                  <w:tcW w:w="1117" w:type="dxa"/>
                  <w:vAlign w:val="center"/>
                </w:tcPr>
                <w:p>
                  <w:pPr>
                    <w:jc w:val="center"/>
                    <w:rPr>
                      <w:rFonts w:eastAsiaTheme="minorEastAsia"/>
                      <w:color w:val="auto"/>
                      <w:szCs w:val="21"/>
                    </w:rPr>
                  </w:pPr>
                  <w:r>
                    <w:rPr>
                      <w:rFonts w:eastAsiaTheme="minorEastAsia"/>
                      <w:color w:val="auto"/>
                      <w:szCs w:val="21"/>
                    </w:rPr>
                    <w:t>8.03</w:t>
                  </w:r>
                </w:p>
              </w:tc>
              <w:tc>
                <w:tcPr>
                  <w:tcW w:w="1653" w:type="dxa"/>
                  <w:vAlign w:val="center"/>
                </w:tcPr>
                <w:p>
                  <w:pPr>
                    <w:jc w:val="center"/>
                    <w:rPr>
                      <w:rFonts w:eastAsiaTheme="minorEastAsia"/>
                      <w:color w:val="auto"/>
                      <w:szCs w:val="21"/>
                    </w:rPr>
                  </w:pPr>
                  <w:r>
                    <w:rPr>
                      <w:rFonts w:eastAsiaTheme="minorEastAsia"/>
                      <w:color w:val="auto"/>
                      <w:szCs w:val="21"/>
                    </w:rPr>
                    <w:t>6~9</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993" w:type="dxa"/>
                  <w:vAlign w:val="center"/>
                </w:tcPr>
                <w:p>
                  <w:pPr>
                    <w:adjustRightInd w:val="0"/>
                    <w:snapToGrid w:val="0"/>
                    <w:jc w:val="center"/>
                    <w:rPr>
                      <w:rFonts w:eastAsiaTheme="minorEastAsia"/>
                      <w:color w:val="auto"/>
                      <w:szCs w:val="21"/>
                    </w:rPr>
                  </w:pPr>
                  <w:r>
                    <w:rPr>
                      <w:rFonts w:eastAsiaTheme="minorEastAsia"/>
                      <w:color w:val="auto"/>
                      <w:szCs w:val="21"/>
                    </w:rPr>
                    <w:t>溶解氧</w:t>
                  </w: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8.15</w:t>
                  </w:r>
                </w:p>
              </w:tc>
              <w:tc>
                <w:tcPr>
                  <w:tcW w:w="946" w:type="dxa"/>
                  <w:vAlign w:val="center"/>
                </w:tcPr>
                <w:p>
                  <w:pPr>
                    <w:jc w:val="center"/>
                    <w:rPr>
                      <w:rFonts w:eastAsiaTheme="minorEastAsia"/>
                      <w:color w:val="auto"/>
                      <w:szCs w:val="21"/>
                    </w:rPr>
                  </w:pPr>
                  <w:r>
                    <w:rPr>
                      <w:rFonts w:eastAsiaTheme="minorEastAsia"/>
                      <w:color w:val="auto"/>
                      <w:szCs w:val="21"/>
                    </w:rPr>
                    <w:t>8.20</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8.13</w:t>
                  </w:r>
                </w:p>
              </w:tc>
              <w:tc>
                <w:tcPr>
                  <w:tcW w:w="1066" w:type="dxa"/>
                  <w:vAlign w:val="center"/>
                </w:tcPr>
                <w:p>
                  <w:pPr>
                    <w:jc w:val="center"/>
                    <w:rPr>
                      <w:rFonts w:eastAsiaTheme="minorEastAsia"/>
                      <w:color w:val="auto"/>
                      <w:szCs w:val="21"/>
                    </w:rPr>
                  </w:pPr>
                  <w:r>
                    <w:rPr>
                      <w:rFonts w:eastAsiaTheme="minorEastAsia"/>
                      <w:color w:val="auto"/>
                      <w:szCs w:val="21"/>
                    </w:rPr>
                    <w:t>8.40</w:t>
                  </w:r>
                </w:p>
              </w:tc>
              <w:tc>
                <w:tcPr>
                  <w:tcW w:w="1074" w:type="dxa"/>
                  <w:vAlign w:val="center"/>
                </w:tcPr>
                <w:p>
                  <w:pPr>
                    <w:adjustRightInd w:val="0"/>
                    <w:snapToGrid w:val="0"/>
                    <w:jc w:val="center"/>
                    <w:rPr>
                      <w:rFonts w:eastAsiaTheme="minorEastAsia"/>
                      <w:color w:val="auto"/>
                      <w:szCs w:val="21"/>
                    </w:rPr>
                  </w:pPr>
                  <w:r>
                    <w:rPr>
                      <w:rFonts w:eastAsiaTheme="minorEastAsia"/>
                      <w:color w:val="auto"/>
                      <w:szCs w:val="21"/>
                    </w:rPr>
                    <w:t>7.44</w:t>
                  </w:r>
                </w:p>
              </w:tc>
              <w:tc>
                <w:tcPr>
                  <w:tcW w:w="1117" w:type="dxa"/>
                  <w:vAlign w:val="center"/>
                </w:tcPr>
                <w:p>
                  <w:pPr>
                    <w:jc w:val="center"/>
                    <w:rPr>
                      <w:rFonts w:eastAsiaTheme="minorEastAsia"/>
                      <w:color w:val="auto"/>
                      <w:szCs w:val="21"/>
                    </w:rPr>
                  </w:pPr>
                  <w:r>
                    <w:rPr>
                      <w:rFonts w:eastAsiaTheme="minorEastAsia"/>
                      <w:color w:val="auto"/>
                      <w:szCs w:val="21"/>
                    </w:rPr>
                    <w:t>7.34</w:t>
                  </w:r>
                </w:p>
              </w:tc>
              <w:tc>
                <w:tcPr>
                  <w:tcW w:w="1653" w:type="dxa"/>
                  <w:vAlign w:val="center"/>
                </w:tcPr>
                <w:p>
                  <w:pPr>
                    <w:jc w:val="center"/>
                    <w:rPr>
                      <w:rFonts w:eastAsiaTheme="minorEastAsia"/>
                      <w:color w:val="auto"/>
                      <w:szCs w:val="21"/>
                    </w:rPr>
                  </w:pPr>
                  <w:r>
                    <w:rPr>
                      <w:rFonts w:eastAsiaTheme="minorEastAsia"/>
                      <w:color w:val="auto"/>
                      <w:szCs w:val="21"/>
                    </w:rPr>
                    <w:t>≥3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993" w:type="dxa"/>
                  <w:vAlign w:val="center"/>
                </w:tcPr>
                <w:p>
                  <w:pPr>
                    <w:adjustRightInd w:val="0"/>
                    <w:snapToGrid w:val="0"/>
                    <w:jc w:val="center"/>
                    <w:rPr>
                      <w:rFonts w:eastAsiaTheme="minorEastAsia"/>
                      <w:color w:val="auto"/>
                      <w:szCs w:val="21"/>
                    </w:rPr>
                  </w:pPr>
                  <w:r>
                    <w:rPr>
                      <w:rFonts w:eastAsiaTheme="minorEastAsia"/>
                      <w:color w:val="auto"/>
                      <w:szCs w:val="21"/>
                    </w:rPr>
                    <w:t>高锰酸盐指数</w:t>
                  </w: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1.36</w:t>
                  </w:r>
                </w:p>
              </w:tc>
              <w:tc>
                <w:tcPr>
                  <w:tcW w:w="946" w:type="dxa"/>
                  <w:vAlign w:val="center"/>
                </w:tcPr>
                <w:p>
                  <w:pPr>
                    <w:jc w:val="center"/>
                    <w:rPr>
                      <w:rFonts w:eastAsiaTheme="minorEastAsia"/>
                      <w:color w:val="auto"/>
                      <w:szCs w:val="21"/>
                    </w:rPr>
                  </w:pPr>
                  <w:r>
                    <w:rPr>
                      <w:rFonts w:eastAsiaTheme="minorEastAsia"/>
                      <w:color w:val="auto"/>
                      <w:szCs w:val="21"/>
                    </w:rPr>
                    <w:t>1.66</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1.36</w:t>
                  </w:r>
                </w:p>
              </w:tc>
              <w:tc>
                <w:tcPr>
                  <w:tcW w:w="1066" w:type="dxa"/>
                  <w:vAlign w:val="center"/>
                </w:tcPr>
                <w:p>
                  <w:pPr>
                    <w:jc w:val="center"/>
                    <w:rPr>
                      <w:rFonts w:eastAsiaTheme="minorEastAsia"/>
                      <w:color w:val="auto"/>
                      <w:szCs w:val="21"/>
                    </w:rPr>
                  </w:pPr>
                  <w:r>
                    <w:rPr>
                      <w:rFonts w:eastAsiaTheme="minorEastAsia"/>
                      <w:color w:val="auto"/>
                      <w:szCs w:val="21"/>
                    </w:rPr>
                    <w:t>1.10</w:t>
                  </w:r>
                </w:p>
              </w:tc>
              <w:tc>
                <w:tcPr>
                  <w:tcW w:w="1074" w:type="dxa"/>
                  <w:vAlign w:val="center"/>
                </w:tcPr>
                <w:p>
                  <w:pPr>
                    <w:adjustRightInd w:val="0"/>
                    <w:snapToGrid w:val="0"/>
                    <w:jc w:val="center"/>
                    <w:rPr>
                      <w:rFonts w:eastAsiaTheme="minorEastAsia"/>
                      <w:color w:val="auto"/>
                      <w:szCs w:val="21"/>
                    </w:rPr>
                  </w:pPr>
                  <w:r>
                    <w:rPr>
                      <w:rFonts w:eastAsiaTheme="minorEastAsia"/>
                      <w:color w:val="auto"/>
                      <w:szCs w:val="21"/>
                    </w:rPr>
                    <w:t>1.23</w:t>
                  </w:r>
                </w:p>
              </w:tc>
              <w:tc>
                <w:tcPr>
                  <w:tcW w:w="1117" w:type="dxa"/>
                  <w:vAlign w:val="center"/>
                </w:tcPr>
                <w:p>
                  <w:pPr>
                    <w:jc w:val="center"/>
                    <w:rPr>
                      <w:rFonts w:eastAsiaTheme="minorEastAsia"/>
                      <w:color w:val="auto"/>
                      <w:szCs w:val="21"/>
                    </w:rPr>
                  </w:pPr>
                  <w:r>
                    <w:rPr>
                      <w:rFonts w:eastAsiaTheme="minorEastAsia"/>
                      <w:color w:val="auto"/>
                      <w:szCs w:val="21"/>
                    </w:rPr>
                    <w:t>1.02</w:t>
                  </w:r>
                </w:p>
              </w:tc>
              <w:tc>
                <w:tcPr>
                  <w:tcW w:w="1653" w:type="dxa"/>
                  <w:vAlign w:val="center"/>
                </w:tcPr>
                <w:p>
                  <w:pPr>
                    <w:jc w:val="center"/>
                    <w:rPr>
                      <w:rFonts w:eastAsiaTheme="minorEastAsia"/>
                      <w:color w:val="auto"/>
                      <w:szCs w:val="21"/>
                    </w:rPr>
                  </w:pPr>
                  <w:r>
                    <w:rPr>
                      <w:rFonts w:eastAsiaTheme="minorEastAsia"/>
                      <w:color w:val="auto"/>
                      <w:szCs w:val="21"/>
                    </w:rPr>
                    <w:t>≤10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5" w:hRule="atLeast"/>
                <w:jc w:val="center"/>
              </w:trPr>
              <w:tc>
                <w:tcPr>
                  <w:tcW w:w="993" w:type="dxa"/>
                  <w:vAlign w:val="center"/>
                </w:tcPr>
                <w:p>
                  <w:pPr>
                    <w:adjustRightInd w:val="0"/>
                    <w:snapToGrid w:val="0"/>
                    <w:jc w:val="center"/>
                    <w:rPr>
                      <w:rFonts w:eastAsiaTheme="minorEastAsia"/>
                      <w:color w:val="auto"/>
                      <w:szCs w:val="21"/>
                    </w:rPr>
                  </w:pPr>
                  <w:r>
                    <w:rPr>
                      <w:rFonts w:eastAsiaTheme="minorEastAsia"/>
                      <w:color w:val="auto"/>
                      <w:szCs w:val="21"/>
                    </w:rPr>
                    <w:t>COD</w:t>
                  </w: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10</w:t>
                  </w:r>
                </w:p>
              </w:tc>
              <w:tc>
                <w:tcPr>
                  <w:tcW w:w="946" w:type="dxa"/>
                  <w:vAlign w:val="center"/>
                </w:tcPr>
                <w:p>
                  <w:pPr>
                    <w:jc w:val="center"/>
                    <w:rPr>
                      <w:rFonts w:eastAsiaTheme="minorEastAsia"/>
                      <w:color w:val="auto"/>
                      <w:szCs w:val="21"/>
                    </w:rPr>
                  </w:pPr>
                  <w:r>
                    <w:rPr>
                      <w:rFonts w:eastAsiaTheme="minorEastAsia"/>
                      <w:color w:val="auto"/>
                      <w:szCs w:val="21"/>
                    </w:rPr>
                    <w:t>6</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9</w:t>
                  </w:r>
                </w:p>
              </w:tc>
              <w:tc>
                <w:tcPr>
                  <w:tcW w:w="1066" w:type="dxa"/>
                  <w:vAlign w:val="center"/>
                </w:tcPr>
                <w:p>
                  <w:pPr>
                    <w:jc w:val="center"/>
                    <w:rPr>
                      <w:rFonts w:eastAsiaTheme="minorEastAsia"/>
                      <w:color w:val="auto"/>
                      <w:szCs w:val="21"/>
                    </w:rPr>
                  </w:pPr>
                  <w:r>
                    <w:rPr>
                      <w:rFonts w:eastAsiaTheme="minorEastAsia"/>
                      <w:color w:val="auto"/>
                      <w:szCs w:val="21"/>
                    </w:rPr>
                    <w:t>8</w:t>
                  </w:r>
                </w:p>
              </w:tc>
              <w:tc>
                <w:tcPr>
                  <w:tcW w:w="1074" w:type="dxa"/>
                  <w:vAlign w:val="center"/>
                </w:tcPr>
                <w:p>
                  <w:pPr>
                    <w:adjustRightInd w:val="0"/>
                    <w:snapToGrid w:val="0"/>
                    <w:jc w:val="center"/>
                    <w:rPr>
                      <w:rFonts w:eastAsiaTheme="minorEastAsia"/>
                      <w:color w:val="auto"/>
                      <w:szCs w:val="21"/>
                    </w:rPr>
                  </w:pPr>
                  <w:r>
                    <w:rPr>
                      <w:rFonts w:eastAsiaTheme="minorEastAsia"/>
                      <w:color w:val="auto"/>
                      <w:szCs w:val="21"/>
                    </w:rPr>
                    <w:t>6</w:t>
                  </w:r>
                </w:p>
              </w:tc>
              <w:tc>
                <w:tcPr>
                  <w:tcW w:w="1117" w:type="dxa"/>
                  <w:vAlign w:val="center"/>
                </w:tcPr>
                <w:p>
                  <w:pPr>
                    <w:jc w:val="center"/>
                    <w:rPr>
                      <w:rFonts w:eastAsiaTheme="minorEastAsia"/>
                      <w:color w:val="auto"/>
                      <w:szCs w:val="21"/>
                    </w:rPr>
                  </w:pPr>
                  <w:r>
                    <w:rPr>
                      <w:rFonts w:eastAsiaTheme="minorEastAsia"/>
                      <w:color w:val="auto"/>
                      <w:szCs w:val="21"/>
                    </w:rPr>
                    <w:t>13</w:t>
                  </w:r>
                </w:p>
              </w:tc>
              <w:tc>
                <w:tcPr>
                  <w:tcW w:w="1653" w:type="dxa"/>
                  <w:vAlign w:val="center"/>
                </w:tcPr>
                <w:p>
                  <w:pPr>
                    <w:jc w:val="center"/>
                    <w:rPr>
                      <w:rFonts w:eastAsiaTheme="minorEastAsia"/>
                      <w:color w:val="auto"/>
                      <w:szCs w:val="21"/>
                    </w:rPr>
                  </w:pPr>
                  <w:r>
                    <w:rPr>
                      <w:rFonts w:eastAsiaTheme="minorEastAsia"/>
                      <w:color w:val="auto"/>
                      <w:szCs w:val="21"/>
                    </w:rPr>
                    <w:t>≤30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993" w:type="dxa"/>
                  <w:vAlign w:val="center"/>
                </w:tcPr>
                <w:p>
                  <w:pPr>
                    <w:adjustRightInd w:val="0"/>
                    <w:snapToGrid w:val="0"/>
                    <w:jc w:val="center"/>
                    <w:rPr>
                      <w:rFonts w:eastAsiaTheme="minorEastAsia"/>
                      <w:color w:val="auto"/>
                      <w:szCs w:val="21"/>
                    </w:rPr>
                  </w:pPr>
                  <w:r>
                    <w:rPr>
                      <w:rFonts w:eastAsiaTheme="minorEastAsia"/>
                      <w:color w:val="auto"/>
                      <w:szCs w:val="21"/>
                    </w:rPr>
                    <w:t>BOD</w:t>
                  </w:r>
                  <w:r>
                    <w:rPr>
                      <w:rFonts w:eastAsiaTheme="minorEastAsia"/>
                      <w:color w:val="auto"/>
                      <w:szCs w:val="21"/>
                      <w:vertAlign w:val="subscript"/>
                    </w:rPr>
                    <w:t>5</w:t>
                  </w: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2.5</w:t>
                  </w:r>
                </w:p>
              </w:tc>
              <w:tc>
                <w:tcPr>
                  <w:tcW w:w="946" w:type="dxa"/>
                  <w:vAlign w:val="center"/>
                </w:tcPr>
                <w:p>
                  <w:pPr>
                    <w:jc w:val="center"/>
                    <w:rPr>
                      <w:rFonts w:eastAsiaTheme="minorEastAsia"/>
                      <w:color w:val="auto"/>
                      <w:szCs w:val="21"/>
                    </w:rPr>
                  </w:pPr>
                  <w:r>
                    <w:rPr>
                      <w:rFonts w:eastAsiaTheme="minorEastAsia"/>
                      <w:color w:val="auto"/>
                      <w:szCs w:val="21"/>
                    </w:rPr>
                    <w:t>1.7</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2.5</w:t>
                  </w:r>
                </w:p>
              </w:tc>
              <w:tc>
                <w:tcPr>
                  <w:tcW w:w="1066" w:type="dxa"/>
                  <w:vAlign w:val="center"/>
                </w:tcPr>
                <w:p>
                  <w:pPr>
                    <w:jc w:val="center"/>
                    <w:rPr>
                      <w:rFonts w:eastAsiaTheme="minorEastAsia"/>
                      <w:color w:val="auto"/>
                      <w:szCs w:val="21"/>
                    </w:rPr>
                  </w:pPr>
                  <w:r>
                    <w:rPr>
                      <w:rFonts w:eastAsiaTheme="minorEastAsia"/>
                      <w:color w:val="auto"/>
                      <w:szCs w:val="21"/>
                    </w:rPr>
                    <w:t>2.3</w:t>
                  </w:r>
                </w:p>
              </w:tc>
              <w:tc>
                <w:tcPr>
                  <w:tcW w:w="1074" w:type="dxa"/>
                  <w:vAlign w:val="center"/>
                </w:tcPr>
                <w:p>
                  <w:pPr>
                    <w:adjustRightInd w:val="0"/>
                    <w:snapToGrid w:val="0"/>
                    <w:jc w:val="center"/>
                    <w:rPr>
                      <w:rFonts w:eastAsiaTheme="minorEastAsia"/>
                      <w:color w:val="auto"/>
                      <w:szCs w:val="21"/>
                    </w:rPr>
                  </w:pPr>
                  <w:r>
                    <w:rPr>
                      <w:rFonts w:eastAsiaTheme="minorEastAsia"/>
                      <w:color w:val="auto"/>
                      <w:szCs w:val="21"/>
                    </w:rPr>
                    <w:t>1.7</w:t>
                  </w:r>
                </w:p>
              </w:tc>
              <w:tc>
                <w:tcPr>
                  <w:tcW w:w="1117" w:type="dxa"/>
                  <w:vAlign w:val="center"/>
                </w:tcPr>
                <w:p>
                  <w:pPr>
                    <w:jc w:val="center"/>
                    <w:rPr>
                      <w:rFonts w:eastAsiaTheme="minorEastAsia"/>
                      <w:color w:val="auto"/>
                      <w:szCs w:val="21"/>
                    </w:rPr>
                  </w:pPr>
                  <w:r>
                    <w:rPr>
                      <w:rFonts w:eastAsiaTheme="minorEastAsia"/>
                      <w:color w:val="auto"/>
                      <w:szCs w:val="21"/>
                    </w:rPr>
                    <w:t>3.8</w:t>
                  </w:r>
                </w:p>
              </w:tc>
              <w:tc>
                <w:tcPr>
                  <w:tcW w:w="1653" w:type="dxa"/>
                  <w:vAlign w:val="center"/>
                </w:tcPr>
                <w:p>
                  <w:pPr>
                    <w:jc w:val="center"/>
                    <w:rPr>
                      <w:rFonts w:eastAsiaTheme="minorEastAsia"/>
                      <w:color w:val="auto"/>
                      <w:szCs w:val="21"/>
                    </w:rPr>
                  </w:pPr>
                  <w:r>
                    <w:rPr>
                      <w:rFonts w:eastAsiaTheme="minorEastAsia"/>
                      <w:color w:val="auto"/>
                      <w:szCs w:val="21"/>
                    </w:rPr>
                    <w:t>≤6</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993" w:type="dxa"/>
                  <w:vAlign w:val="center"/>
                </w:tcPr>
                <w:p>
                  <w:pPr>
                    <w:adjustRightInd w:val="0"/>
                    <w:snapToGrid w:val="0"/>
                    <w:jc w:val="center"/>
                    <w:rPr>
                      <w:rFonts w:eastAsiaTheme="minorEastAsia"/>
                      <w:color w:val="auto"/>
                      <w:szCs w:val="21"/>
                    </w:rPr>
                  </w:pPr>
                  <w:r>
                    <w:rPr>
                      <w:rFonts w:eastAsiaTheme="minorEastAsia"/>
                      <w:color w:val="auto"/>
                      <w:szCs w:val="21"/>
                    </w:rPr>
                    <w:t>氨氮</w:t>
                  </w: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0.065</w:t>
                  </w:r>
                </w:p>
              </w:tc>
              <w:tc>
                <w:tcPr>
                  <w:tcW w:w="946" w:type="dxa"/>
                  <w:vAlign w:val="center"/>
                </w:tcPr>
                <w:p>
                  <w:pPr>
                    <w:jc w:val="center"/>
                    <w:rPr>
                      <w:rFonts w:eastAsiaTheme="minorEastAsia"/>
                      <w:color w:val="auto"/>
                      <w:szCs w:val="21"/>
                    </w:rPr>
                  </w:pPr>
                  <w:r>
                    <w:rPr>
                      <w:rFonts w:eastAsiaTheme="minorEastAsia"/>
                      <w:color w:val="auto"/>
                      <w:szCs w:val="21"/>
                    </w:rPr>
                    <w:t>0.096</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0.047</w:t>
                  </w:r>
                </w:p>
              </w:tc>
              <w:tc>
                <w:tcPr>
                  <w:tcW w:w="1066" w:type="dxa"/>
                  <w:vAlign w:val="center"/>
                </w:tcPr>
                <w:p>
                  <w:pPr>
                    <w:jc w:val="center"/>
                    <w:rPr>
                      <w:rFonts w:eastAsiaTheme="minorEastAsia"/>
                      <w:color w:val="auto"/>
                      <w:szCs w:val="21"/>
                    </w:rPr>
                  </w:pPr>
                  <w:r>
                    <w:rPr>
                      <w:rFonts w:eastAsiaTheme="minorEastAsia"/>
                      <w:color w:val="auto"/>
                      <w:szCs w:val="21"/>
                    </w:rPr>
                    <w:t>0.099</w:t>
                  </w:r>
                </w:p>
              </w:tc>
              <w:tc>
                <w:tcPr>
                  <w:tcW w:w="1074" w:type="dxa"/>
                  <w:vAlign w:val="center"/>
                </w:tcPr>
                <w:p>
                  <w:pPr>
                    <w:adjustRightInd w:val="0"/>
                    <w:snapToGrid w:val="0"/>
                    <w:jc w:val="center"/>
                    <w:rPr>
                      <w:rFonts w:eastAsiaTheme="minorEastAsia"/>
                      <w:color w:val="auto"/>
                      <w:szCs w:val="21"/>
                    </w:rPr>
                  </w:pPr>
                  <w:r>
                    <w:rPr>
                      <w:rFonts w:eastAsiaTheme="minorEastAsia"/>
                      <w:color w:val="auto"/>
                      <w:szCs w:val="21"/>
                    </w:rPr>
                    <w:t>0.047</w:t>
                  </w:r>
                </w:p>
              </w:tc>
              <w:tc>
                <w:tcPr>
                  <w:tcW w:w="1117" w:type="dxa"/>
                  <w:vAlign w:val="center"/>
                </w:tcPr>
                <w:p>
                  <w:pPr>
                    <w:jc w:val="center"/>
                    <w:rPr>
                      <w:rFonts w:eastAsiaTheme="minorEastAsia"/>
                      <w:color w:val="auto"/>
                      <w:szCs w:val="21"/>
                    </w:rPr>
                  </w:pPr>
                  <w:r>
                    <w:rPr>
                      <w:rFonts w:eastAsiaTheme="minorEastAsia"/>
                      <w:color w:val="auto"/>
                      <w:szCs w:val="21"/>
                    </w:rPr>
                    <w:t>0.158</w:t>
                  </w:r>
                </w:p>
              </w:tc>
              <w:tc>
                <w:tcPr>
                  <w:tcW w:w="1653" w:type="dxa"/>
                  <w:vAlign w:val="center"/>
                </w:tcPr>
                <w:p>
                  <w:pPr>
                    <w:jc w:val="center"/>
                    <w:rPr>
                      <w:rFonts w:eastAsiaTheme="minorEastAsia"/>
                      <w:color w:val="auto"/>
                      <w:szCs w:val="21"/>
                    </w:rPr>
                  </w:pPr>
                  <w:r>
                    <w:rPr>
                      <w:rFonts w:eastAsiaTheme="minorEastAsia"/>
                      <w:color w:val="auto"/>
                      <w:szCs w:val="21"/>
                    </w:rPr>
                    <w:t>≤1.5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993" w:type="dxa"/>
                  <w:vAlign w:val="center"/>
                </w:tcPr>
                <w:p>
                  <w:pPr>
                    <w:adjustRightInd w:val="0"/>
                    <w:snapToGrid w:val="0"/>
                    <w:jc w:val="center"/>
                    <w:rPr>
                      <w:rFonts w:eastAsiaTheme="minorEastAsia"/>
                      <w:color w:val="auto"/>
                      <w:szCs w:val="21"/>
                    </w:rPr>
                  </w:pPr>
                  <w:r>
                    <w:rPr>
                      <w:rFonts w:eastAsiaTheme="minorEastAsia"/>
                      <w:color w:val="auto"/>
                      <w:szCs w:val="21"/>
                    </w:rPr>
                    <w:t>总磷</w:t>
                  </w: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0.017</w:t>
                  </w:r>
                </w:p>
              </w:tc>
              <w:tc>
                <w:tcPr>
                  <w:tcW w:w="946" w:type="dxa"/>
                  <w:vAlign w:val="center"/>
                </w:tcPr>
                <w:p>
                  <w:pPr>
                    <w:jc w:val="center"/>
                    <w:rPr>
                      <w:rFonts w:eastAsiaTheme="minorEastAsia"/>
                      <w:color w:val="auto"/>
                      <w:szCs w:val="21"/>
                    </w:rPr>
                  </w:pPr>
                  <w:r>
                    <w:rPr>
                      <w:rFonts w:eastAsiaTheme="minorEastAsia"/>
                      <w:color w:val="auto"/>
                      <w:szCs w:val="21"/>
                    </w:rPr>
                    <w:t>0.013</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0.012</w:t>
                  </w:r>
                </w:p>
              </w:tc>
              <w:tc>
                <w:tcPr>
                  <w:tcW w:w="1066" w:type="dxa"/>
                  <w:vAlign w:val="center"/>
                </w:tcPr>
                <w:p>
                  <w:pPr>
                    <w:jc w:val="center"/>
                    <w:rPr>
                      <w:rFonts w:eastAsiaTheme="minorEastAsia"/>
                      <w:color w:val="auto"/>
                      <w:szCs w:val="21"/>
                    </w:rPr>
                  </w:pPr>
                  <w:r>
                    <w:rPr>
                      <w:rFonts w:eastAsiaTheme="minorEastAsia"/>
                      <w:color w:val="auto"/>
                      <w:szCs w:val="21"/>
                    </w:rPr>
                    <w:t>0.022</w:t>
                  </w:r>
                </w:p>
              </w:tc>
              <w:tc>
                <w:tcPr>
                  <w:tcW w:w="1074" w:type="dxa"/>
                  <w:vAlign w:val="center"/>
                </w:tcPr>
                <w:p>
                  <w:pPr>
                    <w:adjustRightInd w:val="0"/>
                    <w:snapToGrid w:val="0"/>
                    <w:jc w:val="center"/>
                    <w:rPr>
                      <w:rFonts w:eastAsiaTheme="minorEastAsia"/>
                      <w:color w:val="auto"/>
                      <w:szCs w:val="21"/>
                    </w:rPr>
                  </w:pPr>
                  <w:r>
                    <w:rPr>
                      <w:rFonts w:eastAsiaTheme="minorEastAsia"/>
                      <w:color w:val="auto"/>
                      <w:szCs w:val="21"/>
                    </w:rPr>
                    <w:t>0.012</w:t>
                  </w:r>
                </w:p>
              </w:tc>
              <w:tc>
                <w:tcPr>
                  <w:tcW w:w="1117" w:type="dxa"/>
                  <w:vAlign w:val="center"/>
                </w:tcPr>
                <w:p>
                  <w:pPr>
                    <w:jc w:val="center"/>
                    <w:rPr>
                      <w:rFonts w:eastAsiaTheme="minorEastAsia"/>
                      <w:color w:val="auto"/>
                      <w:szCs w:val="21"/>
                    </w:rPr>
                  </w:pPr>
                  <w:r>
                    <w:rPr>
                      <w:rFonts w:eastAsiaTheme="minorEastAsia"/>
                      <w:color w:val="auto"/>
                      <w:szCs w:val="21"/>
                    </w:rPr>
                    <w:t>0.026</w:t>
                  </w:r>
                </w:p>
              </w:tc>
              <w:tc>
                <w:tcPr>
                  <w:tcW w:w="1653" w:type="dxa"/>
                  <w:vAlign w:val="center"/>
                </w:tcPr>
                <w:p>
                  <w:pPr>
                    <w:jc w:val="center"/>
                    <w:rPr>
                      <w:rFonts w:eastAsiaTheme="minorEastAsia"/>
                      <w:color w:val="auto"/>
                      <w:szCs w:val="21"/>
                    </w:rPr>
                  </w:pPr>
                  <w:r>
                    <w:rPr>
                      <w:rFonts w:eastAsiaTheme="minorEastAsia"/>
                      <w:color w:val="auto"/>
                      <w:szCs w:val="21"/>
                    </w:rPr>
                    <w:t>0.1~0.3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993" w:type="dxa"/>
                  <w:vAlign w:val="center"/>
                </w:tcPr>
                <w:p>
                  <w:pPr>
                    <w:adjustRightInd w:val="0"/>
                    <w:snapToGrid w:val="0"/>
                    <w:jc w:val="center"/>
                    <w:rPr>
                      <w:rFonts w:eastAsiaTheme="minorEastAsia"/>
                      <w:color w:val="auto"/>
                      <w:szCs w:val="21"/>
                    </w:rPr>
                  </w:pPr>
                  <w:r>
                    <w:rPr>
                      <w:rFonts w:eastAsiaTheme="minorEastAsia"/>
                      <w:color w:val="auto"/>
                      <w:szCs w:val="21"/>
                    </w:rPr>
                    <w:t>总氮</w:t>
                  </w: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0.72</w:t>
                  </w:r>
                </w:p>
              </w:tc>
              <w:tc>
                <w:tcPr>
                  <w:tcW w:w="946" w:type="dxa"/>
                  <w:vAlign w:val="center"/>
                </w:tcPr>
                <w:p>
                  <w:pPr>
                    <w:jc w:val="center"/>
                    <w:rPr>
                      <w:rFonts w:eastAsiaTheme="minorEastAsia"/>
                      <w:color w:val="auto"/>
                      <w:szCs w:val="21"/>
                    </w:rPr>
                  </w:pPr>
                  <w:r>
                    <w:rPr>
                      <w:rFonts w:eastAsiaTheme="minorEastAsia"/>
                      <w:color w:val="auto"/>
                      <w:szCs w:val="21"/>
                    </w:rPr>
                    <w:t>1.12</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1.04</w:t>
                  </w:r>
                </w:p>
              </w:tc>
              <w:tc>
                <w:tcPr>
                  <w:tcW w:w="1066" w:type="dxa"/>
                  <w:vAlign w:val="center"/>
                </w:tcPr>
                <w:p>
                  <w:pPr>
                    <w:jc w:val="center"/>
                    <w:rPr>
                      <w:rFonts w:eastAsiaTheme="minorEastAsia"/>
                      <w:color w:val="auto"/>
                      <w:szCs w:val="21"/>
                    </w:rPr>
                  </w:pPr>
                  <w:r>
                    <w:rPr>
                      <w:rFonts w:eastAsiaTheme="minorEastAsia"/>
                      <w:color w:val="auto"/>
                      <w:szCs w:val="21"/>
                    </w:rPr>
                    <w:t>1.30</w:t>
                  </w:r>
                </w:p>
              </w:tc>
              <w:tc>
                <w:tcPr>
                  <w:tcW w:w="1074" w:type="dxa"/>
                  <w:vAlign w:val="center"/>
                </w:tcPr>
                <w:p>
                  <w:pPr>
                    <w:adjustRightInd w:val="0"/>
                    <w:snapToGrid w:val="0"/>
                    <w:jc w:val="center"/>
                    <w:rPr>
                      <w:rFonts w:eastAsiaTheme="minorEastAsia"/>
                      <w:color w:val="auto"/>
                      <w:szCs w:val="21"/>
                    </w:rPr>
                  </w:pPr>
                  <w:r>
                    <w:rPr>
                      <w:rFonts w:eastAsiaTheme="minorEastAsia"/>
                      <w:color w:val="auto"/>
                      <w:szCs w:val="21"/>
                    </w:rPr>
                    <w:t>0.55</w:t>
                  </w:r>
                </w:p>
              </w:tc>
              <w:tc>
                <w:tcPr>
                  <w:tcW w:w="1117" w:type="dxa"/>
                  <w:vAlign w:val="center"/>
                </w:tcPr>
                <w:p>
                  <w:pPr>
                    <w:jc w:val="center"/>
                    <w:rPr>
                      <w:rFonts w:eastAsiaTheme="minorEastAsia"/>
                      <w:color w:val="auto"/>
                      <w:szCs w:val="21"/>
                    </w:rPr>
                  </w:pPr>
                  <w:r>
                    <w:rPr>
                      <w:rFonts w:eastAsiaTheme="minorEastAsia"/>
                      <w:color w:val="auto"/>
                      <w:szCs w:val="21"/>
                    </w:rPr>
                    <w:t>1.09</w:t>
                  </w:r>
                </w:p>
              </w:tc>
              <w:tc>
                <w:tcPr>
                  <w:tcW w:w="1653" w:type="dxa"/>
                  <w:vAlign w:val="center"/>
                </w:tcPr>
                <w:p>
                  <w:pPr>
                    <w:jc w:val="center"/>
                    <w:rPr>
                      <w:rFonts w:eastAsiaTheme="minorEastAsia"/>
                      <w:color w:val="auto"/>
                      <w:szCs w:val="21"/>
                    </w:rPr>
                  </w:pPr>
                  <w:r>
                    <w:rPr>
                      <w:rFonts w:eastAsiaTheme="minorEastAsia"/>
                      <w:color w:val="auto"/>
                      <w:szCs w:val="21"/>
                    </w:rPr>
                    <w:t>≤1.5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993" w:type="dxa"/>
                  <w:vAlign w:val="center"/>
                </w:tcPr>
                <w:p>
                  <w:pPr>
                    <w:adjustRightInd w:val="0"/>
                    <w:snapToGrid w:val="0"/>
                    <w:jc w:val="center"/>
                    <w:rPr>
                      <w:rFonts w:eastAsiaTheme="minorEastAsia"/>
                      <w:color w:val="auto"/>
                      <w:szCs w:val="21"/>
                    </w:rPr>
                  </w:pPr>
                  <w:r>
                    <w:rPr>
                      <w:rFonts w:eastAsiaTheme="minorEastAsia"/>
                      <w:color w:val="auto"/>
                      <w:szCs w:val="21"/>
                    </w:rPr>
                    <w:t>铜</w:t>
                  </w: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0.001L</w:t>
                  </w:r>
                </w:p>
              </w:tc>
              <w:tc>
                <w:tcPr>
                  <w:tcW w:w="946" w:type="dxa"/>
                  <w:vAlign w:val="center"/>
                </w:tcPr>
                <w:p>
                  <w:pPr>
                    <w:jc w:val="center"/>
                    <w:rPr>
                      <w:rFonts w:eastAsiaTheme="minorEastAsia"/>
                      <w:color w:val="auto"/>
                      <w:szCs w:val="21"/>
                    </w:rPr>
                  </w:pPr>
                  <w:r>
                    <w:rPr>
                      <w:rFonts w:eastAsiaTheme="minorEastAsia"/>
                      <w:color w:val="auto"/>
                      <w:szCs w:val="21"/>
                    </w:rPr>
                    <w:t>0.001L</w:t>
                  </w:r>
                </w:p>
              </w:tc>
              <w:tc>
                <w:tcPr>
                  <w:tcW w:w="1066" w:type="dxa"/>
                  <w:vAlign w:val="center"/>
                </w:tcPr>
                <w:p>
                  <w:pPr>
                    <w:jc w:val="center"/>
                    <w:rPr>
                      <w:rFonts w:eastAsiaTheme="minorEastAsia"/>
                      <w:color w:val="auto"/>
                      <w:szCs w:val="21"/>
                    </w:rPr>
                  </w:pPr>
                  <w:r>
                    <w:rPr>
                      <w:rFonts w:eastAsiaTheme="minorEastAsia"/>
                      <w:color w:val="auto"/>
                      <w:szCs w:val="21"/>
                    </w:rPr>
                    <w:t>0.001L</w:t>
                  </w:r>
                </w:p>
              </w:tc>
              <w:tc>
                <w:tcPr>
                  <w:tcW w:w="1066" w:type="dxa"/>
                  <w:vAlign w:val="center"/>
                </w:tcPr>
                <w:p>
                  <w:pPr>
                    <w:jc w:val="center"/>
                    <w:rPr>
                      <w:rFonts w:eastAsiaTheme="minorEastAsia"/>
                      <w:color w:val="auto"/>
                      <w:szCs w:val="21"/>
                    </w:rPr>
                  </w:pPr>
                  <w:r>
                    <w:rPr>
                      <w:rFonts w:eastAsiaTheme="minorEastAsia"/>
                      <w:color w:val="auto"/>
                      <w:szCs w:val="21"/>
                    </w:rPr>
                    <w:t>0.001L</w:t>
                  </w:r>
                </w:p>
              </w:tc>
              <w:tc>
                <w:tcPr>
                  <w:tcW w:w="1074" w:type="dxa"/>
                  <w:vAlign w:val="center"/>
                </w:tcPr>
                <w:p>
                  <w:pPr>
                    <w:jc w:val="center"/>
                    <w:rPr>
                      <w:rFonts w:eastAsiaTheme="minorEastAsia"/>
                      <w:color w:val="auto"/>
                      <w:szCs w:val="21"/>
                    </w:rPr>
                  </w:pPr>
                  <w:r>
                    <w:rPr>
                      <w:rFonts w:eastAsiaTheme="minorEastAsia"/>
                      <w:color w:val="auto"/>
                      <w:szCs w:val="21"/>
                    </w:rPr>
                    <w:t>0.001L</w:t>
                  </w:r>
                </w:p>
              </w:tc>
              <w:tc>
                <w:tcPr>
                  <w:tcW w:w="1117" w:type="dxa"/>
                  <w:vAlign w:val="center"/>
                </w:tcPr>
                <w:p>
                  <w:pPr>
                    <w:jc w:val="center"/>
                    <w:rPr>
                      <w:rFonts w:eastAsiaTheme="minorEastAsia"/>
                      <w:color w:val="auto"/>
                      <w:szCs w:val="21"/>
                    </w:rPr>
                  </w:pPr>
                  <w:r>
                    <w:rPr>
                      <w:rFonts w:eastAsiaTheme="minorEastAsia"/>
                      <w:color w:val="auto"/>
                      <w:szCs w:val="21"/>
                    </w:rPr>
                    <w:t>0.001L</w:t>
                  </w:r>
                </w:p>
              </w:tc>
              <w:tc>
                <w:tcPr>
                  <w:tcW w:w="1653" w:type="dxa"/>
                  <w:vAlign w:val="center"/>
                </w:tcPr>
                <w:p>
                  <w:pPr>
                    <w:jc w:val="center"/>
                    <w:rPr>
                      <w:rFonts w:eastAsiaTheme="minorEastAsia"/>
                      <w:color w:val="auto"/>
                      <w:szCs w:val="21"/>
                    </w:rPr>
                  </w:pPr>
                  <w:r>
                    <w:rPr>
                      <w:rFonts w:eastAsiaTheme="minorEastAsia"/>
                      <w:color w:val="auto"/>
                      <w:szCs w:val="21"/>
                    </w:rPr>
                    <w:t>≤1.0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993" w:type="dxa"/>
                  <w:vAlign w:val="center"/>
                </w:tcPr>
                <w:p>
                  <w:pPr>
                    <w:adjustRightInd w:val="0"/>
                    <w:snapToGrid w:val="0"/>
                    <w:jc w:val="center"/>
                    <w:rPr>
                      <w:rFonts w:eastAsiaTheme="minorEastAsia"/>
                      <w:color w:val="auto"/>
                      <w:szCs w:val="21"/>
                    </w:rPr>
                  </w:pPr>
                  <w:r>
                    <w:rPr>
                      <w:rFonts w:eastAsiaTheme="minorEastAsia"/>
                      <w:color w:val="auto"/>
                      <w:szCs w:val="21"/>
                    </w:rPr>
                    <w:t>锌</w:t>
                  </w: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0.05L</w:t>
                  </w:r>
                </w:p>
              </w:tc>
              <w:tc>
                <w:tcPr>
                  <w:tcW w:w="946" w:type="dxa"/>
                  <w:vAlign w:val="center"/>
                </w:tcPr>
                <w:p>
                  <w:pPr>
                    <w:jc w:val="center"/>
                    <w:rPr>
                      <w:rFonts w:eastAsiaTheme="minorEastAsia"/>
                      <w:color w:val="auto"/>
                      <w:szCs w:val="21"/>
                    </w:rPr>
                  </w:pPr>
                  <w:r>
                    <w:rPr>
                      <w:rFonts w:eastAsiaTheme="minorEastAsia"/>
                      <w:color w:val="auto"/>
                      <w:szCs w:val="21"/>
                    </w:rPr>
                    <w:t>0.05L</w:t>
                  </w:r>
                </w:p>
              </w:tc>
              <w:tc>
                <w:tcPr>
                  <w:tcW w:w="1066" w:type="dxa"/>
                  <w:vAlign w:val="center"/>
                </w:tcPr>
                <w:p>
                  <w:pPr>
                    <w:jc w:val="center"/>
                    <w:rPr>
                      <w:rFonts w:eastAsiaTheme="minorEastAsia"/>
                      <w:color w:val="auto"/>
                      <w:szCs w:val="21"/>
                    </w:rPr>
                  </w:pPr>
                  <w:r>
                    <w:rPr>
                      <w:rFonts w:eastAsiaTheme="minorEastAsia"/>
                      <w:color w:val="auto"/>
                      <w:szCs w:val="21"/>
                    </w:rPr>
                    <w:t>0.05L</w:t>
                  </w:r>
                </w:p>
              </w:tc>
              <w:tc>
                <w:tcPr>
                  <w:tcW w:w="1066" w:type="dxa"/>
                  <w:vAlign w:val="center"/>
                </w:tcPr>
                <w:p>
                  <w:pPr>
                    <w:jc w:val="center"/>
                    <w:rPr>
                      <w:rFonts w:eastAsiaTheme="minorEastAsia"/>
                      <w:color w:val="auto"/>
                      <w:szCs w:val="21"/>
                    </w:rPr>
                  </w:pPr>
                  <w:r>
                    <w:rPr>
                      <w:rFonts w:eastAsiaTheme="minorEastAsia"/>
                      <w:color w:val="auto"/>
                      <w:szCs w:val="21"/>
                    </w:rPr>
                    <w:t>0.05L</w:t>
                  </w:r>
                </w:p>
              </w:tc>
              <w:tc>
                <w:tcPr>
                  <w:tcW w:w="1074" w:type="dxa"/>
                  <w:vAlign w:val="center"/>
                </w:tcPr>
                <w:p>
                  <w:pPr>
                    <w:jc w:val="center"/>
                    <w:rPr>
                      <w:rFonts w:eastAsiaTheme="minorEastAsia"/>
                      <w:color w:val="auto"/>
                      <w:szCs w:val="21"/>
                    </w:rPr>
                  </w:pPr>
                  <w:r>
                    <w:rPr>
                      <w:rFonts w:eastAsiaTheme="minorEastAsia"/>
                      <w:color w:val="auto"/>
                      <w:szCs w:val="21"/>
                    </w:rPr>
                    <w:t>0.05L</w:t>
                  </w:r>
                </w:p>
              </w:tc>
              <w:tc>
                <w:tcPr>
                  <w:tcW w:w="1117" w:type="dxa"/>
                  <w:vAlign w:val="center"/>
                </w:tcPr>
                <w:p>
                  <w:pPr>
                    <w:jc w:val="center"/>
                    <w:rPr>
                      <w:rFonts w:eastAsiaTheme="minorEastAsia"/>
                      <w:color w:val="auto"/>
                      <w:szCs w:val="21"/>
                    </w:rPr>
                  </w:pPr>
                  <w:r>
                    <w:rPr>
                      <w:rFonts w:eastAsiaTheme="minorEastAsia"/>
                      <w:color w:val="auto"/>
                      <w:szCs w:val="21"/>
                    </w:rPr>
                    <w:t>0.05L</w:t>
                  </w:r>
                </w:p>
              </w:tc>
              <w:tc>
                <w:tcPr>
                  <w:tcW w:w="1653" w:type="dxa"/>
                  <w:vAlign w:val="center"/>
                </w:tcPr>
                <w:p>
                  <w:pPr>
                    <w:jc w:val="center"/>
                    <w:rPr>
                      <w:rFonts w:eastAsiaTheme="minorEastAsia"/>
                      <w:color w:val="auto"/>
                      <w:szCs w:val="21"/>
                    </w:rPr>
                  </w:pPr>
                  <w:r>
                    <w:rPr>
                      <w:rFonts w:eastAsiaTheme="minorEastAsia"/>
                      <w:color w:val="auto"/>
                      <w:szCs w:val="21"/>
                    </w:rPr>
                    <w:t>≤2.0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993" w:type="dxa"/>
                  <w:vAlign w:val="center"/>
                </w:tcPr>
                <w:p>
                  <w:pPr>
                    <w:adjustRightInd w:val="0"/>
                    <w:snapToGrid w:val="0"/>
                    <w:jc w:val="center"/>
                    <w:rPr>
                      <w:rFonts w:eastAsiaTheme="minorEastAsia"/>
                      <w:color w:val="auto"/>
                      <w:szCs w:val="21"/>
                    </w:rPr>
                  </w:pPr>
                  <w:r>
                    <w:rPr>
                      <w:rFonts w:eastAsiaTheme="minorEastAsia"/>
                      <w:color w:val="auto"/>
                      <w:szCs w:val="21"/>
                    </w:rPr>
                    <w:t>砷</w:t>
                  </w: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1.2</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-4</w:t>
                  </w:r>
                  <w:r>
                    <w:rPr>
                      <w:rFonts w:eastAsiaTheme="minorEastAsia"/>
                      <w:color w:val="auto"/>
                      <w:szCs w:val="21"/>
                    </w:rPr>
                    <w:t>L</w:t>
                  </w:r>
                </w:p>
              </w:tc>
              <w:tc>
                <w:tcPr>
                  <w:tcW w:w="946" w:type="dxa"/>
                  <w:vAlign w:val="center"/>
                </w:tcPr>
                <w:p>
                  <w:pPr>
                    <w:adjustRightInd w:val="0"/>
                    <w:snapToGrid w:val="0"/>
                    <w:jc w:val="center"/>
                    <w:rPr>
                      <w:rFonts w:eastAsiaTheme="minorEastAsia"/>
                      <w:color w:val="auto"/>
                      <w:szCs w:val="21"/>
                    </w:rPr>
                  </w:pPr>
                  <w:r>
                    <w:rPr>
                      <w:rFonts w:eastAsiaTheme="minorEastAsia"/>
                      <w:color w:val="auto"/>
                      <w:szCs w:val="21"/>
                    </w:rPr>
                    <w:t>1.2</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-4</w:t>
                  </w:r>
                  <w:r>
                    <w:rPr>
                      <w:rFonts w:eastAsiaTheme="minorEastAsia"/>
                      <w:color w:val="auto"/>
                      <w:szCs w:val="21"/>
                    </w:rPr>
                    <w:t>L</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1.2</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-4</w:t>
                  </w:r>
                  <w:r>
                    <w:rPr>
                      <w:rFonts w:eastAsiaTheme="minorEastAsia"/>
                      <w:color w:val="auto"/>
                      <w:szCs w:val="21"/>
                    </w:rPr>
                    <w:t>L</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1.2</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-4</w:t>
                  </w:r>
                  <w:r>
                    <w:rPr>
                      <w:rFonts w:eastAsiaTheme="minorEastAsia"/>
                      <w:color w:val="auto"/>
                      <w:szCs w:val="21"/>
                    </w:rPr>
                    <w:t>L</w:t>
                  </w:r>
                </w:p>
              </w:tc>
              <w:tc>
                <w:tcPr>
                  <w:tcW w:w="1074" w:type="dxa"/>
                  <w:vAlign w:val="center"/>
                </w:tcPr>
                <w:p>
                  <w:pPr>
                    <w:adjustRightInd w:val="0"/>
                    <w:snapToGrid w:val="0"/>
                    <w:jc w:val="center"/>
                    <w:rPr>
                      <w:rFonts w:eastAsiaTheme="minorEastAsia"/>
                      <w:color w:val="auto"/>
                      <w:szCs w:val="21"/>
                    </w:rPr>
                  </w:pPr>
                  <w:r>
                    <w:rPr>
                      <w:rFonts w:eastAsiaTheme="minorEastAsia"/>
                      <w:color w:val="auto"/>
                      <w:szCs w:val="21"/>
                    </w:rPr>
                    <w:t>1.2</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-4</w:t>
                  </w:r>
                  <w:r>
                    <w:rPr>
                      <w:rFonts w:eastAsiaTheme="minorEastAsia"/>
                      <w:color w:val="auto"/>
                      <w:szCs w:val="21"/>
                    </w:rPr>
                    <w:t>L</w:t>
                  </w:r>
                </w:p>
              </w:tc>
              <w:tc>
                <w:tcPr>
                  <w:tcW w:w="1117" w:type="dxa"/>
                  <w:vAlign w:val="center"/>
                </w:tcPr>
                <w:p>
                  <w:pPr>
                    <w:adjustRightInd w:val="0"/>
                    <w:snapToGrid w:val="0"/>
                    <w:jc w:val="center"/>
                    <w:rPr>
                      <w:rFonts w:eastAsiaTheme="minorEastAsia"/>
                      <w:color w:val="auto"/>
                      <w:szCs w:val="21"/>
                    </w:rPr>
                  </w:pPr>
                  <w:r>
                    <w:rPr>
                      <w:rFonts w:eastAsiaTheme="minorEastAsia"/>
                      <w:color w:val="auto"/>
                      <w:szCs w:val="21"/>
                    </w:rPr>
                    <w:t>1.2</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-4</w:t>
                  </w:r>
                  <w:r>
                    <w:rPr>
                      <w:rFonts w:eastAsiaTheme="minorEastAsia"/>
                      <w:color w:val="auto"/>
                      <w:szCs w:val="21"/>
                    </w:rPr>
                    <w:t>L</w:t>
                  </w:r>
                </w:p>
              </w:tc>
              <w:tc>
                <w:tcPr>
                  <w:tcW w:w="1653" w:type="dxa"/>
                  <w:vAlign w:val="center"/>
                </w:tcPr>
                <w:p>
                  <w:pPr>
                    <w:jc w:val="center"/>
                    <w:rPr>
                      <w:rFonts w:eastAsiaTheme="minorEastAsia"/>
                      <w:color w:val="auto"/>
                      <w:szCs w:val="21"/>
                    </w:rPr>
                  </w:pPr>
                  <w:r>
                    <w:rPr>
                      <w:rFonts w:eastAsiaTheme="minorEastAsia"/>
                      <w:color w:val="auto"/>
                      <w:szCs w:val="21"/>
                    </w:rPr>
                    <w:t>≤0.1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993" w:type="dxa"/>
                  <w:vAlign w:val="center"/>
                </w:tcPr>
                <w:p>
                  <w:pPr>
                    <w:adjustRightInd w:val="0"/>
                    <w:snapToGrid w:val="0"/>
                    <w:jc w:val="center"/>
                    <w:rPr>
                      <w:rFonts w:eastAsiaTheme="minorEastAsia"/>
                      <w:color w:val="auto"/>
                      <w:szCs w:val="21"/>
                    </w:rPr>
                  </w:pPr>
                  <w:r>
                    <w:rPr>
                      <w:rFonts w:eastAsiaTheme="minorEastAsia"/>
                      <w:color w:val="auto"/>
                      <w:szCs w:val="21"/>
                    </w:rPr>
                    <w:t>汞</w:t>
                  </w: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4</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946" w:type="dxa"/>
                  <w:vAlign w:val="center"/>
                </w:tcPr>
                <w:p>
                  <w:pPr>
                    <w:adjustRightInd w:val="0"/>
                    <w:snapToGrid w:val="0"/>
                    <w:jc w:val="center"/>
                    <w:rPr>
                      <w:rFonts w:eastAsiaTheme="minorEastAsia"/>
                      <w:color w:val="auto"/>
                      <w:szCs w:val="21"/>
                    </w:rPr>
                  </w:pPr>
                  <w:r>
                    <w:rPr>
                      <w:rFonts w:eastAsiaTheme="minorEastAsia"/>
                      <w:color w:val="auto"/>
                      <w:szCs w:val="21"/>
                    </w:rPr>
                    <w:t>4</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4</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4</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074" w:type="dxa"/>
                  <w:vAlign w:val="center"/>
                </w:tcPr>
                <w:p>
                  <w:pPr>
                    <w:adjustRightInd w:val="0"/>
                    <w:snapToGrid w:val="0"/>
                    <w:jc w:val="center"/>
                    <w:rPr>
                      <w:rFonts w:eastAsiaTheme="minorEastAsia"/>
                      <w:color w:val="auto"/>
                      <w:szCs w:val="21"/>
                    </w:rPr>
                  </w:pPr>
                  <w:r>
                    <w:rPr>
                      <w:rFonts w:eastAsiaTheme="minorEastAsia"/>
                      <w:color w:val="auto"/>
                      <w:szCs w:val="21"/>
                    </w:rPr>
                    <w:t>4</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17" w:type="dxa"/>
                  <w:vAlign w:val="center"/>
                </w:tcPr>
                <w:p>
                  <w:pPr>
                    <w:adjustRightInd w:val="0"/>
                    <w:snapToGrid w:val="0"/>
                    <w:jc w:val="center"/>
                    <w:rPr>
                      <w:rFonts w:eastAsiaTheme="minorEastAsia"/>
                      <w:color w:val="auto"/>
                      <w:szCs w:val="21"/>
                    </w:rPr>
                  </w:pPr>
                  <w:r>
                    <w:rPr>
                      <w:rFonts w:eastAsiaTheme="minorEastAsia"/>
                      <w:color w:val="auto"/>
                      <w:szCs w:val="21"/>
                    </w:rPr>
                    <w:t>4</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653" w:type="dxa"/>
                  <w:vAlign w:val="center"/>
                </w:tcPr>
                <w:p>
                  <w:pPr>
                    <w:jc w:val="center"/>
                    <w:rPr>
                      <w:rFonts w:eastAsiaTheme="minorEastAsia"/>
                      <w:color w:val="auto"/>
                      <w:szCs w:val="21"/>
                    </w:rPr>
                  </w:pPr>
                  <w:r>
                    <w:rPr>
                      <w:rFonts w:eastAsiaTheme="minorEastAsia"/>
                      <w:color w:val="auto"/>
                      <w:szCs w:val="21"/>
                    </w:rPr>
                    <w:t>≤0.001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993" w:type="dxa"/>
                  <w:vAlign w:val="center"/>
                </w:tcPr>
                <w:p>
                  <w:pPr>
                    <w:adjustRightInd w:val="0"/>
                    <w:snapToGrid w:val="0"/>
                    <w:jc w:val="center"/>
                    <w:rPr>
                      <w:rFonts w:eastAsiaTheme="minorEastAsia"/>
                      <w:color w:val="auto"/>
                      <w:szCs w:val="21"/>
                    </w:rPr>
                  </w:pPr>
                  <w:r>
                    <w:rPr>
                      <w:rFonts w:eastAsiaTheme="minorEastAsia"/>
                      <w:color w:val="auto"/>
                      <w:szCs w:val="21"/>
                    </w:rPr>
                    <w:t>镉</w:t>
                  </w: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5</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946" w:type="dxa"/>
                  <w:vAlign w:val="center"/>
                </w:tcPr>
                <w:p>
                  <w:pPr>
                    <w:adjustRightInd w:val="0"/>
                    <w:snapToGrid w:val="0"/>
                    <w:jc w:val="center"/>
                    <w:rPr>
                      <w:rFonts w:eastAsiaTheme="minorEastAsia"/>
                      <w:color w:val="auto"/>
                      <w:szCs w:val="21"/>
                    </w:rPr>
                  </w:pPr>
                  <w:r>
                    <w:rPr>
                      <w:rFonts w:eastAsiaTheme="minorEastAsia"/>
                      <w:color w:val="auto"/>
                      <w:szCs w:val="21"/>
                    </w:rPr>
                    <w:t>5</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5</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5</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074" w:type="dxa"/>
                  <w:vAlign w:val="center"/>
                </w:tcPr>
                <w:p>
                  <w:pPr>
                    <w:adjustRightInd w:val="0"/>
                    <w:snapToGrid w:val="0"/>
                    <w:jc w:val="center"/>
                    <w:rPr>
                      <w:rFonts w:eastAsiaTheme="minorEastAsia"/>
                      <w:color w:val="auto"/>
                      <w:szCs w:val="21"/>
                    </w:rPr>
                  </w:pPr>
                  <w:r>
                    <w:rPr>
                      <w:rFonts w:eastAsiaTheme="minorEastAsia"/>
                      <w:color w:val="auto"/>
                      <w:szCs w:val="21"/>
                    </w:rPr>
                    <w:t>5</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17" w:type="dxa"/>
                  <w:vAlign w:val="center"/>
                </w:tcPr>
                <w:p>
                  <w:pPr>
                    <w:adjustRightInd w:val="0"/>
                    <w:snapToGrid w:val="0"/>
                    <w:jc w:val="center"/>
                    <w:rPr>
                      <w:rFonts w:eastAsiaTheme="minorEastAsia"/>
                      <w:color w:val="auto"/>
                      <w:szCs w:val="21"/>
                    </w:rPr>
                  </w:pPr>
                  <w:r>
                    <w:rPr>
                      <w:rFonts w:eastAsiaTheme="minorEastAsia"/>
                      <w:color w:val="auto"/>
                      <w:szCs w:val="21"/>
                    </w:rPr>
                    <w:t>5</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653" w:type="dxa"/>
                  <w:vAlign w:val="center"/>
                </w:tcPr>
                <w:p>
                  <w:pPr>
                    <w:jc w:val="center"/>
                    <w:rPr>
                      <w:rFonts w:eastAsiaTheme="minorEastAsia"/>
                      <w:color w:val="auto"/>
                      <w:szCs w:val="21"/>
                    </w:rPr>
                  </w:pPr>
                  <w:r>
                    <w:rPr>
                      <w:rFonts w:eastAsiaTheme="minorEastAsia"/>
                      <w:color w:val="auto"/>
                      <w:szCs w:val="21"/>
                    </w:rPr>
                    <w:t>≤0.005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993" w:type="dxa"/>
                  <w:vAlign w:val="center"/>
                </w:tcPr>
                <w:p>
                  <w:pPr>
                    <w:adjustRightInd w:val="0"/>
                    <w:snapToGrid w:val="0"/>
                    <w:jc w:val="center"/>
                    <w:rPr>
                      <w:rFonts w:eastAsiaTheme="minorEastAsia"/>
                      <w:color w:val="auto"/>
                      <w:szCs w:val="21"/>
                    </w:rPr>
                  </w:pPr>
                  <w:r>
                    <w:rPr>
                      <w:rFonts w:eastAsiaTheme="minorEastAsia"/>
                      <w:color w:val="auto"/>
                      <w:szCs w:val="21"/>
                    </w:rPr>
                    <w:t>铅</w:t>
                  </w: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9</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946" w:type="dxa"/>
                  <w:vAlign w:val="center"/>
                </w:tcPr>
                <w:p>
                  <w:pPr>
                    <w:adjustRightInd w:val="0"/>
                    <w:snapToGrid w:val="0"/>
                    <w:jc w:val="center"/>
                    <w:rPr>
                      <w:rFonts w:eastAsiaTheme="minorEastAsia"/>
                      <w:color w:val="auto"/>
                      <w:szCs w:val="21"/>
                    </w:rPr>
                  </w:pPr>
                  <w:r>
                    <w:rPr>
                      <w:rFonts w:eastAsiaTheme="minorEastAsia"/>
                      <w:color w:val="auto"/>
                      <w:szCs w:val="21"/>
                    </w:rPr>
                    <w:t>9</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9</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9</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074" w:type="dxa"/>
                  <w:vAlign w:val="center"/>
                </w:tcPr>
                <w:p>
                  <w:pPr>
                    <w:adjustRightInd w:val="0"/>
                    <w:snapToGrid w:val="0"/>
                    <w:jc w:val="center"/>
                    <w:rPr>
                      <w:rFonts w:eastAsiaTheme="minorEastAsia"/>
                      <w:color w:val="auto"/>
                      <w:szCs w:val="21"/>
                    </w:rPr>
                  </w:pPr>
                  <w:r>
                    <w:rPr>
                      <w:rFonts w:eastAsiaTheme="minorEastAsia"/>
                      <w:color w:val="auto"/>
                      <w:szCs w:val="21"/>
                    </w:rPr>
                    <w:t>9</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17" w:type="dxa"/>
                  <w:vAlign w:val="center"/>
                </w:tcPr>
                <w:p>
                  <w:pPr>
                    <w:adjustRightInd w:val="0"/>
                    <w:snapToGrid w:val="0"/>
                    <w:jc w:val="center"/>
                    <w:rPr>
                      <w:rFonts w:eastAsiaTheme="minorEastAsia"/>
                      <w:color w:val="auto"/>
                      <w:szCs w:val="21"/>
                    </w:rPr>
                  </w:pPr>
                  <w:r>
                    <w:rPr>
                      <w:rFonts w:eastAsiaTheme="minorEastAsia"/>
                      <w:color w:val="auto"/>
                      <w:szCs w:val="21"/>
                    </w:rPr>
                    <w:t>9</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653" w:type="dxa"/>
                  <w:vAlign w:val="center"/>
                </w:tcPr>
                <w:p>
                  <w:pPr>
                    <w:jc w:val="center"/>
                    <w:rPr>
                      <w:rFonts w:eastAsiaTheme="minorEastAsia"/>
                      <w:color w:val="auto"/>
                      <w:szCs w:val="21"/>
                    </w:rPr>
                  </w:pPr>
                  <w:r>
                    <w:rPr>
                      <w:rFonts w:eastAsiaTheme="minorEastAsia"/>
                      <w:color w:val="auto"/>
                      <w:szCs w:val="21"/>
                    </w:rPr>
                    <w:t>≤0.05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993" w:type="dxa"/>
                  <w:vAlign w:val="center"/>
                </w:tcPr>
                <w:p>
                  <w:pPr>
                    <w:adjustRightInd w:val="0"/>
                    <w:snapToGrid w:val="0"/>
                    <w:jc w:val="center"/>
                    <w:rPr>
                      <w:rFonts w:eastAsiaTheme="minorEastAsia"/>
                      <w:color w:val="auto"/>
                      <w:szCs w:val="21"/>
                    </w:rPr>
                  </w:pPr>
                  <w:r>
                    <w:rPr>
                      <w:rFonts w:eastAsiaTheme="minorEastAsia"/>
                      <w:color w:val="auto"/>
                      <w:szCs w:val="21"/>
                    </w:rPr>
                    <w:t>氰化物</w:t>
                  </w: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0.004L</w:t>
                  </w:r>
                </w:p>
              </w:tc>
              <w:tc>
                <w:tcPr>
                  <w:tcW w:w="946" w:type="dxa"/>
                  <w:vAlign w:val="center"/>
                </w:tcPr>
                <w:p>
                  <w:pPr>
                    <w:adjustRightInd w:val="0"/>
                    <w:snapToGrid w:val="0"/>
                    <w:jc w:val="center"/>
                    <w:rPr>
                      <w:rFonts w:eastAsiaTheme="minorEastAsia"/>
                      <w:color w:val="auto"/>
                      <w:szCs w:val="21"/>
                    </w:rPr>
                  </w:pPr>
                  <w:r>
                    <w:rPr>
                      <w:rFonts w:eastAsiaTheme="minorEastAsia"/>
                      <w:color w:val="auto"/>
                      <w:szCs w:val="21"/>
                    </w:rPr>
                    <w:t>0.004L</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0.004L</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0.004L</w:t>
                  </w:r>
                </w:p>
              </w:tc>
              <w:tc>
                <w:tcPr>
                  <w:tcW w:w="1074" w:type="dxa"/>
                  <w:vAlign w:val="center"/>
                </w:tcPr>
                <w:p>
                  <w:pPr>
                    <w:adjustRightInd w:val="0"/>
                    <w:snapToGrid w:val="0"/>
                    <w:jc w:val="center"/>
                    <w:rPr>
                      <w:rFonts w:eastAsiaTheme="minorEastAsia"/>
                      <w:color w:val="auto"/>
                      <w:szCs w:val="21"/>
                    </w:rPr>
                  </w:pPr>
                  <w:r>
                    <w:rPr>
                      <w:rFonts w:eastAsiaTheme="minorEastAsia"/>
                      <w:color w:val="auto"/>
                      <w:szCs w:val="21"/>
                    </w:rPr>
                    <w:t>0.004L</w:t>
                  </w:r>
                </w:p>
              </w:tc>
              <w:tc>
                <w:tcPr>
                  <w:tcW w:w="1117" w:type="dxa"/>
                  <w:vAlign w:val="center"/>
                </w:tcPr>
                <w:p>
                  <w:pPr>
                    <w:adjustRightInd w:val="0"/>
                    <w:snapToGrid w:val="0"/>
                    <w:jc w:val="center"/>
                    <w:rPr>
                      <w:rFonts w:eastAsiaTheme="minorEastAsia"/>
                      <w:color w:val="auto"/>
                      <w:szCs w:val="21"/>
                    </w:rPr>
                  </w:pPr>
                  <w:r>
                    <w:rPr>
                      <w:rFonts w:eastAsiaTheme="minorEastAsia"/>
                      <w:color w:val="auto"/>
                      <w:szCs w:val="21"/>
                    </w:rPr>
                    <w:t>0.004L</w:t>
                  </w:r>
                </w:p>
              </w:tc>
              <w:tc>
                <w:tcPr>
                  <w:tcW w:w="1653" w:type="dxa"/>
                  <w:vAlign w:val="center"/>
                </w:tcPr>
                <w:p>
                  <w:pPr>
                    <w:jc w:val="center"/>
                    <w:rPr>
                      <w:rFonts w:eastAsiaTheme="minorEastAsia"/>
                      <w:color w:val="auto"/>
                      <w:szCs w:val="21"/>
                    </w:rPr>
                  </w:pPr>
                  <w:r>
                    <w:rPr>
                      <w:rFonts w:eastAsiaTheme="minorEastAsia"/>
                      <w:color w:val="auto"/>
                      <w:szCs w:val="21"/>
                    </w:rPr>
                    <w:t>≤0.2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993" w:type="dxa"/>
                  <w:vAlign w:val="center"/>
                </w:tcPr>
                <w:p>
                  <w:pPr>
                    <w:adjustRightInd w:val="0"/>
                    <w:snapToGrid w:val="0"/>
                    <w:jc w:val="center"/>
                    <w:rPr>
                      <w:rFonts w:eastAsiaTheme="minorEastAsia"/>
                      <w:color w:val="auto"/>
                      <w:szCs w:val="21"/>
                    </w:rPr>
                  </w:pPr>
                  <w:r>
                    <w:rPr>
                      <w:rFonts w:eastAsiaTheme="minorEastAsia"/>
                      <w:color w:val="auto"/>
                      <w:szCs w:val="21"/>
                    </w:rPr>
                    <w:t>挥发酚</w:t>
                  </w: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0.0003L</w:t>
                  </w:r>
                </w:p>
              </w:tc>
              <w:tc>
                <w:tcPr>
                  <w:tcW w:w="946" w:type="dxa"/>
                  <w:vAlign w:val="center"/>
                </w:tcPr>
                <w:p>
                  <w:pPr>
                    <w:adjustRightInd w:val="0"/>
                    <w:snapToGrid w:val="0"/>
                    <w:jc w:val="center"/>
                    <w:rPr>
                      <w:rFonts w:eastAsiaTheme="minorEastAsia"/>
                      <w:color w:val="auto"/>
                      <w:szCs w:val="21"/>
                    </w:rPr>
                  </w:pPr>
                  <w:r>
                    <w:rPr>
                      <w:rFonts w:eastAsiaTheme="minorEastAsia"/>
                      <w:color w:val="auto"/>
                      <w:szCs w:val="21"/>
                    </w:rPr>
                    <w:t>0.0003L</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0.0003L</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0.0003L</w:t>
                  </w:r>
                </w:p>
              </w:tc>
              <w:tc>
                <w:tcPr>
                  <w:tcW w:w="1074" w:type="dxa"/>
                  <w:vAlign w:val="center"/>
                </w:tcPr>
                <w:p>
                  <w:pPr>
                    <w:adjustRightInd w:val="0"/>
                    <w:snapToGrid w:val="0"/>
                    <w:jc w:val="center"/>
                    <w:rPr>
                      <w:rFonts w:eastAsiaTheme="minorEastAsia"/>
                      <w:color w:val="auto"/>
                      <w:szCs w:val="21"/>
                    </w:rPr>
                  </w:pPr>
                  <w:r>
                    <w:rPr>
                      <w:rFonts w:eastAsiaTheme="minorEastAsia"/>
                      <w:color w:val="auto"/>
                      <w:szCs w:val="21"/>
                    </w:rPr>
                    <w:t>0.0003L</w:t>
                  </w:r>
                </w:p>
              </w:tc>
              <w:tc>
                <w:tcPr>
                  <w:tcW w:w="1117" w:type="dxa"/>
                  <w:vAlign w:val="center"/>
                </w:tcPr>
                <w:p>
                  <w:pPr>
                    <w:adjustRightInd w:val="0"/>
                    <w:snapToGrid w:val="0"/>
                    <w:jc w:val="center"/>
                    <w:rPr>
                      <w:rFonts w:eastAsiaTheme="minorEastAsia"/>
                      <w:color w:val="auto"/>
                      <w:szCs w:val="21"/>
                    </w:rPr>
                  </w:pPr>
                  <w:r>
                    <w:rPr>
                      <w:rFonts w:eastAsiaTheme="minorEastAsia"/>
                      <w:color w:val="auto"/>
                      <w:szCs w:val="21"/>
                    </w:rPr>
                    <w:t>0.0003L</w:t>
                  </w:r>
                </w:p>
              </w:tc>
              <w:tc>
                <w:tcPr>
                  <w:tcW w:w="1653" w:type="dxa"/>
                  <w:vAlign w:val="center"/>
                </w:tcPr>
                <w:p>
                  <w:pPr>
                    <w:jc w:val="center"/>
                    <w:rPr>
                      <w:rFonts w:eastAsiaTheme="minorEastAsia"/>
                      <w:color w:val="auto"/>
                      <w:szCs w:val="21"/>
                    </w:rPr>
                  </w:pPr>
                  <w:r>
                    <w:rPr>
                      <w:rFonts w:eastAsiaTheme="minorEastAsia"/>
                      <w:color w:val="auto"/>
                      <w:szCs w:val="21"/>
                    </w:rPr>
                    <w:t>≤0.01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993" w:type="dxa"/>
                  <w:vAlign w:val="center"/>
                </w:tcPr>
                <w:p>
                  <w:pPr>
                    <w:adjustRightInd w:val="0"/>
                    <w:snapToGrid w:val="0"/>
                    <w:jc w:val="center"/>
                    <w:rPr>
                      <w:rFonts w:eastAsiaTheme="minorEastAsia"/>
                      <w:color w:val="auto"/>
                      <w:szCs w:val="21"/>
                    </w:rPr>
                  </w:pPr>
                  <w:r>
                    <w:rPr>
                      <w:rFonts w:eastAsiaTheme="minorEastAsia"/>
                      <w:color w:val="auto"/>
                      <w:szCs w:val="21"/>
                    </w:rPr>
                    <w:t>石油类</w:t>
                  </w: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0.01L</w:t>
                  </w:r>
                </w:p>
              </w:tc>
              <w:tc>
                <w:tcPr>
                  <w:tcW w:w="946" w:type="dxa"/>
                  <w:vAlign w:val="center"/>
                </w:tcPr>
                <w:p>
                  <w:pPr>
                    <w:adjustRightInd w:val="0"/>
                    <w:snapToGrid w:val="0"/>
                    <w:jc w:val="center"/>
                    <w:rPr>
                      <w:rFonts w:eastAsiaTheme="minorEastAsia"/>
                      <w:color w:val="auto"/>
                      <w:szCs w:val="21"/>
                    </w:rPr>
                  </w:pPr>
                  <w:r>
                    <w:rPr>
                      <w:rFonts w:eastAsiaTheme="minorEastAsia"/>
                      <w:color w:val="auto"/>
                      <w:szCs w:val="21"/>
                    </w:rPr>
                    <w:t>0.01L</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0.01L</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0.01L</w:t>
                  </w:r>
                </w:p>
              </w:tc>
              <w:tc>
                <w:tcPr>
                  <w:tcW w:w="1074" w:type="dxa"/>
                  <w:vAlign w:val="center"/>
                </w:tcPr>
                <w:p>
                  <w:pPr>
                    <w:adjustRightInd w:val="0"/>
                    <w:snapToGrid w:val="0"/>
                    <w:jc w:val="center"/>
                    <w:rPr>
                      <w:rFonts w:eastAsiaTheme="minorEastAsia"/>
                      <w:color w:val="auto"/>
                      <w:szCs w:val="21"/>
                    </w:rPr>
                  </w:pPr>
                  <w:r>
                    <w:rPr>
                      <w:rFonts w:eastAsiaTheme="minorEastAsia"/>
                      <w:color w:val="auto"/>
                      <w:szCs w:val="21"/>
                    </w:rPr>
                    <w:t>0.01L</w:t>
                  </w:r>
                </w:p>
              </w:tc>
              <w:tc>
                <w:tcPr>
                  <w:tcW w:w="1117" w:type="dxa"/>
                  <w:vAlign w:val="center"/>
                </w:tcPr>
                <w:p>
                  <w:pPr>
                    <w:adjustRightInd w:val="0"/>
                    <w:snapToGrid w:val="0"/>
                    <w:jc w:val="center"/>
                    <w:rPr>
                      <w:rFonts w:eastAsiaTheme="minorEastAsia"/>
                      <w:color w:val="auto"/>
                      <w:szCs w:val="21"/>
                    </w:rPr>
                  </w:pPr>
                  <w:r>
                    <w:rPr>
                      <w:rFonts w:eastAsiaTheme="minorEastAsia"/>
                      <w:color w:val="auto"/>
                      <w:szCs w:val="21"/>
                    </w:rPr>
                    <w:t>0.01L</w:t>
                  </w:r>
                </w:p>
              </w:tc>
              <w:tc>
                <w:tcPr>
                  <w:tcW w:w="1653" w:type="dxa"/>
                  <w:vAlign w:val="center"/>
                </w:tcPr>
                <w:p>
                  <w:pPr>
                    <w:jc w:val="center"/>
                    <w:rPr>
                      <w:rFonts w:eastAsiaTheme="minorEastAsia"/>
                      <w:color w:val="auto"/>
                      <w:szCs w:val="21"/>
                    </w:rPr>
                  </w:pPr>
                  <w:r>
                    <w:rPr>
                      <w:rFonts w:eastAsiaTheme="minorEastAsia"/>
                      <w:color w:val="auto"/>
                      <w:szCs w:val="21"/>
                    </w:rPr>
                    <w:t>≤0.5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993" w:type="dxa"/>
                  <w:vAlign w:val="center"/>
                </w:tcPr>
                <w:p>
                  <w:pPr>
                    <w:adjustRightInd w:val="0"/>
                    <w:snapToGrid w:val="0"/>
                    <w:jc w:val="center"/>
                    <w:rPr>
                      <w:rFonts w:eastAsiaTheme="minorEastAsia"/>
                      <w:color w:val="auto"/>
                      <w:szCs w:val="21"/>
                    </w:rPr>
                  </w:pPr>
                  <w:r>
                    <w:rPr>
                      <w:rFonts w:eastAsiaTheme="minorEastAsia"/>
                      <w:color w:val="auto"/>
                      <w:szCs w:val="21"/>
                    </w:rPr>
                    <w:t>粪大肠菌群(个/L)</w:t>
                  </w: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未检出</w:t>
                  </w:r>
                </w:p>
              </w:tc>
              <w:tc>
                <w:tcPr>
                  <w:tcW w:w="946" w:type="dxa"/>
                  <w:vAlign w:val="center"/>
                </w:tcPr>
                <w:p>
                  <w:pPr>
                    <w:jc w:val="center"/>
                    <w:rPr>
                      <w:rFonts w:eastAsiaTheme="minorEastAsia"/>
                      <w:color w:val="auto"/>
                      <w:szCs w:val="21"/>
                    </w:rPr>
                  </w:pPr>
                  <w:r>
                    <w:rPr>
                      <w:rFonts w:eastAsiaTheme="minorEastAsia"/>
                      <w:color w:val="auto"/>
                      <w:szCs w:val="21"/>
                    </w:rPr>
                    <w:t>未检出</w:t>
                  </w:r>
                </w:p>
              </w:tc>
              <w:tc>
                <w:tcPr>
                  <w:tcW w:w="1066" w:type="dxa"/>
                  <w:vAlign w:val="center"/>
                </w:tcPr>
                <w:p>
                  <w:pPr>
                    <w:adjustRightInd w:val="0"/>
                    <w:snapToGrid w:val="0"/>
                    <w:jc w:val="center"/>
                    <w:rPr>
                      <w:rFonts w:eastAsiaTheme="minorEastAsia"/>
                      <w:color w:val="auto"/>
                      <w:szCs w:val="21"/>
                    </w:rPr>
                  </w:pPr>
                  <w:r>
                    <w:rPr>
                      <w:rFonts w:eastAsiaTheme="minorEastAsia"/>
                      <w:color w:val="auto"/>
                      <w:szCs w:val="21"/>
                    </w:rPr>
                    <w:t>80</w:t>
                  </w:r>
                </w:p>
              </w:tc>
              <w:tc>
                <w:tcPr>
                  <w:tcW w:w="1066" w:type="dxa"/>
                  <w:vAlign w:val="center"/>
                </w:tcPr>
                <w:p>
                  <w:pPr>
                    <w:jc w:val="center"/>
                    <w:rPr>
                      <w:rFonts w:eastAsiaTheme="minorEastAsia"/>
                      <w:color w:val="auto"/>
                      <w:szCs w:val="21"/>
                    </w:rPr>
                  </w:pPr>
                  <w:r>
                    <w:rPr>
                      <w:rFonts w:eastAsiaTheme="minorEastAsia"/>
                      <w:color w:val="auto"/>
                      <w:szCs w:val="21"/>
                    </w:rPr>
                    <w:t>80</w:t>
                  </w:r>
                </w:p>
              </w:tc>
              <w:tc>
                <w:tcPr>
                  <w:tcW w:w="1074" w:type="dxa"/>
                  <w:vAlign w:val="center"/>
                </w:tcPr>
                <w:p>
                  <w:pPr>
                    <w:adjustRightInd w:val="0"/>
                    <w:snapToGrid w:val="0"/>
                    <w:jc w:val="center"/>
                    <w:rPr>
                      <w:rFonts w:eastAsiaTheme="minorEastAsia"/>
                      <w:color w:val="auto"/>
                      <w:szCs w:val="21"/>
                    </w:rPr>
                  </w:pPr>
                  <w:r>
                    <w:rPr>
                      <w:rFonts w:eastAsiaTheme="minorEastAsia"/>
                      <w:color w:val="auto"/>
                      <w:szCs w:val="21"/>
                    </w:rPr>
                    <w:t>50</w:t>
                  </w:r>
                </w:p>
              </w:tc>
              <w:tc>
                <w:tcPr>
                  <w:tcW w:w="1117" w:type="dxa"/>
                  <w:vAlign w:val="center"/>
                </w:tcPr>
                <w:p>
                  <w:pPr>
                    <w:jc w:val="center"/>
                    <w:rPr>
                      <w:rFonts w:eastAsiaTheme="minorEastAsia"/>
                      <w:color w:val="auto"/>
                      <w:szCs w:val="21"/>
                    </w:rPr>
                  </w:pPr>
                  <w:r>
                    <w:rPr>
                      <w:rFonts w:eastAsiaTheme="minorEastAsia"/>
                      <w:color w:val="auto"/>
                      <w:szCs w:val="21"/>
                    </w:rPr>
                    <w:t>未检出</w:t>
                  </w:r>
                </w:p>
              </w:tc>
              <w:tc>
                <w:tcPr>
                  <w:tcW w:w="1653" w:type="dxa"/>
                  <w:vAlign w:val="center"/>
                </w:tcPr>
                <w:p>
                  <w:pPr>
                    <w:jc w:val="center"/>
                    <w:rPr>
                      <w:rFonts w:eastAsiaTheme="minorEastAsia"/>
                      <w:color w:val="auto"/>
                      <w:szCs w:val="21"/>
                    </w:rPr>
                  </w:pPr>
                  <w:r>
                    <w:rPr>
                      <w:rFonts w:eastAsiaTheme="minorEastAsia"/>
                      <w:color w:val="auto"/>
                      <w:szCs w:val="21"/>
                    </w:rPr>
                    <w:t>≤20000</w:t>
                  </w:r>
                </w:p>
              </w:tc>
            </w:tr>
          </w:tbl>
          <w:p>
            <w:pPr>
              <w:adjustRightInd w:val="0"/>
              <w:snapToGrid w:val="0"/>
              <w:spacing w:line="360" w:lineRule="auto"/>
              <w:ind w:firstLine="48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 6 \* GB2 </w:instrText>
            </w:r>
            <w:r>
              <w:rPr>
                <w:rFonts w:eastAsiaTheme="minorEastAsia"/>
                <w:color w:val="auto"/>
                <w:sz w:val="24"/>
              </w:rPr>
              <w:fldChar w:fldCharType="separate"/>
            </w:r>
            <w:r>
              <w:rPr>
                <w:rFonts w:hint="eastAsia" w:ascii="宋体" w:hAnsi="宋体" w:cs="宋体"/>
                <w:color w:val="auto"/>
                <w:sz w:val="24"/>
              </w:rPr>
              <w:t>⑹</w:t>
            </w:r>
            <w:r>
              <w:rPr>
                <w:rFonts w:eastAsiaTheme="minorEastAsia"/>
                <w:color w:val="auto"/>
                <w:sz w:val="24"/>
              </w:rPr>
              <w:fldChar w:fldCharType="end"/>
            </w:r>
            <w:r>
              <w:rPr>
                <w:rFonts w:eastAsiaTheme="minorEastAsia"/>
                <w:color w:val="auto"/>
                <w:sz w:val="24"/>
              </w:rPr>
              <w:t>地表水质量现状评价</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①</w:t>
            </w:r>
            <w:r>
              <w:rPr>
                <w:rFonts w:eastAsiaTheme="minorEastAsia"/>
                <w:color w:val="auto"/>
                <w:sz w:val="24"/>
              </w:rPr>
              <w:t>评价标准</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项目区地下水现状评价标准执行《地表水环境质量标准》（GB3838-2002）</w:t>
            </w:r>
            <w:r>
              <w:rPr>
                <w:rFonts w:hint="eastAsia" w:ascii="宋体" w:hAnsi="宋体" w:cs="宋体"/>
                <w:color w:val="auto"/>
                <w:sz w:val="24"/>
              </w:rPr>
              <w:t>Ⅳ</w:t>
            </w:r>
            <w:r>
              <w:rPr>
                <w:rFonts w:eastAsiaTheme="minorEastAsia"/>
                <w:color w:val="auto"/>
                <w:sz w:val="24"/>
              </w:rPr>
              <w:t>类标准限值。</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②</w:t>
            </w:r>
            <w:r>
              <w:rPr>
                <w:rFonts w:eastAsiaTheme="minorEastAsia"/>
                <w:color w:val="auto"/>
                <w:sz w:val="24"/>
              </w:rPr>
              <w:t>评价方法</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本次评价采用《环境影响评价技术导则-地表水环境》（HJ2.3-2018）附录D的水质指数法，具体评价模式如下：</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a.一般水质因子（随着浓度增加而水质变差的水质因子）的指数计算公式：</w:t>
            </w:r>
          </w:p>
          <w:p>
            <w:pPr>
              <w:adjustRightInd w:val="0"/>
              <w:snapToGrid w:val="0"/>
              <w:spacing w:line="360" w:lineRule="auto"/>
              <w:ind w:firstLine="1180" w:firstLineChars="492"/>
              <w:rPr>
                <w:color w:val="auto"/>
                <w:sz w:val="24"/>
              </w:rPr>
            </w:pPr>
            <w:r>
              <w:rPr>
                <w:color w:val="auto"/>
                <w:sz w:val="24"/>
              </w:rPr>
              <w:t>S</w:t>
            </w:r>
            <w:r>
              <w:rPr>
                <w:color w:val="auto"/>
                <w:sz w:val="24"/>
                <w:vertAlign w:val="subscript"/>
              </w:rPr>
              <w:t>i</w:t>
            </w:r>
            <w:r>
              <w:rPr>
                <w:color w:val="auto"/>
                <w:sz w:val="24"/>
              </w:rPr>
              <w:t>=C</w:t>
            </w:r>
            <w:r>
              <w:rPr>
                <w:color w:val="auto"/>
                <w:sz w:val="24"/>
                <w:vertAlign w:val="subscript"/>
              </w:rPr>
              <w:t xml:space="preserve">i，j </w:t>
            </w:r>
            <w:r>
              <w:rPr>
                <w:color w:val="auto"/>
                <w:sz w:val="24"/>
              </w:rPr>
              <w:t>/ C</w:t>
            </w:r>
            <w:r>
              <w:rPr>
                <w:color w:val="auto"/>
                <w:sz w:val="24"/>
                <w:vertAlign w:val="subscript"/>
              </w:rPr>
              <w:t>si</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式中：</w:t>
            </w:r>
            <w:r>
              <w:rPr>
                <w:rFonts w:eastAsiaTheme="minorEastAsia"/>
                <w:i/>
                <w:iCs/>
                <w:color w:val="auto"/>
                <w:sz w:val="24"/>
              </w:rPr>
              <w:t>Si,</w:t>
            </w:r>
            <w:r>
              <w:rPr>
                <w:rFonts w:eastAsiaTheme="minorEastAsia"/>
                <w:i/>
                <w:iCs/>
                <w:color w:val="auto"/>
                <w:sz w:val="24"/>
                <w:vertAlign w:val="subscript"/>
              </w:rPr>
              <w:t>j</w:t>
            </w:r>
            <w:r>
              <w:rPr>
                <w:rFonts w:eastAsiaTheme="minorEastAsia"/>
                <w:color w:val="auto"/>
                <w:sz w:val="24"/>
              </w:rPr>
              <w:t>—评价因子i的水质指数，大于1表明该水质因子超标；</w:t>
            </w:r>
          </w:p>
          <w:p>
            <w:pPr>
              <w:adjustRightInd w:val="0"/>
              <w:snapToGrid w:val="0"/>
              <w:spacing w:line="360" w:lineRule="auto"/>
              <w:ind w:firstLine="480" w:firstLineChars="200"/>
              <w:rPr>
                <w:rFonts w:eastAsiaTheme="minorEastAsia"/>
                <w:color w:val="auto"/>
                <w:sz w:val="24"/>
              </w:rPr>
            </w:pPr>
            <w:r>
              <w:rPr>
                <w:rFonts w:eastAsiaTheme="minorEastAsia"/>
                <w:i/>
                <w:iCs/>
                <w:color w:val="auto"/>
                <w:sz w:val="24"/>
              </w:rPr>
              <w:t xml:space="preserve">      C</w:t>
            </w:r>
            <w:r>
              <w:rPr>
                <w:rFonts w:eastAsiaTheme="minorEastAsia"/>
                <w:i/>
                <w:iCs/>
                <w:color w:val="auto"/>
                <w:sz w:val="24"/>
                <w:vertAlign w:val="subscript"/>
              </w:rPr>
              <w:t>i</w:t>
            </w:r>
            <w:r>
              <w:rPr>
                <w:rFonts w:eastAsiaTheme="minorEastAsia"/>
                <w:color w:val="auto"/>
                <w:sz w:val="24"/>
              </w:rPr>
              <w:t>—评价因子i在j点的实测统计代表值，mg/L；</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 xml:space="preserve">      C</w:t>
            </w:r>
            <w:r>
              <w:rPr>
                <w:rFonts w:eastAsiaTheme="minorEastAsia"/>
                <w:color w:val="auto"/>
                <w:sz w:val="24"/>
                <w:vertAlign w:val="subscript"/>
              </w:rPr>
              <w:t>si</w:t>
            </w:r>
            <w:r>
              <w:rPr>
                <w:rFonts w:eastAsiaTheme="minorEastAsia"/>
                <w:color w:val="auto"/>
                <w:sz w:val="24"/>
              </w:rPr>
              <w:t>—评价因子i的水质评价标准值，mg/L。</w:t>
            </w:r>
          </w:p>
          <w:p>
            <w:pPr>
              <w:adjustRightInd w:val="0"/>
              <w:snapToGrid w:val="0"/>
              <w:spacing w:line="360" w:lineRule="auto"/>
              <w:ind w:firstLine="465"/>
              <w:rPr>
                <w:rFonts w:eastAsiaTheme="minorEastAsia"/>
                <w:color w:val="auto"/>
                <w:sz w:val="24"/>
              </w:rPr>
            </w:pPr>
            <w:r>
              <w:rPr>
                <w:rFonts w:eastAsiaTheme="minorEastAsia"/>
                <w:color w:val="auto"/>
                <w:sz w:val="24"/>
              </w:rPr>
              <w:t>b.溶解氧（DO）的标准指数计算公式</w:t>
            </w:r>
          </w:p>
          <w:p>
            <w:pPr>
              <w:adjustRightInd w:val="0"/>
              <w:snapToGrid w:val="0"/>
              <w:spacing w:line="360" w:lineRule="auto"/>
              <w:ind w:firstLine="960" w:firstLineChars="400"/>
              <w:rPr>
                <w:color w:val="auto"/>
                <w:sz w:val="24"/>
              </w:rPr>
            </w:pPr>
            <w:r>
              <w:rPr>
                <w:color w:val="auto"/>
                <w:sz w:val="24"/>
              </w:rPr>
              <w:t>S</w:t>
            </w:r>
            <w:r>
              <w:rPr>
                <w:color w:val="auto"/>
                <w:sz w:val="24"/>
                <w:vertAlign w:val="subscript"/>
              </w:rPr>
              <w:t>DO，j</w:t>
            </w:r>
            <w:r>
              <w:rPr>
                <w:color w:val="auto"/>
                <w:sz w:val="24"/>
              </w:rPr>
              <w:t>=│DO</w:t>
            </w:r>
            <w:r>
              <w:rPr>
                <w:color w:val="auto"/>
                <w:sz w:val="24"/>
                <w:vertAlign w:val="subscript"/>
              </w:rPr>
              <w:t>f</w:t>
            </w:r>
            <w:r>
              <w:rPr>
                <w:color w:val="auto"/>
                <w:sz w:val="24"/>
              </w:rPr>
              <w:t>-DO</w:t>
            </w:r>
            <w:r>
              <w:rPr>
                <w:color w:val="auto"/>
                <w:sz w:val="24"/>
                <w:vertAlign w:val="subscript"/>
              </w:rPr>
              <w:t>j</w:t>
            </w:r>
            <w:r>
              <w:rPr>
                <w:color w:val="auto"/>
                <w:sz w:val="24"/>
              </w:rPr>
              <w:t>│/ DO</w:t>
            </w:r>
            <w:r>
              <w:rPr>
                <w:color w:val="auto"/>
                <w:sz w:val="24"/>
                <w:vertAlign w:val="subscript"/>
              </w:rPr>
              <w:t>f</w:t>
            </w:r>
            <w:r>
              <w:rPr>
                <w:color w:val="auto"/>
                <w:sz w:val="24"/>
              </w:rPr>
              <w:t>-DO</w:t>
            </w:r>
            <w:r>
              <w:rPr>
                <w:color w:val="auto"/>
                <w:sz w:val="24"/>
                <w:vertAlign w:val="subscript"/>
              </w:rPr>
              <w:t>s</w:t>
            </w:r>
            <w:r>
              <w:rPr>
                <w:color w:val="auto"/>
                <w:sz w:val="24"/>
              </w:rPr>
              <w:t>，DO</w:t>
            </w:r>
            <w:r>
              <w:rPr>
                <w:color w:val="auto"/>
                <w:sz w:val="24"/>
                <w:vertAlign w:val="subscript"/>
              </w:rPr>
              <w:t>j</w:t>
            </w:r>
            <w:r>
              <w:rPr>
                <w:color w:val="auto"/>
                <w:sz w:val="24"/>
              </w:rPr>
              <w:t>≥DO</w:t>
            </w:r>
            <w:r>
              <w:rPr>
                <w:color w:val="auto"/>
                <w:sz w:val="24"/>
                <w:vertAlign w:val="subscript"/>
              </w:rPr>
              <w:t>f</w:t>
            </w:r>
            <w:r>
              <w:rPr>
                <w:color w:val="auto"/>
                <w:sz w:val="24"/>
              </w:rPr>
              <w:t>；</w:t>
            </w:r>
          </w:p>
          <w:p>
            <w:pPr>
              <w:adjustRightInd w:val="0"/>
              <w:snapToGrid w:val="0"/>
              <w:spacing w:line="360" w:lineRule="auto"/>
              <w:ind w:firstLine="960" w:firstLineChars="400"/>
              <w:rPr>
                <w:color w:val="auto"/>
                <w:sz w:val="24"/>
              </w:rPr>
            </w:pPr>
            <w:r>
              <w:rPr>
                <w:color w:val="auto"/>
                <w:sz w:val="24"/>
              </w:rPr>
              <w:t>S</w:t>
            </w:r>
            <w:r>
              <w:rPr>
                <w:color w:val="auto"/>
                <w:sz w:val="24"/>
                <w:vertAlign w:val="subscript"/>
              </w:rPr>
              <w:t>DO，j</w:t>
            </w:r>
            <w:r>
              <w:rPr>
                <w:color w:val="auto"/>
                <w:sz w:val="24"/>
              </w:rPr>
              <w:t>= DO</w:t>
            </w:r>
            <w:r>
              <w:rPr>
                <w:color w:val="auto"/>
                <w:sz w:val="24"/>
                <w:vertAlign w:val="subscript"/>
              </w:rPr>
              <w:t>s</w:t>
            </w:r>
            <w:r>
              <w:rPr>
                <w:color w:val="auto"/>
                <w:sz w:val="24"/>
              </w:rPr>
              <w:t xml:space="preserve"> /DO</w:t>
            </w:r>
            <w:r>
              <w:rPr>
                <w:color w:val="auto"/>
                <w:sz w:val="24"/>
                <w:vertAlign w:val="subscript"/>
              </w:rPr>
              <w:t>j</w:t>
            </w:r>
            <w:r>
              <w:rPr>
                <w:color w:val="auto"/>
                <w:sz w:val="24"/>
              </w:rPr>
              <w:t>，DO</w:t>
            </w:r>
            <w:r>
              <w:rPr>
                <w:color w:val="auto"/>
                <w:sz w:val="24"/>
                <w:vertAlign w:val="subscript"/>
              </w:rPr>
              <w:t>j</w:t>
            </w:r>
            <w:r>
              <w:rPr>
                <w:color w:val="auto"/>
                <w:sz w:val="24"/>
              </w:rPr>
              <w:t>≤DO</w:t>
            </w:r>
            <w:r>
              <w:rPr>
                <w:color w:val="auto"/>
                <w:sz w:val="24"/>
                <w:vertAlign w:val="subscript"/>
              </w:rPr>
              <w:t>f</w:t>
            </w:r>
            <w:r>
              <w:rPr>
                <w:color w:val="auto"/>
                <w:sz w:val="24"/>
              </w:rPr>
              <w:t>；</w:t>
            </w:r>
          </w:p>
          <w:p>
            <w:pPr>
              <w:adjustRightInd w:val="0"/>
              <w:snapToGrid w:val="0"/>
              <w:spacing w:line="360" w:lineRule="auto"/>
              <w:ind w:firstLine="465"/>
              <w:rPr>
                <w:color w:val="auto"/>
                <w:sz w:val="24"/>
              </w:rPr>
            </w:pPr>
            <w:r>
              <w:rPr>
                <w:color w:val="auto"/>
                <w:sz w:val="24"/>
              </w:rPr>
              <w:t>式中：S</w:t>
            </w:r>
            <w:r>
              <w:rPr>
                <w:color w:val="auto"/>
                <w:sz w:val="24"/>
                <w:vertAlign w:val="subscript"/>
              </w:rPr>
              <w:t>DO，j</w:t>
            </w:r>
            <w:r>
              <w:rPr>
                <w:color w:val="auto"/>
                <w:sz w:val="24"/>
              </w:rPr>
              <w:t>――溶解氧的标准指数，大于1表明该水质因子超标；</w:t>
            </w:r>
          </w:p>
          <w:p>
            <w:pPr>
              <w:tabs>
                <w:tab w:val="left" w:pos="1140"/>
              </w:tabs>
              <w:adjustRightInd w:val="0"/>
              <w:snapToGrid w:val="0"/>
              <w:spacing w:line="360" w:lineRule="auto"/>
              <w:ind w:firstLine="1200" w:firstLineChars="500"/>
              <w:rPr>
                <w:color w:val="auto"/>
                <w:sz w:val="24"/>
              </w:rPr>
            </w:pPr>
            <w:r>
              <w:rPr>
                <w:color w:val="auto"/>
                <w:sz w:val="24"/>
              </w:rPr>
              <w:t>DO</w:t>
            </w:r>
            <w:r>
              <w:rPr>
                <w:color w:val="auto"/>
                <w:sz w:val="24"/>
                <w:vertAlign w:val="subscript"/>
              </w:rPr>
              <w:t>j</w:t>
            </w:r>
            <w:r>
              <w:rPr>
                <w:color w:val="auto"/>
                <w:sz w:val="24"/>
              </w:rPr>
              <w:t>――溶解氧在j点的实测统计代表值，mg/L；</w:t>
            </w:r>
          </w:p>
          <w:p>
            <w:pPr>
              <w:adjustRightInd w:val="0"/>
              <w:snapToGrid w:val="0"/>
              <w:spacing w:line="360" w:lineRule="auto"/>
              <w:ind w:firstLine="1200" w:firstLineChars="500"/>
              <w:rPr>
                <w:color w:val="auto"/>
                <w:sz w:val="24"/>
              </w:rPr>
            </w:pPr>
            <w:r>
              <w:rPr>
                <w:color w:val="auto"/>
                <w:sz w:val="24"/>
              </w:rPr>
              <w:t>DO</w:t>
            </w:r>
            <w:r>
              <w:rPr>
                <w:color w:val="auto"/>
                <w:sz w:val="24"/>
                <w:vertAlign w:val="subscript"/>
              </w:rPr>
              <w:t>s</w:t>
            </w:r>
            <w:r>
              <w:rPr>
                <w:color w:val="auto"/>
                <w:sz w:val="24"/>
              </w:rPr>
              <w:t>――溶解氧的水质评价标准限值mg/L；</w:t>
            </w:r>
          </w:p>
          <w:p>
            <w:pPr>
              <w:adjustRightInd w:val="0"/>
              <w:snapToGrid w:val="0"/>
              <w:spacing w:line="360" w:lineRule="auto"/>
              <w:ind w:firstLine="1200" w:firstLineChars="500"/>
              <w:rPr>
                <w:color w:val="auto"/>
                <w:sz w:val="24"/>
              </w:rPr>
            </w:pPr>
            <w:r>
              <w:rPr>
                <w:color w:val="auto"/>
                <w:sz w:val="24"/>
              </w:rPr>
              <w:t>DO</w:t>
            </w:r>
            <w:r>
              <w:rPr>
                <w:color w:val="auto"/>
                <w:sz w:val="24"/>
                <w:vertAlign w:val="subscript"/>
              </w:rPr>
              <w:t>f</w:t>
            </w:r>
            <w:r>
              <w:rPr>
                <w:color w:val="auto"/>
                <w:sz w:val="24"/>
              </w:rPr>
              <w:t>――饱和溶解氧浓度， mg/L对于河流，DO</w:t>
            </w:r>
            <w:r>
              <w:rPr>
                <w:color w:val="auto"/>
                <w:sz w:val="24"/>
                <w:vertAlign w:val="subscript"/>
              </w:rPr>
              <w:t>f</w:t>
            </w:r>
            <w:r>
              <w:rPr>
                <w:color w:val="auto"/>
                <w:sz w:val="24"/>
              </w:rPr>
              <w:t>=468/（31.6+T）；对于盐度比较高的湖泊、水库及入海河口、近岸海域，DO</w:t>
            </w:r>
            <w:r>
              <w:rPr>
                <w:color w:val="auto"/>
                <w:sz w:val="24"/>
                <w:vertAlign w:val="subscript"/>
              </w:rPr>
              <w:t>f</w:t>
            </w:r>
            <w:r>
              <w:rPr>
                <w:color w:val="auto"/>
                <w:sz w:val="24"/>
              </w:rPr>
              <w:t xml:space="preserve"> =（491-2.65S）/（33.5+T）；</w:t>
            </w:r>
          </w:p>
          <w:p>
            <w:pPr>
              <w:tabs>
                <w:tab w:val="left" w:pos="1260"/>
              </w:tabs>
              <w:adjustRightInd w:val="0"/>
              <w:snapToGrid w:val="0"/>
              <w:spacing w:line="360" w:lineRule="auto"/>
              <w:ind w:firstLine="1200" w:firstLineChars="500"/>
              <w:rPr>
                <w:color w:val="auto"/>
                <w:sz w:val="24"/>
              </w:rPr>
            </w:pPr>
            <w:r>
              <w:rPr>
                <w:color w:val="auto"/>
                <w:sz w:val="24"/>
              </w:rPr>
              <w:t>S——实用盐度符号，量纲为1；</w:t>
            </w:r>
          </w:p>
          <w:p>
            <w:pPr>
              <w:adjustRightInd w:val="0"/>
              <w:snapToGrid w:val="0"/>
              <w:spacing w:line="360" w:lineRule="auto"/>
              <w:ind w:firstLine="1200" w:firstLineChars="500"/>
              <w:rPr>
                <w:rFonts w:eastAsiaTheme="minorEastAsia"/>
                <w:color w:val="auto"/>
                <w:sz w:val="24"/>
              </w:rPr>
            </w:pPr>
            <w:r>
              <w:rPr>
                <w:color w:val="auto"/>
                <w:sz w:val="24"/>
              </w:rPr>
              <w:t>T——水温，</w:t>
            </w:r>
            <w:r>
              <w:rPr>
                <w:rFonts w:hint="eastAsia" w:ascii="宋体" w:hAnsi="宋体" w:cs="宋体"/>
                <w:color w:val="auto"/>
                <w:sz w:val="24"/>
              </w:rPr>
              <w:t>℃</w:t>
            </w:r>
            <w:r>
              <w:rPr>
                <w:color w:val="auto"/>
                <w:sz w:val="24"/>
              </w:rPr>
              <w:t>。</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c. pH的指数计算公式</w:t>
            </w:r>
          </w:p>
          <w:p>
            <w:pPr>
              <w:adjustRightInd w:val="0"/>
              <w:snapToGrid w:val="0"/>
              <w:spacing w:line="360" w:lineRule="auto"/>
              <w:ind w:firstLine="940" w:firstLineChars="392"/>
              <w:rPr>
                <w:color w:val="auto"/>
                <w:sz w:val="24"/>
              </w:rPr>
            </w:pPr>
            <w:r>
              <w:rPr>
                <w:color w:val="auto"/>
                <w:sz w:val="24"/>
              </w:rPr>
              <w:t>S</w:t>
            </w:r>
            <w:r>
              <w:rPr>
                <w:color w:val="auto"/>
                <w:sz w:val="24"/>
                <w:vertAlign w:val="subscript"/>
              </w:rPr>
              <w:t>pH，j</w:t>
            </w:r>
            <w:r>
              <w:rPr>
                <w:color w:val="auto"/>
                <w:sz w:val="24"/>
              </w:rPr>
              <w:t>=(7.0-pHj) /(7.0-pHsd)( pHj≤7.0)</w:t>
            </w:r>
          </w:p>
          <w:p>
            <w:pPr>
              <w:adjustRightInd w:val="0"/>
              <w:snapToGrid w:val="0"/>
              <w:spacing w:line="360" w:lineRule="auto"/>
              <w:ind w:firstLine="960" w:firstLineChars="400"/>
              <w:rPr>
                <w:rFonts w:eastAsiaTheme="minorEastAsia"/>
                <w:color w:val="auto"/>
                <w:sz w:val="24"/>
              </w:rPr>
            </w:pPr>
            <w:r>
              <w:rPr>
                <w:rFonts w:eastAsiaTheme="minorEastAsia"/>
                <w:color w:val="auto"/>
                <w:sz w:val="24"/>
              </w:rPr>
              <w:t>S</w:t>
            </w:r>
            <w:r>
              <w:rPr>
                <w:rFonts w:eastAsiaTheme="minorEastAsia"/>
                <w:color w:val="auto"/>
                <w:sz w:val="24"/>
                <w:vertAlign w:val="subscript"/>
              </w:rPr>
              <w:t>pH,j</w:t>
            </w:r>
            <w:r>
              <w:rPr>
                <w:rFonts w:eastAsiaTheme="minorEastAsia"/>
                <w:color w:val="auto"/>
                <w:sz w:val="24"/>
              </w:rPr>
              <w:t>= (pHj-7.0)/(pHsu-7.0) ( pHj&gt;7.0)</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式中：</w:t>
            </w:r>
            <w:r>
              <w:rPr>
                <w:color w:val="auto"/>
                <w:sz w:val="24"/>
              </w:rPr>
              <w:t>S</w:t>
            </w:r>
            <w:r>
              <w:rPr>
                <w:color w:val="auto"/>
                <w:sz w:val="24"/>
                <w:vertAlign w:val="subscript"/>
              </w:rPr>
              <w:t>pH，j</w:t>
            </w:r>
            <w:r>
              <w:rPr>
                <w:color w:val="auto"/>
                <w:sz w:val="24"/>
              </w:rPr>
              <w:t>――pH值的指数，大于1表明该水质因子超标；</w:t>
            </w:r>
          </w:p>
          <w:p>
            <w:pPr>
              <w:adjustRightInd w:val="0"/>
              <w:snapToGrid w:val="0"/>
              <w:spacing w:line="360" w:lineRule="auto"/>
              <w:ind w:firstLine="1180" w:firstLineChars="492"/>
              <w:rPr>
                <w:color w:val="auto"/>
                <w:sz w:val="24"/>
              </w:rPr>
            </w:pPr>
            <w:r>
              <w:rPr>
                <w:color w:val="auto"/>
                <w:sz w:val="24"/>
              </w:rPr>
              <w:t>pH</w:t>
            </w:r>
            <w:r>
              <w:rPr>
                <w:color w:val="auto"/>
                <w:sz w:val="24"/>
                <w:vertAlign w:val="subscript"/>
              </w:rPr>
              <w:t>j</w:t>
            </w:r>
            <w:r>
              <w:rPr>
                <w:color w:val="auto"/>
                <w:sz w:val="24"/>
              </w:rPr>
              <w:t>――pH值实测统计代表值；</w:t>
            </w:r>
          </w:p>
          <w:p>
            <w:pPr>
              <w:adjustRightInd w:val="0"/>
              <w:snapToGrid w:val="0"/>
              <w:spacing w:line="360" w:lineRule="auto"/>
              <w:ind w:firstLine="480" w:firstLineChars="200"/>
              <w:rPr>
                <w:rFonts w:eastAsiaTheme="minorEastAsia"/>
                <w:color w:val="auto"/>
                <w:sz w:val="24"/>
              </w:rPr>
            </w:pPr>
            <w:r>
              <w:rPr>
                <w:color w:val="auto"/>
                <w:sz w:val="24"/>
              </w:rPr>
              <w:t>pH</w:t>
            </w:r>
            <w:r>
              <w:rPr>
                <w:color w:val="auto"/>
                <w:sz w:val="24"/>
                <w:vertAlign w:val="subscript"/>
              </w:rPr>
              <w:t>Sd</w:t>
            </w:r>
            <w:r>
              <w:rPr>
                <w:color w:val="auto"/>
                <w:sz w:val="24"/>
              </w:rPr>
              <w:t>――评价标准中pH的下限值；</w:t>
            </w:r>
          </w:p>
          <w:p>
            <w:pPr>
              <w:adjustRightInd w:val="0"/>
              <w:snapToGrid w:val="0"/>
              <w:spacing w:line="360" w:lineRule="auto"/>
              <w:ind w:firstLine="1180" w:firstLineChars="492"/>
              <w:rPr>
                <w:color w:val="auto"/>
                <w:sz w:val="24"/>
              </w:rPr>
            </w:pPr>
            <w:r>
              <w:rPr>
                <w:color w:val="auto"/>
                <w:sz w:val="24"/>
              </w:rPr>
              <w:t>pH</w:t>
            </w:r>
            <w:r>
              <w:rPr>
                <w:color w:val="auto"/>
                <w:sz w:val="24"/>
                <w:vertAlign w:val="subscript"/>
              </w:rPr>
              <w:t>Su</w:t>
            </w:r>
            <w:r>
              <w:rPr>
                <w:color w:val="auto"/>
                <w:sz w:val="24"/>
              </w:rPr>
              <w:t>――评价标准中pH的上限值；</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 3 \* GB3 </w:instrText>
            </w:r>
            <w:r>
              <w:rPr>
                <w:rFonts w:eastAsiaTheme="minorEastAsia"/>
                <w:color w:val="auto"/>
                <w:sz w:val="24"/>
              </w:rPr>
              <w:fldChar w:fldCharType="separate"/>
            </w:r>
            <w:r>
              <w:rPr>
                <w:rFonts w:hint="eastAsia" w:ascii="宋体" w:hAnsi="宋体" w:cs="宋体"/>
                <w:color w:val="auto"/>
                <w:sz w:val="24"/>
              </w:rPr>
              <w:t>③</w:t>
            </w:r>
            <w:r>
              <w:rPr>
                <w:rFonts w:eastAsiaTheme="minorEastAsia"/>
                <w:color w:val="auto"/>
                <w:sz w:val="24"/>
              </w:rPr>
              <w:fldChar w:fldCharType="end"/>
            </w:r>
            <w:r>
              <w:rPr>
                <w:rFonts w:eastAsiaTheme="minorEastAsia"/>
                <w:color w:val="auto"/>
                <w:sz w:val="24"/>
              </w:rPr>
              <w:t>评价结果</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评价结果统计见表28。</w:t>
            </w:r>
          </w:p>
          <w:p>
            <w:pPr>
              <w:adjustRightInd w:val="0"/>
              <w:snapToGrid w:val="0"/>
              <w:spacing w:line="360" w:lineRule="auto"/>
              <w:jc w:val="center"/>
              <w:rPr>
                <w:rFonts w:eastAsiaTheme="minorEastAsia"/>
                <w:b/>
                <w:bCs/>
                <w:color w:val="auto"/>
                <w:sz w:val="24"/>
              </w:rPr>
            </w:pPr>
            <w:r>
              <w:rPr>
                <w:rFonts w:eastAsiaTheme="minorEastAsia"/>
                <w:b/>
                <w:bCs/>
                <w:color w:val="auto"/>
                <w:sz w:val="24"/>
              </w:rPr>
              <w:t>表28地表水各因子污染指数</w:t>
            </w:r>
            <w:r>
              <w:rPr>
                <w:rFonts w:eastAsiaTheme="minorEastAsia"/>
                <w:b/>
                <w:bCs/>
                <w:color w:val="auto"/>
                <w:szCs w:val="21"/>
              </w:rPr>
              <w:t>单位：</w:t>
            </w:r>
            <w:r>
              <w:rPr>
                <w:rFonts w:eastAsiaTheme="minorEastAsia"/>
                <w:b/>
                <w:color w:val="auto"/>
                <w:szCs w:val="21"/>
              </w:rPr>
              <w:t>mg/L（pH和粪大肠菌群除外）</w:t>
            </w:r>
          </w:p>
          <w:tbl>
            <w:tblPr>
              <w:tblStyle w:val="38"/>
              <w:tblW w:w="8907" w:type="dxa"/>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77"/>
              <w:gridCol w:w="2577"/>
              <w:gridCol w:w="1465"/>
              <w:gridCol w:w="1546"/>
              <w:gridCol w:w="1140"/>
              <w:gridCol w:w="1302"/>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6" w:hRule="atLeast"/>
              </w:trPr>
              <w:tc>
                <w:tcPr>
                  <w:tcW w:w="877" w:type="dxa"/>
                  <w:vAlign w:val="center"/>
                </w:tcPr>
                <w:p>
                  <w:pPr>
                    <w:adjustRightInd w:val="0"/>
                    <w:snapToGrid w:val="0"/>
                    <w:jc w:val="center"/>
                    <w:rPr>
                      <w:rFonts w:eastAsiaTheme="minorEastAsia"/>
                      <w:color w:val="auto"/>
                      <w:szCs w:val="21"/>
                    </w:rPr>
                  </w:pPr>
                  <w:r>
                    <w:rPr>
                      <w:rFonts w:eastAsiaTheme="minorEastAsia"/>
                      <w:color w:val="auto"/>
                      <w:szCs w:val="21"/>
                    </w:rPr>
                    <w:t>监测点位</w:t>
                  </w: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监测因子</w:t>
                  </w:r>
                </w:p>
              </w:tc>
              <w:tc>
                <w:tcPr>
                  <w:tcW w:w="1465" w:type="dxa"/>
                  <w:vAlign w:val="center"/>
                </w:tcPr>
                <w:p>
                  <w:pPr>
                    <w:adjustRightInd w:val="0"/>
                    <w:snapToGrid w:val="0"/>
                    <w:jc w:val="center"/>
                    <w:rPr>
                      <w:rFonts w:eastAsiaTheme="minorEastAsia"/>
                      <w:color w:val="auto"/>
                      <w:szCs w:val="21"/>
                    </w:rPr>
                  </w:pPr>
                  <w:r>
                    <w:rPr>
                      <w:rFonts w:eastAsiaTheme="minorEastAsia"/>
                      <w:color w:val="auto"/>
                      <w:szCs w:val="21"/>
                    </w:rPr>
                    <w:t>标准限值</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浓度范围</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超标率</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最大超标倍数</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71" w:hRule="atLeast"/>
              </w:trPr>
              <w:tc>
                <w:tcPr>
                  <w:tcW w:w="877" w:type="dxa"/>
                  <w:vMerge w:val="restart"/>
                  <w:vAlign w:val="center"/>
                </w:tcPr>
                <w:p>
                  <w:pPr>
                    <w:adjustRightInd w:val="0"/>
                    <w:snapToGrid w:val="0"/>
                    <w:jc w:val="center"/>
                    <w:rPr>
                      <w:rFonts w:eastAsiaTheme="minorEastAsia"/>
                      <w:color w:val="auto"/>
                      <w:szCs w:val="21"/>
                    </w:rPr>
                  </w:pPr>
                  <w:r>
                    <w:rPr>
                      <w:rFonts w:eastAsiaTheme="minorEastAsia"/>
                      <w:color w:val="auto"/>
                      <w:szCs w:val="21"/>
                    </w:rPr>
                    <w:t>1#断面</w:t>
                  </w: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pH</w:t>
                  </w:r>
                </w:p>
              </w:tc>
              <w:tc>
                <w:tcPr>
                  <w:tcW w:w="1465" w:type="dxa"/>
                  <w:vAlign w:val="center"/>
                </w:tcPr>
                <w:p>
                  <w:pPr>
                    <w:jc w:val="center"/>
                    <w:rPr>
                      <w:rFonts w:eastAsiaTheme="minorEastAsia"/>
                      <w:color w:val="auto"/>
                      <w:szCs w:val="21"/>
                    </w:rPr>
                  </w:pPr>
                  <w:r>
                    <w:rPr>
                      <w:rFonts w:eastAsiaTheme="minorEastAsia"/>
                      <w:color w:val="auto"/>
                      <w:szCs w:val="21"/>
                    </w:rPr>
                    <w:t>6~9</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8.10~8.14</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溶解氧</w:t>
                  </w:r>
                </w:p>
              </w:tc>
              <w:tc>
                <w:tcPr>
                  <w:tcW w:w="1465" w:type="dxa"/>
                  <w:vAlign w:val="center"/>
                </w:tcPr>
                <w:p>
                  <w:pPr>
                    <w:jc w:val="center"/>
                    <w:rPr>
                      <w:rFonts w:eastAsiaTheme="minorEastAsia"/>
                      <w:color w:val="auto"/>
                      <w:szCs w:val="21"/>
                    </w:rPr>
                  </w:pPr>
                  <w:r>
                    <w:rPr>
                      <w:rFonts w:eastAsiaTheme="minorEastAsia"/>
                      <w:color w:val="auto"/>
                      <w:szCs w:val="21"/>
                    </w:rPr>
                    <w:t>≥3</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7.44~8.15</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高锰酸盐指数</w:t>
                  </w:r>
                </w:p>
              </w:tc>
              <w:tc>
                <w:tcPr>
                  <w:tcW w:w="1465" w:type="dxa"/>
                  <w:vAlign w:val="center"/>
                </w:tcPr>
                <w:p>
                  <w:pPr>
                    <w:jc w:val="center"/>
                    <w:rPr>
                      <w:rFonts w:eastAsiaTheme="minorEastAsia"/>
                      <w:color w:val="auto"/>
                      <w:szCs w:val="21"/>
                    </w:rPr>
                  </w:pPr>
                  <w:r>
                    <w:rPr>
                      <w:rFonts w:eastAsiaTheme="minorEastAsia"/>
                      <w:color w:val="auto"/>
                      <w:szCs w:val="21"/>
                    </w:rPr>
                    <w:t>≤10</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1.23~1.36</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COD</w:t>
                  </w:r>
                </w:p>
              </w:tc>
              <w:tc>
                <w:tcPr>
                  <w:tcW w:w="1465" w:type="dxa"/>
                  <w:vAlign w:val="center"/>
                </w:tcPr>
                <w:p>
                  <w:pPr>
                    <w:jc w:val="center"/>
                    <w:rPr>
                      <w:rFonts w:eastAsiaTheme="minorEastAsia"/>
                      <w:color w:val="auto"/>
                      <w:szCs w:val="21"/>
                    </w:rPr>
                  </w:pPr>
                  <w:r>
                    <w:rPr>
                      <w:rFonts w:eastAsiaTheme="minorEastAsia"/>
                      <w:color w:val="auto"/>
                      <w:szCs w:val="21"/>
                    </w:rPr>
                    <w:t>≤30</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6~10</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BOD</w:t>
                  </w:r>
                  <w:r>
                    <w:rPr>
                      <w:rFonts w:eastAsiaTheme="minorEastAsia"/>
                      <w:color w:val="auto"/>
                      <w:szCs w:val="21"/>
                      <w:vertAlign w:val="subscript"/>
                    </w:rPr>
                    <w:t>5</w:t>
                  </w:r>
                </w:p>
              </w:tc>
              <w:tc>
                <w:tcPr>
                  <w:tcW w:w="1465" w:type="dxa"/>
                  <w:vAlign w:val="center"/>
                </w:tcPr>
                <w:p>
                  <w:pPr>
                    <w:jc w:val="center"/>
                    <w:rPr>
                      <w:rFonts w:eastAsiaTheme="minorEastAsia"/>
                      <w:color w:val="auto"/>
                      <w:szCs w:val="21"/>
                    </w:rPr>
                  </w:pPr>
                  <w:r>
                    <w:rPr>
                      <w:rFonts w:eastAsiaTheme="minorEastAsia"/>
                      <w:color w:val="auto"/>
                      <w:szCs w:val="21"/>
                    </w:rPr>
                    <w:t>≤6</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1.7~2.5</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氨氮</w:t>
                  </w:r>
                </w:p>
              </w:tc>
              <w:tc>
                <w:tcPr>
                  <w:tcW w:w="1465" w:type="dxa"/>
                  <w:vAlign w:val="center"/>
                </w:tcPr>
                <w:p>
                  <w:pPr>
                    <w:jc w:val="center"/>
                    <w:rPr>
                      <w:rFonts w:eastAsiaTheme="minorEastAsia"/>
                      <w:color w:val="auto"/>
                      <w:szCs w:val="21"/>
                    </w:rPr>
                  </w:pPr>
                  <w:r>
                    <w:rPr>
                      <w:rFonts w:eastAsiaTheme="minorEastAsia"/>
                      <w:color w:val="auto"/>
                      <w:szCs w:val="21"/>
                    </w:rPr>
                    <w:t>≤1.5</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0.047~0.065</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总磷</w:t>
                  </w:r>
                </w:p>
              </w:tc>
              <w:tc>
                <w:tcPr>
                  <w:tcW w:w="1465" w:type="dxa"/>
                  <w:vAlign w:val="center"/>
                </w:tcPr>
                <w:p>
                  <w:pPr>
                    <w:jc w:val="center"/>
                    <w:rPr>
                      <w:rFonts w:eastAsiaTheme="minorEastAsia"/>
                      <w:color w:val="auto"/>
                      <w:szCs w:val="21"/>
                    </w:rPr>
                  </w:pPr>
                  <w:r>
                    <w:rPr>
                      <w:rFonts w:eastAsiaTheme="minorEastAsia"/>
                      <w:color w:val="auto"/>
                      <w:szCs w:val="21"/>
                    </w:rPr>
                    <w:t>0.1~0.3</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0.012~0.017</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总氮</w:t>
                  </w:r>
                </w:p>
              </w:tc>
              <w:tc>
                <w:tcPr>
                  <w:tcW w:w="1465" w:type="dxa"/>
                  <w:vAlign w:val="center"/>
                </w:tcPr>
                <w:p>
                  <w:pPr>
                    <w:jc w:val="center"/>
                    <w:rPr>
                      <w:rFonts w:eastAsiaTheme="minorEastAsia"/>
                      <w:color w:val="auto"/>
                      <w:szCs w:val="21"/>
                    </w:rPr>
                  </w:pPr>
                  <w:r>
                    <w:rPr>
                      <w:rFonts w:eastAsiaTheme="minorEastAsia"/>
                      <w:color w:val="auto"/>
                      <w:szCs w:val="21"/>
                    </w:rPr>
                    <w:t>≤1.5</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0.55~1.04</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铜</w:t>
                  </w:r>
                </w:p>
              </w:tc>
              <w:tc>
                <w:tcPr>
                  <w:tcW w:w="1465" w:type="dxa"/>
                  <w:vAlign w:val="center"/>
                </w:tcPr>
                <w:p>
                  <w:pPr>
                    <w:jc w:val="center"/>
                    <w:rPr>
                      <w:rFonts w:eastAsiaTheme="minorEastAsia"/>
                      <w:color w:val="auto"/>
                      <w:szCs w:val="21"/>
                    </w:rPr>
                  </w:pPr>
                  <w:r>
                    <w:rPr>
                      <w:rFonts w:eastAsiaTheme="minorEastAsia"/>
                      <w:color w:val="auto"/>
                      <w:szCs w:val="21"/>
                    </w:rPr>
                    <w:t>≤1.0</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0.001L</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锌</w:t>
                  </w:r>
                </w:p>
              </w:tc>
              <w:tc>
                <w:tcPr>
                  <w:tcW w:w="1465" w:type="dxa"/>
                  <w:vAlign w:val="center"/>
                </w:tcPr>
                <w:p>
                  <w:pPr>
                    <w:jc w:val="center"/>
                    <w:rPr>
                      <w:rFonts w:eastAsiaTheme="minorEastAsia"/>
                      <w:color w:val="auto"/>
                      <w:szCs w:val="21"/>
                    </w:rPr>
                  </w:pPr>
                  <w:r>
                    <w:rPr>
                      <w:rFonts w:eastAsiaTheme="minorEastAsia"/>
                      <w:color w:val="auto"/>
                      <w:szCs w:val="21"/>
                    </w:rPr>
                    <w:t>≤2.0</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0.05L</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砷</w:t>
                  </w:r>
                </w:p>
              </w:tc>
              <w:tc>
                <w:tcPr>
                  <w:tcW w:w="1465" w:type="dxa"/>
                  <w:vAlign w:val="center"/>
                </w:tcPr>
                <w:p>
                  <w:pPr>
                    <w:jc w:val="center"/>
                    <w:rPr>
                      <w:rFonts w:eastAsiaTheme="minorEastAsia"/>
                      <w:color w:val="auto"/>
                      <w:szCs w:val="21"/>
                    </w:rPr>
                  </w:pPr>
                  <w:r>
                    <w:rPr>
                      <w:rFonts w:eastAsiaTheme="minorEastAsia"/>
                      <w:color w:val="auto"/>
                      <w:szCs w:val="21"/>
                    </w:rPr>
                    <w:t>≤0.1</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1.2</w:t>
                  </w:r>
                  <w:r>
                    <w:rPr>
                      <w:rFonts w:eastAsiaTheme="minorEastAsia"/>
                      <w:color w:val="auto"/>
                      <w:kern w:val="0"/>
                      <w:sz w:val="24"/>
                    </w:rPr>
                    <w:t>×</w:t>
                  </w:r>
                  <w:r>
                    <w:rPr>
                      <w:rFonts w:eastAsiaTheme="minorEastAsia"/>
                      <w:color w:val="auto"/>
                      <w:szCs w:val="21"/>
                    </w:rPr>
                    <w:t>10</w:t>
                  </w:r>
                  <w:r>
                    <w:rPr>
                      <w:rFonts w:eastAsiaTheme="minorEastAsia"/>
                      <w:color w:val="auto"/>
                      <w:szCs w:val="21"/>
                      <w:vertAlign w:val="superscript"/>
                    </w:rPr>
                    <w:t>-4</w:t>
                  </w:r>
                  <w:r>
                    <w:rPr>
                      <w:rFonts w:eastAsiaTheme="minorEastAsia"/>
                      <w:color w:val="auto"/>
                      <w:szCs w:val="21"/>
                    </w:rPr>
                    <w:t>L</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汞</w:t>
                  </w:r>
                </w:p>
              </w:tc>
              <w:tc>
                <w:tcPr>
                  <w:tcW w:w="1465" w:type="dxa"/>
                  <w:vAlign w:val="center"/>
                </w:tcPr>
                <w:p>
                  <w:pPr>
                    <w:jc w:val="center"/>
                    <w:rPr>
                      <w:rFonts w:eastAsiaTheme="minorEastAsia"/>
                      <w:color w:val="auto"/>
                      <w:szCs w:val="21"/>
                    </w:rPr>
                  </w:pPr>
                  <w:r>
                    <w:rPr>
                      <w:rFonts w:eastAsiaTheme="minorEastAsia"/>
                      <w:color w:val="auto"/>
                      <w:szCs w:val="21"/>
                    </w:rPr>
                    <w:t>≤0.001</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4</w:t>
                  </w:r>
                  <w:r>
                    <w:rPr>
                      <w:rFonts w:eastAsiaTheme="minorEastAsia"/>
                      <w:color w:val="auto"/>
                      <w:kern w:val="0"/>
                      <w:sz w:val="24"/>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镉</w:t>
                  </w:r>
                </w:p>
              </w:tc>
              <w:tc>
                <w:tcPr>
                  <w:tcW w:w="1465" w:type="dxa"/>
                  <w:vAlign w:val="center"/>
                </w:tcPr>
                <w:p>
                  <w:pPr>
                    <w:jc w:val="center"/>
                    <w:rPr>
                      <w:rFonts w:eastAsiaTheme="minorEastAsia"/>
                      <w:color w:val="auto"/>
                      <w:szCs w:val="21"/>
                    </w:rPr>
                  </w:pPr>
                  <w:r>
                    <w:rPr>
                      <w:rFonts w:eastAsiaTheme="minorEastAsia"/>
                      <w:color w:val="auto"/>
                      <w:szCs w:val="21"/>
                    </w:rPr>
                    <w:t>≤0.005</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5</w:t>
                  </w:r>
                  <w:r>
                    <w:rPr>
                      <w:rFonts w:eastAsiaTheme="minorEastAsia"/>
                      <w:color w:val="auto"/>
                      <w:kern w:val="0"/>
                      <w:sz w:val="24"/>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铅</w:t>
                  </w:r>
                </w:p>
              </w:tc>
              <w:tc>
                <w:tcPr>
                  <w:tcW w:w="1465" w:type="dxa"/>
                  <w:vAlign w:val="center"/>
                </w:tcPr>
                <w:p>
                  <w:pPr>
                    <w:jc w:val="center"/>
                    <w:rPr>
                      <w:rFonts w:eastAsiaTheme="minorEastAsia"/>
                      <w:color w:val="auto"/>
                      <w:szCs w:val="21"/>
                    </w:rPr>
                  </w:pPr>
                  <w:r>
                    <w:rPr>
                      <w:rFonts w:eastAsiaTheme="minorEastAsia"/>
                      <w:color w:val="auto"/>
                      <w:szCs w:val="21"/>
                    </w:rPr>
                    <w:t>≤0.05</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9</w:t>
                  </w:r>
                  <w:r>
                    <w:rPr>
                      <w:rFonts w:eastAsiaTheme="minorEastAsia"/>
                      <w:color w:val="auto"/>
                      <w:kern w:val="0"/>
                      <w:sz w:val="24"/>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氰化物</w:t>
                  </w:r>
                </w:p>
              </w:tc>
              <w:tc>
                <w:tcPr>
                  <w:tcW w:w="1465" w:type="dxa"/>
                  <w:vAlign w:val="center"/>
                </w:tcPr>
                <w:p>
                  <w:pPr>
                    <w:jc w:val="center"/>
                    <w:rPr>
                      <w:rFonts w:eastAsiaTheme="minorEastAsia"/>
                      <w:color w:val="auto"/>
                      <w:szCs w:val="21"/>
                    </w:rPr>
                  </w:pPr>
                  <w:r>
                    <w:rPr>
                      <w:rFonts w:eastAsiaTheme="minorEastAsia"/>
                      <w:color w:val="auto"/>
                      <w:szCs w:val="21"/>
                    </w:rPr>
                    <w:t>≤0.2</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0.004L</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挥发酚</w:t>
                  </w:r>
                </w:p>
              </w:tc>
              <w:tc>
                <w:tcPr>
                  <w:tcW w:w="1465" w:type="dxa"/>
                  <w:vAlign w:val="center"/>
                </w:tcPr>
                <w:p>
                  <w:pPr>
                    <w:jc w:val="center"/>
                    <w:rPr>
                      <w:rFonts w:eastAsiaTheme="minorEastAsia"/>
                      <w:color w:val="auto"/>
                      <w:szCs w:val="21"/>
                    </w:rPr>
                  </w:pPr>
                  <w:r>
                    <w:rPr>
                      <w:rFonts w:eastAsiaTheme="minorEastAsia"/>
                      <w:color w:val="auto"/>
                      <w:szCs w:val="21"/>
                    </w:rPr>
                    <w:t>≤0.01</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0.0003L</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石油类</w:t>
                  </w:r>
                </w:p>
              </w:tc>
              <w:tc>
                <w:tcPr>
                  <w:tcW w:w="1465" w:type="dxa"/>
                  <w:vAlign w:val="center"/>
                </w:tcPr>
                <w:p>
                  <w:pPr>
                    <w:jc w:val="center"/>
                    <w:rPr>
                      <w:rFonts w:eastAsiaTheme="minorEastAsia"/>
                      <w:color w:val="auto"/>
                      <w:szCs w:val="21"/>
                    </w:rPr>
                  </w:pPr>
                  <w:r>
                    <w:rPr>
                      <w:rFonts w:eastAsiaTheme="minorEastAsia"/>
                      <w:color w:val="auto"/>
                      <w:szCs w:val="21"/>
                    </w:rPr>
                    <w:t>≤0.5</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0.01L</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粪大肠菌群（个/L）</w:t>
                  </w:r>
                </w:p>
              </w:tc>
              <w:tc>
                <w:tcPr>
                  <w:tcW w:w="1465" w:type="dxa"/>
                  <w:vAlign w:val="center"/>
                </w:tcPr>
                <w:p>
                  <w:pPr>
                    <w:jc w:val="center"/>
                    <w:rPr>
                      <w:rFonts w:eastAsiaTheme="minorEastAsia"/>
                      <w:color w:val="auto"/>
                      <w:szCs w:val="21"/>
                    </w:rPr>
                  </w:pPr>
                  <w:r>
                    <w:rPr>
                      <w:rFonts w:eastAsiaTheme="minorEastAsia"/>
                      <w:color w:val="auto"/>
                      <w:szCs w:val="21"/>
                    </w:rPr>
                    <w:t>≤20000</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50~80</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71" w:hRule="atLeast"/>
              </w:trPr>
              <w:tc>
                <w:tcPr>
                  <w:tcW w:w="877" w:type="dxa"/>
                  <w:vMerge w:val="restart"/>
                  <w:vAlign w:val="center"/>
                </w:tcPr>
                <w:p>
                  <w:pPr>
                    <w:adjustRightInd w:val="0"/>
                    <w:snapToGrid w:val="0"/>
                    <w:jc w:val="center"/>
                    <w:rPr>
                      <w:rFonts w:eastAsiaTheme="minorEastAsia"/>
                      <w:color w:val="auto"/>
                      <w:szCs w:val="21"/>
                    </w:rPr>
                  </w:pPr>
                  <w:r>
                    <w:rPr>
                      <w:rFonts w:eastAsiaTheme="minorEastAsia"/>
                      <w:color w:val="auto"/>
                      <w:szCs w:val="21"/>
                    </w:rPr>
                    <w:t>2#断面</w:t>
                  </w: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pH</w:t>
                  </w:r>
                </w:p>
              </w:tc>
              <w:tc>
                <w:tcPr>
                  <w:tcW w:w="1465" w:type="dxa"/>
                  <w:vAlign w:val="center"/>
                </w:tcPr>
                <w:p>
                  <w:pPr>
                    <w:jc w:val="center"/>
                    <w:rPr>
                      <w:rFonts w:eastAsiaTheme="minorEastAsia"/>
                      <w:color w:val="auto"/>
                      <w:szCs w:val="21"/>
                    </w:rPr>
                  </w:pPr>
                  <w:r>
                    <w:rPr>
                      <w:rFonts w:eastAsiaTheme="minorEastAsia"/>
                      <w:color w:val="auto"/>
                      <w:szCs w:val="21"/>
                    </w:rPr>
                    <w:t>6~9</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8.03~8.29</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溶解氧</w:t>
                  </w:r>
                </w:p>
              </w:tc>
              <w:tc>
                <w:tcPr>
                  <w:tcW w:w="1465" w:type="dxa"/>
                  <w:vAlign w:val="center"/>
                </w:tcPr>
                <w:p>
                  <w:pPr>
                    <w:jc w:val="center"/>
                    <w:rPr>
                      <w:rFonts w:eastAsiaTheme="minorEastAsia"/>
                      <w:color w:val="auto"/>
                      <w:szCs w:val="21"/>
                    </w:rPr>
                  </w:pPr>
                  <w:r>
                    <w:rPr>
                      <w:rFonts w:eastAsiaTheme="minorEastAsia"/>
                      <w:color w:val="auto"/>
                      <w:szCs w:val="21"/>
                    </w:rPr>
                    <w:t>≥3</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7.34~8.4</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高锰酸盐指数</w:t>
                  </w:r>
                </w:p>
              </w:tc>
              <w:tc>
                <w:tcPr>
                  <w:tcW w:w="1465" w:type="dxa"/>
                  <w:vAlign w:val="center"/>
                </w:tcPr>
                <w:p>
                  <w:pPr>
                    <w:jc w:val="center"/>
                    <w:rPr>
                      <w:rFonts w:eastAsiaTheme="minorEastAsia"/>
                      <w:color w:val="auto"/>
                      <w:szCs w:val="21"/>
                    </w:rPr>
                  </w:pPr>
                  <w:r>
                    <w:rPr>
                      <w:rFonts w:eastAsiaTheme="minorEastAsia"/>
                      <w:color w:val="auto"/>
                      <w:szCs w:val="21"/>
                    </w:rPr>
                    <w:t>≤10</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1.02~1.66</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COD</w:t>
                  </w:r>
                </w:p>
              </w:tc>
              <w:tc>
                <w:tcPr>
                  <w:tcW w:w="1465" w:type="dxa"/>
                  <w:vAlign w:val="center"/>
                </w:tcPr>
                <w:p>
                  <w:pPr>
                    <w:jc w:val="center"/>
                    <w:rPr>
                      <w:rFonts w:eastAsiaTheme="minorEastAsia"/>
                      <w:color w:val="auto"/>
                      <w:szCs w:val="21"/>
                    </w:rPr>
                  </w:pPr>
                  <w:r>
                    <w:rPr>
                      <w:rFonts w:eastAsiaTheme="minorEastAsia"/>
                      <w:color w:val="auto"/>
                      <w:szCs w:val="21"/>
                    </w:rPr>
                    <w:t>≤30</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6~13</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BOD</w:t>
                  </w:r>
                  <w:r>
                    <w:rPr>
                      <w:rFonts w:eastAsiaTheme="minorEastAsia"/>
                      <w:color w:val="auto"/>
                      <w:szCs w:val="21"/>
                      <w:vertAlign w:val="subscript"/>
                    </w:rPr>
                    <w:t>5</w:t>
                  </w:r>
                </w:p>
              </w:tc>
              <w:tc>
                <w:tcPr>
                  <w:tcW w:w="1465" w:type="dxa"/>
                  <w:vAlign w:val="center"/>
                </w:tcPr>
                <w:p>
                  <w:pPr>
                    <w:jc w:val="center"/>
                    <w:rPr>
                      <w:rFonts w:eastAsiaTheme="minorEastAsia"/>
                      <w:color w:val="auto"/>
                      <w:szCs w:val="21"/>
                    </w:rPr>
                  </w:pPr>
                  <w:r>
                    <w:rPr>
                      <w:rFonts w:eastAsiaTheme="minorEastAsia"/>
                      <w:color w:val="auto"/>
                      <w:szCs w:val="21"/>
                    </w:rPr>
                    <w:t>≤6</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1.7~3.8</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氨氮</w:t>
                  </w:r>
                </w:p>
              </w:tc>
              <w:tc>
                <w:tcPr>
                  <w:tcW w:w="1465" w:type="dxa"/>
                  <w:vAlign w:val="center"/>
                </w:tcPr>
                <w:p>
                  <w:pPr>
                    <w:jc w:val="center"/>
                    <w:rPr>
                      <w:rFonts w:eastAsiaTheme="minorEastAsia"/>
                      <w:color w:val="auto"/>
                      <w:szCs w:val="21"/>
                    </w:rPr>
                  </w:pPr>
                  <w:r>
                    <w:rPr>
                      <w:rFonts w:eastAsiaTheme="minorEastAsia"/>
                      <w:color w:val="auto"/>
                      <w:szCs w:val="21"/>
                    </w:rPr>
                    <w:t>≤1.5</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0.096~0.158</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总磷</w:t>
                  </w:r>
                </w:p>
              </w:tc>
              <w:tc>
                <w:tcPr>
                  <w:tcW w:w="1465" w:type="dxa"/>
                  <w:vAlign w:val="center"/>
                </w:tcPr>
                <w:p>
                  <w:pPr>
                    <w:jc w:val="center"/>
                    <w:rPr>
                      <w:rFonts w:eastAsiaTheme="minorEastAsia"/>
                      <w:color w:val="auto"/>
                      <w:szCs w:val="21"/>
                    </w:rPr>
                  </w:pPr>
                  <w:r>
                    <w:rPr>
                      <w:rFonts w:eastAsiaTheme="minorEastAsia"/>
                      <w:color w:val="auto"/>
                      <w:szCs w:val="21"/>
                    </w:rPr>
                    <w:t>0.1~0.3</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0.013~0.026</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总氮</w:t>
                  </w:r>
                </w:p>
              </w:tc>
              <w:tc>
                <w:tcPr>
                  <w:tcW w:w="1465" w:type="dxa"/>
                  <w:vAlign w:val="center"/>
                </w:tcPr>
                <w:p>
                  <w:pPr>
                    <w:jc w:val="center"/>
                    <w:rPr>
                      <w:rFonts w:eastAsiaTheme="minorEastAsia"/>
                      <w:color w:val="auto"/>
                      <w:szCs w:val="21"/>
                    </w:rPr>
                  </w:pPr>
                  <w:r>
                    <w:rPr>
                      <w:rFonts w:eastAsiaTheme="minorEastAsia"/>
                      <w:color w:val="auto"/>
                      <w:szCs w:val="21"/>
                    </w:rPr>
                    <w:t>≤1.5</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1.09~1.3</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铜</w:t>
                  </w:r>
                </w:p>
              </w:tc>
              <w:tc>
                <w:tcPr>
                  <w:tcW w:w="1465" w:type="dxa"/>
                  <w:vAlign w:val="center"/>
                </w:tcPr>
                <w:p>
                  <w:pPr>
                    <w:jc w:val="center"/>
                    <w:rPr>
                      <w:rFonts w:eastAsiaTheme="minorEastAsia"/>
                      <w:color w:val="auto"/>
                      <w:szCs w:val="21"/>
                    </w:rPr>
                  </w:pPr>
                  <w:r>
                    <w:rPr>
                      <w:rFonts w:eastAsiaTheme="minorEastAsia"/>
                      <w:color w:val="auto"/>
                      <w:szCs w:val="21"/>
                    </w:rPr>
                    <w:t>≤1.0</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0.001L</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锌</w:t>
                  </w:r>
                </w:p>
              </w:tc>
              <w:tc>
                <w:tcPr>
                  <w:tcW w:w="1465" w:type="dxa"/>
                  <w:vAlign w:val="center"/>
                </w:tcPr>
                <w:p>
                  <w:pPr>
                    <w:jc w:val="center"/>
                    <w:rPr>
                      <w:rFonts w:eastAsiaTheme="minorEastAsia"/>
                      <w:color w:val="auto"/>
                      <w:szCs w:val="21"/>
                    </w:rPr>
                  </w:pPr>
                  <w:r>
                    <w:rPr>
                      <w:rFonts w:eastAsiaTheme="minorEastAsia"/>
                      <w:color w:val="auto"/>
                      <w:szCs w:val="21"/>
                    </w:rPr>
                    <w:t>≤2.0</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0.05L</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砷</w:t>
                  </w:r>
                </w:p>
              </w:tc>
              <w:tc>
                <w:tcPr>
                  <w:tcW w:w="1465" w:type="dxa"/>
                  <w:vAlign w:val="center"/>
                </w:tcPr>
                <w:p>
                  <w:pPr>
                    <w:jc w:val="center"/>
                    <w:rPr>
                      <w:rFonts w:eastAsiaTheme="minorEastAsia"/>
                      <w:color w:val="auto"/>
                      <w:szCs w:val="21"/>
                    </w:rPr>
                  </w:pPr>
                  <w:r>
                    <w:rPr>
                      <w:rFonts w:eastAsiaTheme="minorEastAsia"/>
                      <w:color w:val="auto"/>
                      <w:szCs w:val="21"/>
                    </w:rPr>
                    <w:t>≤0.1</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1.2</w:t>
                  </w:r>
                  <w:r>
                    <w:rPr>
                      <w:rFonts w:eastAsiaTheme="minorEastAsia"/>
                      <w:color w:val="auto"/>
                      <w:kern w:val="0"/>
                      <w:sz w:val="24"/>
                    </w:rPr>
                    <w:t>×</w:t>
                  </w:r>
                  <w:r>
                    <w:rPr>
                      <w:rFonts w:eastAsiaTheme="minorEastAsia"/>
                      <w:color w:val="auto"/>
                      <w:szCs w:val="21"/>
                    </w:rPr>
                    <w:t>10</w:t>
                  </w:r>
                  <w:r>
                    <w:rPr>
                      <w:rFonts w:eastAsiaTheme="minorEastAsia"/>
                      <w:color w:val="auto"/>
                      <w:szCs w:val="21"/>
                      <w:vertAlign w:val="superscript"/>
                    </w:rPr>
                    <w:t>-4</w:t>
                  </w:r>
                  <w:r>
                    <w:rPr>
                      <w:rFonts w:eastAsiaTheme="minorEastAsia"/>
                      <w:color w:val="auto"/>
                      <w:szCs w:val="21"/>
                    </w:rPr>
                    <w:t>L</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汞</w:t>
                  </w:r>
                </w:p>
              </w:tc>
              <w:tc>
                <w:tcPr>
                  <w:tcW w:w="1465" w:type="dxa"/>
                  <w:vAlign w:val="center"/>
                </w:tcPr>
                <w:p>
                  <w:pPr>
                    <w:jc w:val="center"/>
                    <w:rPr>
                      <w:rFonts w:eastAsiaTheme="minorEastAsia"/>
                      <w:color w:val="auto"/>
                      <w:szCs w:val="21"/>
                    </w:rPr>
                  </w:pPr>
                  <w:r>
                    <w:rPr>
                      <w:rFonts w:eastAsiaTheme="minorEastAsia"/>
                      <w:color w:val="auto"/>
                      <w:szCs w:val="21"/>
                    </w:rPr>
                    <w:t>≤0.001</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4</w:t>
                  </w:r>
                  <w:r>
                    <w:rPr>
                      <w:rFonts w:eastAsiaTheme="minorEastAsia"/>
                      <w:color w:val="auto"/>
                      <w:kern w:val="0"/>
                      <w:sz w:val="24"/>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镉</w:t>
                  </w:r>
                </w:p>
              </w:tc>
              <w:tc>
                <w:tcPr>
                  <w:tcW w:w="1465" w:type="dxa"/>
                  <w:vAlign w:val="center"/>
                </w:tcPr>
                <w:p>
                  <w:pPr>
                    <w:jc w:val="center"/>
                    <w:rPr>
                      <w:rFonts w:eastAsiaTheme="minorEastAsia"/>
                      <w:color w:val="auto"/>
                      <w:szCs w:val="21"/>
                    </w:rPr>
                  </w:pPr>
                  <w:r>
                    <w:rPr>
                      <w:rFonts w:eastAsiaTheme="minorEastAsia"/>
                      <w:color w:val="auto"/>
                      <w:szCs w:val="21"/>
                    </w:rPr>
                    <w:t>≤0.005</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5</w:t>
                  </w:r>
                  <w:r>
                    <w:rPr>
                      <w:rFonts w:eastAsiaTheme="minorEastAsia"/>
                      <w:color w:val="auto"/>
                      <w:kern w:val="0"/>
                      <w:sz w:val="24"/>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铅</w:t>
                  </w:r>
                </w:p>
              </w:tc>
              <w:tc>
                <w:tcPr>
                  <w:tcW w:w="1465" w:type="dxa"/>
                  <w:vAlign w:val="center"/>
                </w:tcPr>
                <w:p>
                  <w:pPr>
                    <w:jc w:val="center"/>
                    <w:rPr>
                      <w:rFonts w:eastAsiaTheme="minorEastAsia"/>
                      <w:color w:val="auto"/>
                      <w:szCs w:val="21"/>
                    </w:rPr>
                  </w:pPr>
                  <w:r>
                    <w:rPr>
                      <w:rFonts w:eastAsiaTheme="minorEastAsia"/>
                      <w:color w:val="auto"/>
                      <w:szCs w:val="21"/>
                    </w:rPr>
                    <w:t>≤0.05</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9</w:t>
                  </w:r>
                  <w:r>
                    <w:rPr>
                      <w:rFonts w:eastAsiaTheme="minorEastAsia"/>
                      <w:color w:val="auto"/>
                      <w:kern w:val="0"/>
                      <w:sz w:val="24"/>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氰化物</w:t>
                  </w:r>
                </w:p>
              </w:tc>
              <w:tc>
                <w:tcPr>
                  <w:tcW w:w="1465" w:type="dxa"/>
                  <w:vAlign w:val="center"/>
                </w:tcPr>
                <w:p>
                  <w:pPr>
                    <w:jc w:val="center"/>
                    <w:rPr>
                      <w:rFonts w:eastAsiaTheme="minorEastAsia"/>
                      <w:color w:val="auto"/>
                      <w:szCs w:val="21"/>
                    </w:rPr>
                  </w:pPr>
                  <w:r>
                    <w:rPr>
                      <w:rFonts w:eastAsiaTheme="minorEastAsia"/>
                      <w:color w:val="auto"/>
                      <w:szCs w:val="21"/>
                    </w:rPr>
                    <w:t>≤0.2</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0.004L</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挥发酚</w:t>
                  </w:r>
                </w:p>
              </w:tc>
              <w:tc>
                <w:tcPr>
                  <w:tcW w:w="1465" w:type="dxa"/>
                  <w:vAlign w:val="center"/>
                </w:tcPr>
                <w:p>
                  <w:pPr>
                    <w:jc w:val="center"/>
                    <w:rPr>
                      <w:rFonts w:eastAsiaTheme="minorEastAsia"/>
                      <w:color w:val="auto"/>
                      <w:szCs w:val="21"/>
                    </w:rPr>
                  </w:pPr>
                  <w:r>
                    <w:rPr>
                      <w:rFonts w:eastAsiaTheme="minorEastAsia"/>
                      <w:color w:val="auto"/>
                      <w:szCs w:val="21"/>
                    </w:rPr>
                    <w:t>≤0.01</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0.0003L</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石油类</w:t>
                  </w:r>
                </w:p>
              </w:tc>
              <w:tc>
                <w:tcPr>
                  <w:tcW w:w="1465" w:type="dxa"/>
                  <w:vAlign w:val="center"/>
                </w:tcPr>
                <w:p>
                  <w:pPr>
                    <w:jc w:val="center"/>
                    <w:rPr>
                      <w:rFonts w:eastAsiaTheme="minorEastAsia"/>
                      <w:color w:val="auto"/>
                      <w:szCs w:val="21"/>
                    </w:rPr>
                  </w:pPr>
                  <w:r>
                    <w:rPr>
                      <w:rFonts w:eastAsiaTheme="minorEastAsia"/>
                      <w:color w:val="auto"/>
                      <w:szCs w:val="21"/>
                    </w:rPr>
                    <w:t>≤0.5</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0.01L</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44" w:hRule="atLeast"/>
              </w:trPr>
              <w:tc>
                <w:tcPr>
                  <w:tcW w:w="877" w:type="dxa"/>
                  <w:vMerge w:val="continue"/>
                  <w:vAlign w:val="center"/>
                </w:tcPr>
                <w:p>
                  <w:pPr>
                    <w:adjustRightInd w:val="0"/>
                    <w:snapToGrid w:val="0"/>
                    <w:jc w:val="center"/>
                    <w:rPr>
                      <w:rFonts w:eastAsiaTheme="minorEastAsia"/>
                      <w:color w:val="auto"/>
                      <w:szCs w:val="21"/>
                    </w:rPr>
                  </w:pPr>
                </w:p>
              </w:tc>
              <w:tc>
                <w:tcPr>
                  <w:tcW w:w="2577" w:type="dxa"/>
                  <w:vAlign w:val="center"/>
                </w:tcPr>
                <w:p>
                  <w:pPr>
                    <w:adjustRightInd w:val="0"/>
                    <w:snapToGrid w:val="0"/>
                    <w:jc w:val="center"/>
                    <w:rPr>
                      <w:rFonts w:eastAsiaTheme="minorEastAsia"/>
                      <w:color w:val="auto"/>
                      <w:szCs w:val="21"/>
                    </w:rPr>
                  </w:pPr>
                  <w:r>
                    <w:rPr>
                      <w:rFonts w:eastAsiaTheme="minorEastAsia"/>
                      <w:color w:val="auto"/>
                      <w:szCs w:val="21"/>
                    </w:rPr>
                    <w:t>粪大肠菌群（个/L）</w:t>
                  </w:r>
                </w:p>
              </w:tc>
              <w:tc>
                <w:tcPr>
                  <w:tcW w:w="1465" w:type="dxa"/>
                  <w:vAlign w:val="center"/>
                </w:tcPr>
                <w:p>
                  <w:pPr>
                    <w:jc w:val="center"/>
                    <w:rPr>
                      <w:rFonts w:eastAsiaTheme="minorEastAsia"/>
                      <w:color w:val="auto"/>
                      <w:szCs w:val="21"/>
                    </w:rPr>
                  </w:pPr>
                  <w:r>
                    <w:rPr>
                      <w:rFonts w:eastAsiaTheme="minorEastAsia"/>
                      <w:color w:val="auto"/>
                      <w:szCs w:val="21"/>
                    </w:rPr>
                    <w:t>≤20000</w:t>
                  </w:r>
                </w:p>
              </w:tc>
              <w:tc>
                <w:tcPr>
                  <w:tcW w:w="1546" w:type="dxa"/>
                  <w:tcBorders>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80</w:t>
                  </w:r>
                </w:p>
              </w:tc>
              <w:tc>
                <w:tcPr>
                  <w:tcW w:w="114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0</w:t>
                  </w:r>
                </w:p>
              </w:tc>
            </w:tr>
          </w:tbl>
          <w:p>
            <w:pPr>
              <w:spacing w:line="360" w:lineRule="auto"/>
              <w:ind w:firstLine="480" w:firstLineChars="200"/>
              <w:rPr>
                <w:rFonts w:eastAsiaTheme="minorEastAsia"/>
                <w:color w:val="auto"/>
                <w:sz w:val="24"/>
              </w:rPr>
            </w:pPr>
            <w:r>
              <w:rPr>
                <w:rFonts w:eastAsiaTheme="minorEastAsia"/>
                <w:color w:val="auto"/>
                <w:sz w:val="24"/>
              </w:rPr>
              <w:t>由表25监测结果可知，项目区柏树底河水质能未发现超标情况，均达到《地表水环境质量标准》（GB3838-2002）中</w:t>
            </w:r>
            <w:r>
              <w:rPr>
                <w:rFonts w:hint="eastAsia" w:ascii="宋体" w:hAnsi="宋体" w:cs="宋体"/>
                <w:color w:val="auto"/>
                <w:sz w:val="24"/>
              </w:rPr>
              <w:t>Ⅳ</w:t>
            </w:r>
            <w:r>
              <w:rPr>
                <w:rFonts w:eastAsiaTheme="minorEastAsia"/>
                <w:color w:val="auto"/>
                <w:sz w:val="24"/>
              </w:rPr>
              <w:t>类标准要求，地表水环境现状良好。</w:t>
            </w:r>
          </w:p>
          <w:p>
            <w:pPr>
              <w:spacing w:line="360" w:lineRule="auto"/>
              <w:ind w:firstLine="480" w:firstLineChars="200"/>
              <w:rPr>
                <w:rFonts w:eastAsiaTheme="minorEastAsia"/>
                <w:color w:val="auto"/>
                <w:sz w:val="24"/>
              </w:rPr>
            </w:pPr>
            <w:r>
              <w:rPr>
                <w:rFonts w:hint="eastAsia" w:ascii="宋体" w:hAnsi="宋体" w:cs="宋体"/>
                <w:color w:val="auto"/>
                <w:sz w:val="24"/>
              </w:rPr>
              <w:t>⑺</w:t>
            </w:r>
            <w:r>
              <w:rPr>
                <w:rFonts w:eastAsiaTheme="minorEastAsia"/>
                <w:color w:val="auto"/>
                <w:sz w:val="24"/>
              </w:rPr>
              <w:t>水环境质量回顾评价</w:t>
            </w:r>
          </w:p>
          <w:p>
            <w:pPr>
              <w:spacing w:line="360" w:lineRule="auto"/>
              <w:ind w:firstLine="480" w:firstLineChars="200"/>
              <w:rPr>
                <w:rFonts w:eastAsiaTheme="minorEastAsia"/>
                <w:color w:val="auto"/>
                <w:sz w:val="24"/>
              </w:rPr>
            </w:pPr>
            <w:r>
              <w:rPr>
                <w:rFonts w:eastAsiaTheme="minorEastAsia"/>
                <w:color w:val="auto"/>
                <w:sz w:val="24"/>
              </w:rPr>
              <w:t>依据《2017年甘肃省环境质量公报》数据和结论，12个县级及以上集中式饮用水源地水质达到国家水源地水质标准，75个乡（镇）水源地水质达标率为88%。河流水质稳定改善，蒲河水质良好，监测结果达到地表水III类标准，马莲河水质较去年有所改善，出境断面水质达到</w:t>
            </w:r>
            <w:r>
              <w:rPr>
                <w:rFonts w:hint="eastAsia" w:ascii="宋体" w:hAnsi="宋体" w:cs="宋体"/>
                <w:color w:val="auto"/>
                <w:sz w:val="24"/>
              </w:rPr>
              <w:t>Ⅳ</w:t>
            </w:r>
            <w:r>
              <w:rPr>
                <w:rFonts w:eastAsiaTheme="minorEastAsia"/>
                <w:color w:val="auto"/>
                <w:sz w:val="24"/>
              </w:rPr>
              <w:t>类标准。</w:t>
            </w:r>
          </w:p>
          <w:p>
            <w:pPr>
              <w:adjustRightInd w:val="0"/>
              <w:snapToGrid w:val="0"/>
              <w:spacing w:line="360" w:lineRule="auto"/>
              <w:ind w:firstLine="354" w:firstLineChars="147"/>
              <w:rPr>
                <w:rFonts w:eastAsiaTheme="minorEastAsia"/>
                <w:b/>
                <w:color w:val="auto"/>
                <w:sz w:val="24"/>
              </w:rPr>
            </w:pPr>
            <w:r>
              <w:rPr>
                <w:rFonts w:eastAsiaTheme="minorEastAsia"/>
                <w:b/>
                <w:color w:val="auto"/>
                <w:sz w:val="24"/>
              </w:rPr>
              <w:t>3、地下水质量现状</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为了解本项目所处地区地下水环境质量现状，宁县金村乡人民政府委托兰州易通环境监测有限公司于2019年2月20日至2019年2月21日对项目所在地地下水环境质量现状进行监测。</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⑴</w:t>
            </w:r>
            <w:r>
              <w:rPr>
                <w:rFonts w:eastAsiaTheme="minorEastAsia"/>
                <w:color w:val="auto"/>
                <w:sz w:val="24"/>
              </w:rPr>
              <w:t>监测点位布设</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本次地下水监测设3个地下水监测井点。具体位置见表29及图12。</w:t>
            </w:r>
          </w:p>
          <w:p>
            <w:pPr>
              <w:adjustRightInd w:val="0"/>
              <w:snapToGrid w:val="0"/>
              <w:spacing w:line="360" w:lineRule="auto"/>
              <w:ind w:firstLine="482" w:firstLineChars="200"/>
              <w:jc w:val="center"/>
              <w:rPr>
                <w:rFonts w:eastAsiaTheme="minorEastAsia"/>
                <w:b/>
                <w:color w:val="auto"/>
                <w:sz w:val="24"/>
              </w:rPr>
            </w:pPr>
            <w:r>
              <w:rPr>
                <w:rFonts w:eastAsiaTheme="minorEastAsia"/>
                <w:b/>
                <w:color w:val="auto"/>
                <w:sz w:val="24"/>
              </w:rPr>
              <w:t>表29地下水监测点位与本项目的位置关系</w:t>
            </w:r>
          </w:p>
          <w:tbl>
            <w:tblPr>
              <w:tblStyle w:val="38"/>
              <w:tblW w:w="8683"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10"/>
              <w:gridCol w:w="2421"/>
              <w:gridCol w:w="2989"/>
              <w:gridCol w:w="2063"/>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1210" w:type="dxa"/>
                  <w:vAlign w:val="center"/>
                </w:tcPr>
                <w:p>
                  <w:pPr>
                    <w:adjustRightInd w:val="0"/>
                    <w:snapToGrid w:val="0"/>
                    <w:jc w:val="center"/>
                    <w:rPr>
                      <w:rFonts w:eastAsiaTheme="minorEastAsia"/>
                      <w:color w:val="auto"/>
                      <w:szCs w:val="21"/>
                    </w:rPr>
                  </w:pPr>
                  <w:r>
                    <w:rPr>
                      <w:rFonts w:eastAsiaTheme="minorEastAsia"/>
                      <w:color w:val="auto"/>
                      <w:szCs w:val="21"/>
                    </w:rPr>
                    <w:t>序号</w:t>
                  </w:r>
                </w:p>
              </w:tc>
              <w:tc>
                <w:tcPr>
                  <w:tcW w:w="2421" w:type="dxa"/>
                  <w:vAlign w:val="center"/>
                </w:tcPr>
                <w:p>
                  <w:pPr>
                    <w:adjustRightInd w:val="0"/>
                    <w:snapToGrid w:val="0"/>
                    <w:jc w:val="center"/>
                    <w:rPr>
                      <w:rFonts w:eastAsiaTheme="minorEastAsia"/>
                      <w:color w:val="auto"/>
                      <w:szCs w:val="21"/>
                    </w:rPr>
                  </w:pPr>
                  <w:r>
                    <w:rPr>
                      <w:rFonts w:eastAsiaTheme="minorEastAsia"/>
                      <w:color w:val="auto"/>
                      <w:szCs w:val="21"/>
                    </w:rPr>
                    <w:t>监测点位</w:t>
                  </w:r>
                </w:p>
              </w:tc>
              <w:tc>
                <w:tcPr>
                  <w:tcW w:w="2989" w:type="dxa"/>
                  <w:vAlign w:val="center"/>
                </w:tcPr>
                <w:p>
                  <w:pPr>
                    <w:adjustRightInd w:val="0"/>
                    <w:snapToGrid w:val="0"/>
                    <w:jc w:val="center"/>
                    <w:rPr>
                      <w:rFonts w:eastAsiaTheme="minorEastAsia"/>
                      <w:color w:val="auto"/>
                      <w:szCs w:val="21"/>
                    </w:rPr>
                  </w:pPr>
                  <w:r>
                    <w:rPr>
                      <w:rFonts w:eastAsiaTheme="minorEastAsia"/>
                      <w:color w:val="auto"/>
                      <w:szCs w:val="21"/>
                    </w:rPr>
                    <w:t>与本项目的位置关系</w:t>
                  </w:r>
                </w:p>
              </w:tc>
              <w:tc>
                <w:tcPr>
                  <w:tcW w:w="2063" w:type="dxa"/>
                  <w:vAlign w:val="center"/>
                </w:tcPr>
                <w:p>
                  <w:pPr>
                    <w:adjustRightInd w:val="0"/>
                    <w:snapToGrid w:val="0"/>
                    <w:jc w:val="center"/>
                    <w:rPr>
                      <w:rFonts w:eastAsiaTheme="minorEastAsia"/>
                      <w:color w:val="auto"/>
                      <w:szCs w:val="21"/>
                    </w:rPr>
                  </w:pPr>
                  <w:r>
                    <w:rPr>
                      <w:rFonts w:eastAsiaTheme="minorEastAsia"/>
                      <w:color w:val="auto"/>
                      <w:szCs w:val="21"/>
                    </w:rPr>
                    <w:t>备注</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1210" w:type="dxa"/>
                  <w:vAlign w:val="center"/>
                </w:tcPr>
                <w:p>
                  <w:pPr>
                    <w:adjustRightInd w:val="0"/>
                    <w:snapToGrid w:val="0"/>
                    <w:jc w:val="center"/>
                    <w:rPr>
                      <w:rFonts w:eastAsiaTheme="minorEastAsia"/>
                      <w:color w:val="auto"/>
                      <w:szCs w:val="21"/>
                    </w:rPr>
                  </w:pPr>
                  <w:r>
                    <w:rPr>
                      <w:rFonts w:eastAsiaTheme="minorEastAsia"/>
                      <w:color w:val="auto"/>
                      <w:szCs w:val="21"/>
                    </w:rPr>
                    <w:t>1#</w:t>
                  </w:r>
                </w:p>
              </w:tc>
              <w:tc>
                <w:tcPr>
                  <w:tcW w:w="2421" w:type="dxa"/>
                  <w:vAlign w:val="center"/>
                </w:tcPr>
                <w:p>
                  <w:pPr>
                    <w:adjustRightInd w:val="0"/>
                    <w:snapToGrid w:val="0"/>
                    <w:jc w:val="center"/>
                    <w:rPr>
                      <w:rFonts w:eastAsiaTheme="minorEastAsia"/>
                      <w:color w:val="auto"/>
                      <w:szCs w:val="21"/>
                    </w:rPr>
                  </w:pPr>
                  <w:r>
                    <w:rPr>
                      <w:rFonts w:eastAsiaTheme="minorEastAsia"/>
                      <w:color w:val="auto"/>
                      <w:szCs w:val="21"/>
                    </w:rPr>
                    <w:t>金村乡</w:t>
                  </w:r>
                </w:p>
              </w:tc>
              <w:tc>
                <w:tcPr>
                  <w:tcW w:w="2989" w:type="dxa"/>
                  <w:vAlign w:val="center"/>
                </w:tcPr>
                <w:p>
                  <w:pPr>
                    <w:adjustRightInd w:val="0"/>
                    <w:snapToGrid w:val="0"/>
                    <w:jc w:val="center"/>
                    <w:rPr>
                      <w:rFonts w:eastAsiaTheme="minorEastAsia"/>
                      <w:color w:val="auto"/>
                      <w:szCs w:val="21"/>
                    </w:rPr>
                  </w:pPr>
                  <w:r>
                    <w:rPr>
                      <w:rFonts w:eastAsiaTheme="minorEastAsia"/>
                      <w:color w:val="auto"/>
                      <w:szCs w:val="21"/>
                    </w:rPr>
                    <w:t>污水处理厂厂区东北侧1300m</w:t>
                  </w:r>
                </w:p>
              </w:tc>
              <w:tc>
                <w:tcPr>
                  <w:tcW w:w="2063" w:type="dxa"/>
                  <w:vAlign w:val="center"/>
                </w:tcPr>
                <w:p>
                  <w:pPr>
                    <w:adjustRightInd w:val="0"/>
                    <w:snapToGrid w:val="0"/>
                    <w:jc w:val="center"/>
                    <w:rPr>
                      <w:rFonts w:eastAsiaTheme="minorEastAsia"/>
                      <w:color w:val="auto"/>
                      <w:szCs w:val="21"/>
                    </w:rPr>
                  </w:pPr>
                  <w:r>
                    <w:rPr>
                      <w:rFonts w:eastAsiaTheme="minorEastAsia"/>
                      <w:color w:val="auto"/>
                      <w:szCs w:val="21"/>
                    </w:rPr>
                    <w:t>地下水上游</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210" w:type="dxa"/>
                  <w:vAlign w:val="center"/>
                </w:tcPr>
                <w:p>
                  <w:pPr>
                    <w:adjustRightInd w:val="0"/>
                    <w:snapToGrid w:val="0"/>
                    <w:jc w:val="center"/>
                    <w:rPr>
                      <w:rFonts w:eastAsiaTheme="minorEastAsia"/>
                      <w:color w:val="auto"/>
                      <w:szCs w:val="21"/>
                    </w:rPr>
                  </w:pPr>
                  <w:r>
                    <w:rPr>
                      <w:rFonts w:eastAsiaTheme="minorEastAsia"/>
                      <w:color w:val="auto"/>
                      <w:szCs w:val="21"/>
                    </w:rPr>
                    <w:t>2#</w:t>
                  </w:r>
                </w:p>
              </w:tc>
              <w:tc>
                <w:tcPr>
                  <w:tcW w:w="2421" w:type="dxa"/>
                  <w:vAlign w:val="center"/>
                </w:tcPr>
                <w:p>
                  <w:pPr>
                    <w:adjustRightInd w:val="0"/>
                    <w:snapToGrid w:val="0"/>
                    <w:jc w:val="center"/>
                    <w:rPr>
                      <w:rFonts w:eastAsiaTheme="minorEastAsia"/>
                      <w:color w:val="auto"/>
                      <w:szCs w:val="21"/>
                    </w:rPr>
                  </w:pPr>
                  <w:r>
                    <w:rPr>
                      <w:rFonts w:eastAsiaTheme="minorEastAsia"/>
                      <w:snapToGrid w:val="0"/>
                      <w:color w:val="auto"/>
                      <w:kern w:val="0"/>
                      <w:szCs w:val="21"/>
                    </w:rPr>
                    <w:t>鲁家源</w:t>
                  </w:r>
                </w:p>
              </w:tc>
              <w:tc>
                <w:tcPr>
                  <w:tcW w:w="2989" w:type="dxa"/>
                  <w:vAlign w:val="center"/>
                </w:tcPr>
                <w:p>
                  <w:pPr>
                    <w:adjustRightInd w:val="0"/>
                    <w:snapToGrid w:val="0"/>
                    <w:jc w:val="center"/>
                    <w:rPr>
                      <w:rFonts w:eastAsiaTheme="minorEastAsia"/>
                      <w:color w:val="auto"/>
                      <w:szCs w:val="21"/>
                    </w:rPr>
                  </w:pPr>
                  <w:r>
                    <w:rPr>
                      <w:rFonts w:eastAsiaTheme="minorEastAsia"/>
                      <w:color w:val="auto"/>
                      <w:szCs w:val="21"/>
                    </w:rPr>
                    <w:t>西南2418m</w:t>
                  </w:r>
                </w:p>
              </w:tc>
              <w:tc>
                <w:tcPr>
                  <w:tcW w:w="2063" w:type="dxa"/>
                  <w:vAlign w:val="center"/>
                </w:tcPr>
                <w:p>
                  <w:pPr>
                    <w:adjustRightInd w:val="0"/>
                    <w:snapToGrid w:val="0"/>
                    <w:jc w:val="center"/>
                    <w:rPr>
                      <w:rFonts w:eastAsiaTheme="minorEastAsia"/>
                      <w:color w:val="auto"/>
                      <w:szCs w:val="21"/>
                    </w:rPr>
                  </w:pPr>
                  <w:r>
                    <w:rPr>
                      <w:rFonts w:eastAsiaTheme="minorEastAsia"/>
                      <w:color w:val="auto"/>
                      <w:szCs w:val="21"/>
                    </w:rPr>
                    <w:t>地下水下游</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0" w:hRule="atLeast"/>
                <w:jc w:val="center"/>
              </w:trPr>
              <w:tc>
                <w:tcPr>
                  <w:tcW w:w="1210" w:type="dxa"/>
                  <w:vAlign w:val="center"/>
                </w:tcPr>
                <w:p>
                  <w:pPr>
                    <w:adjustRightInd w:val="0"/>
                    <w:snapToGrid w:val="0"/>
                    <w:jc w:val="center"/>
                    <w:rPr>
                      <w:rFonts w:eastAsiaTheme="minorEastAsia"/>
                      <w:color w:val="auto"/>
                      <w:szCs w:val="21"/>
                    </w:rPr>
                  </w:pPr>
                  <w:r>
                    <w:rPr>
                      <w:rFonts w:eastAsiaTheme="minorEastAsia"/>
                      <w:color w:val="auto"/>
                      <w:szCs w:val="21"/>
                    </w:rPr>
                    <w:t>3#</w:t>
                  </w:r>
                </w:p>
              </w:tc>
              <w:tc>
                <w:tcPr>
                  <w:tcW w:w="2421" w:type="dxa"/>
                  <w:vAlign w:val="center"/>
                </w:tcPr>
                <w:p>
                  <w:pPr>
                    <w:adjustRightInd w:val="0"/>
                    <w:snapToGrid w:val="0"/>
                    <w:jc w:val="center"/>
                    <w:rPr>
                      <w:rFonts w:eastAsiaTheme="minorEastAsia"/>
                      <w:color w:val="auto"/>
                      <w:szCs w:val="21"/>
                    </w:rPr>
                  </w:pPr>
                  <w:r>
                    <w:rPr>
                      <w:rFonts w:eastAsiaTheme="minorEastAsia"/>
                      <w:color w:val="auto"/>
                      <w:szCs w:val="21"/>
                    </w:rPr>
                    <w:t>柏底村</w:t>
                  </w:r>
                </w:p>
              </w:tc>
              <w:tc>
                <w:tcPr>
                  <w:tcW w:w="2989" w:type="dxa"/>
                  <w:vAlign w:val="center"/>
                </w:tcPr>
                <w:p>
                  <w:pPr>
                    <w:adjustRightInd w:val="0"/>
                    <w:snapToGrid w:val="0"/>
                    <w:jc w:val="center"/>
                    <w:rPr>
                      <w:rFonts w:eastAsiaTheme="minorEastAsia"/>
                      <w:color w:val="auto"/>
                      <w:szCs w:val="21"/>
                    </w:rPr>
                  </w:pPr>
                  <w:r>
                    <w:rPr>
                      <w:rFonts w:eastAsiaTheme="minorEastAsia"/>
                      <w:color w:val="auto"/>
                      <w:szCs w:val="21"/>
                    </w:rPr>
                    <w:t>西南9.3km</w:t>
                  </w:r>
                </w:p>
              </w:tc>
              <w:tc>
                <w:tcPr>
                  <w:tcW w:w="2063" w:type="dxa"/>
                  <w:vAlign w:val="center"/>
                </w:tcPr>
                <w:p>
                  <w:pPr>
                    <w:adjustRightInd w:val="0"/>
                    <w:snapToGrid w:val="0"/>
                    <w:jc w:val="center"/>
                    <w:rPr>
                      <w:rFonts w:eastAsiaTheme="minorEastAsia"/>
                      <w:color w:val="auto"/>
                      <w:szCs w:val="21"/>
                    </w:rPr>
                  </w:pPr>
                  <w:r>
                    <w:rPr>
                      <w:rFonts w:eastAsiaTheme="minorEastAsia"/>
                      <w:color w:val="auto"/>
                      <w:szCs w:val="21"/>
                    </w:rPr>
                    <w:t>地下水下游</w:t>
                  </w:r>
                </w:p>
              </w:tc>
            </w:tr>
          </w:tbl>
          <w:p>
            <w:pPr>
              <w:adjustRightInd w:val="0"/>
              <w:snapToGrid w:val="0"/>
              <w:spacing w:line="360" w:lineRule="auto"/>
              <w:ind w:firstLine="480" w:firstLineChars="200"/>
              <w:rPr>
                <w:color w:val="auto"/>
                <w:sz w:val="24"/>
              </w:rPr>
            </w:pPr>
            <w:r>
              <w:rPr>
                <w:color w:val="auto"/>
                <w:sz w:val="24"/>
              </w:rPr>
              <w:t>根据白垩系盆地环河组水文地质略图看出整个宁县同属于一个水文地质单元，故本次地下水监测距项目所在地9.3km的3#点位监测数据有效，白垩系盆地环河组水文地质略图详见图14。</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⑵</w:t>
            </w:r>
            <w:r>
              <w:rPr>
                <w:rFonts w:eastAsiaTheme="minorEastAsia"/>
                <w:color w:val="auto"/>
                <w:sz w:val="24"/>
              </w:rPr>
              <w:t>监测项目</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pH、氨氮、硝酸盐、亚硝酸盐、挥发性酚类、氰化物、砷、汞、六价铬、总硬度、铅、镉、铁、锰、溶解性总固体、高锰酸盐指数、硫酸盐、氟化物、氯化物、总大肠菌群、菌落总数共21项；</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 3 \* GB2 </w:instrText>
            </w:r>
            <w:r>
              <w:rPr>
                <w:rFonts w:eastAsiaTheme="minorEastAsia"/>
                <w:color w:val="auto"/>
                <w:sz w:val="24"/>
              </w:rPr>
              <w:fldChar w:fldCharType="separate"/>
            </w:r>
            <w:r>
              <w:rPr>
                <w:rFonts w:hint="eastAsia" w:ascii="宋体" w:hAnsi="宋体" w:cs="宋体"/>
                <w:color w:val="auto"/>
                <w:sz w:val="24"/>
              </w:rPr>
              <w:t>⑶</w:t>
            </w:r>
            <w:r>
              <w:rPr>
                <w:rFonts w:eastAsiaTheme="minorEastAsia"/>
                <w:color w:val="auto"/>
                <w:sz w:val="24"/>
              </w:rPr>
              <w:fldChar w:fldCharType="end"/>
            </w:r>
            <w:r>
              <w:rPr>
                <w:rFonts w:eastAsiaTheme="minorEastAsia"/>
                <w:color w:val="auto"/>
                <w:sz w:val="24"/>
              </w:rPr>
              <w:t>监测时间和频率</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2019年2月20日至2月21日连续监测两天，每天采样一次。</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⑷</w:t>
            </w:r>
            <w:r>
              <w:rPr>
                <w:rFonts w:eastAsiaTheme="minorEastAsia"/>
                <w:color w:val="auto"/>
                <w:sz w:val="24"/>
              </w:rPr>
              <w:t>采样分析方法</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地下水采样严格按照现行《地下水环境监测技术规范》（HJ/T164-2004）中地下水取样方法进行。</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⑸</w:t>
            </w:r>
            <w:r>
              <w:rPr>
                <w:rFonts w:eastAsiaTheme="minorEastAsia"/>
                <w:color w:val="auto"/>
                <w:sz w:val="24"/>
              </w:rPr>
              <w:t>地下水监测统计结果</w:t>
            </w:r>
          </w:p>
          <w:p>
            <w:pPr>
              <w:adjustRightInd w:val="0"/>
              <w:snapToGrid w:val="0"/>
              <w:spacing w:line="360" w:lineRule="auto"/>
              <w:ind w:firstLine="480" w:firstLineChars="200"/>
              <w:jc w:val="left"/>
              <w:rPr>
                <w:rFonts w:eastAsiaTheme="minorEastAsia"/>
                <w:color w:val="auto"/>
                <w:sz w:val="24"/>
              </w:rPr>
            </w:pPr>
            <w:r>
              <w:rPr>
                <w:rFonts w:eastAsiaTheme="minorEastAsia"/>
                <w:color w:val="auto"/>
                <w:sz w:val="24"/>
              </w:rPr>
              <w:t>地下水监测结果分析详见表30。</w:t>
            </w:r>
          </w:p>
          <w:p>
            <w:pPr>
              <w:adjustRightInd w:val="0"/>
              <w:snapToGrid w:val="0"/>
              <w:spacing w:line="360" w:lineRule="auto"/>
              <w:jc w:val="center"/>
              <w:rPr>
                <w:rFonts w:eastAsiaTheme="minorEastAsia"/>
                <w:b/>
                <w:color w:val="auto"/>
              </w:rPr>
            </w:pPr>
            <w:r>
              <w:rPr>
                <w:rFonts w:eastAsiaTheme="minorEastAsia"/>
                <w:b/>
                <w:color w:val="auto"/>
                <w:sz w:val="24"/>
              </w:rPr>
              <w:t>表30 地下水监测结果表单位：mg/L（pH、总大肠菌群、细菌总数除外）</w:t>
            </w:r>
          </w:p>
          <w:tbl>
            <w:tblPr>
              <w:tblStyle w:val="39"/>
              <w:tblW w:w="8907"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39"/>
              <w:gridCol w:w="1134"/>
              <w:gridCol w:w="1134"/>
              <w:gridCol w:w="1134"/>
              <w:gridCol w:w="1134"/>
              <w:gridCol w:w="1134"/>
              <w:gridCol w:w="1134"/>
              <w:gridCol w:w="1164"/>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39" w:type="dxa"/>
                  <w:vMerge w:val="restart"/>
                  <w:vAlign w:val="center"/>
                </w:tcPr>
                <w:p>
                  <w:pPr>
                    <w:adjustRightInd w:val="0"/>
                    <w:snapToGrid w:val="0"/>
                    <w:jc w:val="center"/>
                    <w:rPr>
                      <w:rFonts w:eastAsiaTheme="minorEastAsia"/>
                      <w:color w:val="auto"/>
                      <w:szCs w:val="21"/>
                    </w:rPr>
                  </w:pPr>
                  <w:r>
                    <w:rPr>
                      <w:rFonts w:eastAsiaTheme="minorEastAsia"/>
                      <w:color w:val="auto"/>
                      <w:szCs w:val="21"/>
                    </w:rPr>
                    <mc:AlternateContent>
                      <mc:Choice Requires="wps">
                        <w:drawing>
                          <wp:anchor distT="0" distB="0" distL="114300" distR="114300" simplePos="0" relativeHeight="251662336" behindDoc="0" locked="0" layoutInCell="1" allowOverlap="1">
                            <wp:simplePos x="0" y="0"/>
                            <wp:positionH relativeFrom="column">
                              <wp:posOffset>-51435</wp:posOffset>
                            </wp:positionH>
                            <wp:positionV relativeFrom="paragraph">
                              <wp:posOffset>-6350</wp:posOffset>
                            </wp:positionV>
                            <wp:extent cx="480695" cy="641350"/>
                            <wp:effectExtent l="3810" t="2540" r="10795" b="3810"/>
                            <wp:wrapNone/>
                            <wp:docPr id="18" name="自选图形 4626"/>
                            <wp:cNvGraphicFramePr/>
                            <a:graphic xmlns:a="http://schemas.openxmlformats.org/drawingml/2006/main">
                              <a:graphicData uri="http://schemas.microsoft.com/office/word/2010/wordprocessingShape">
                                <wps:wsp>
                                  <wps:cNvCnPr/>
                                  <wps:spPr>
                                    <a:xfrm>
                                      <a:off x="0" y="0"/>
                                      <a:ext cx="480695" cy="6413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4626" o:spid="_x0000_s1026" o:spt="32" type="#_x0000_t32" style="position:absolute;left:0pt;margin-left:-4.05pt;margin-top:-0.5pt;height:50.5pt;width:37.85pt;z-index:251662336;mso-width-relative:page;mso-height-relative:page;" filled="f" stroked="t" coordsize="21600,21600" o:gfxdata="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72RGuNYAAAAIAQAADwAAAAAAAAABACAAAAAiAAAAZHJzL2Rvd25yZXYu&#10;eG1sUEsBAhQAFAAAAAgAh07iQNZyFvz9AQAA6wMAAA4AAAAAAAAAAQAgAAAAJQEAAGRycy9lMm9E&#10;b2MueG1sUEsFBgAAAAAGAAYAWQEAAJQFAAAAAA==&#10;">
                            <v:fill on="f" focussize="0,0"/>
                            <v:stroke color="#000000" joinstyle="round"/>
                            <v:imagedata o:title=""/>
                            <o:lock v:ext="edit" aspectratio="f"/>
                          </v:shape>
                        </w:pict>
                      </mc:Fallback>
                    </mc:AlternateContent>
                  </w:r>
                  <w:r>
                    <w:rPr>
                      <w:rFonts w:eastAsiaTheme="minorEastAsia"/>
                      <w:color w:val="auto"/>
                      <w:szCs w:val="21"/>
                    </w:rPr>
                    <mc:AlternateContent>
                      <mc:Choice Requires="wps">
                        <w:drawing>
                          <wp:anchor distT="0" distB="0" distL="114300" distR="114300" simplePos="0" relativeHeight="251661312" behindDoc="0" locked="0" layoutInCell="1" allowOverlap="1">
                            <wp:simplePos x="0" y="0"/>
                            <wp:positionH relativeFrom="column">
                              <wp:posOffset>-51435</wp:posOffset>
                            </wp:positionH>
                            <wp:positionV relativeFrom="paragraph">
                              <wp:posOffset>-3810</wp:posOffset>
                            </wp:positionV>
                            <wp:extent cx="623570" cy="264160"/>
                            <wp:effectExtent l="1905" t="4445" r="3175" b="17145"/>
                            <wp:wrapNone/>
                            <wp:docPr id="16" name="自选图形 4625"/>
                            <wp:cNvGraphicFramePr/>
                            <a:graphic xmlns:a="http://schemas.openxmlformats.org/drawingml/2006/main">
                              <a:graphicData uri="http://schemas.microsoft.com/office/word/2010/wordprocessingShape">
                                <wps:wsp>
                                  <wps:cNvCnPr/>
                                  <wps:spPr>
                                    <a:xfrm>
                                      <a:off x="0" y="0"/>
                                      <a:ext cx="623570" cy="2641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4625" o:spid="_x0000_s1026" o:spt="32" type="#_x0000_t32" style="position:absolute;left:0pt;margin-left:-4.05pt;margin-top:-0.3pt;height:20.8pt;width:49.1pt;z-index:251661312;mso-width-relative:page;mso-height-relative:page;" filled="f" stroked="t" coordsize="21600,21600" o:gfxdata="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vRW7UAAAABgEAAA8AAAAAAAAAAQAgAAAAIgAAAGRycy9kb3ducmV2Lnht&#10;bFBLAQIUABQAAAAIAIdO4kD7/Zuh/QEAAOsDAAAOAAAAAAAAAAEAIAAAACMBAABkcnMvZTJvRG9j&#10;LnhtbFBLBQYAAAAABgAGAFkBAACSBQAAAAA=&#10;">
                            <v:fill on="f" focussize="0,0"/>
                            <v:stroke color="#000000" joinstyle="round"/>
                            <v:imagedata o:title=""/>
                            <o:lock v:ext="edit" aspectratio="f"/>
                          </v:shape>
                        </w:pict>
                      </mc:Fallback>
                    </mc:AlternateContent>
                  </w:r>
                  <w:r>
                    <w:rPr>
                      <w:rFonts w:eastAsiaTheme="minorEastAsia"/>
                      <w:color w:val="auto"/>
                      <w:szCs w:val="21"/>
                    </w:rPr>
                    <w:t>点位</w:t>
                  </w:r>
                </w:p>
                <w:p>
                  <w:pPr>
                    <w:adjustRightInd w:val="0"/>
                    <w:snapToGrid w:val="0"/>
                    <w:jc w:val="center"/>
                    <w:rPr>
                      <w:rFonts w:eastAsiaTheme="minorEastAsia"/>
                      <w:color w:val="auto"/>
                      <w:szCs w:val="21"/>
                    </w:rPr>
                  </w:pPr>
                  <w:r>
                    <w:rPr>
                      <w:rFonts w:eastAsiaTheme="minorEastAsia"/>
                      <w:color w:val="auto"/>
                      <w:szCs w:val="21"/>
                    </w:rPr>
                    <w:t>结果</w:t>
                  </w:r>
                </w:p>
                <w:p>
                  <w:pPr>
                    <w:adjustRightInd w:val="0"/>
                    <w:snapToGrid w:val="0"/>
                    <w:rPr>
                      <w:rFonts w:eastAsiaTheme="minorEastAsia"/>
                      <w:color w:val="auto"/>
                      <w:szCs w:val="21"/>
                    </w:rPr>
                  </w:pPr>
                  <w:r>
                    <w:rPr>
                      <w:rFonts w:eastAsiaTheme="minorEastAsia"/>
                      <w:color w:val="auto"/>
                      <w:szCs w:val="21"/>
                    </w:rPr>
                    <w:t>项目</w:t>
                  </w:r>
                </w:p>
              </w:tc>
              <w:tc>
                <w:tcPr>
                  <w:tcW w:w="3402" w:type="dxa"/>
                  <w:gridSpan w:val="3"/>
                  <w:vAlign w:val="center"/>
                </w:tcPr>
                <w:p>
                  <w:pPr>
                    <w:adjustRightInd w:val="0"/>
                    <w:snapToGrid w:val="0"/>
                    <w:jc w:val="center"/>
                    <w:rPr>
                      <w:rFonts w:eastAsiaTheme="minorEastAsia"/>
                      <w:color w:val="auto"/>
                      <w:szCs w:val="21"/>
                    </w:rPr>
                  </w:pPr>
                  <w:r>
                    <w:rPr>
                      <w:rFonts w:eastAsiaTheme="minorEastAsia"/>
                      <w:color w:val="auto"/>
                      <w:szCs w:val="21"/>
                    </w:rPr>
                    <w:t>2019.2.20</w:t>
                  </w:r>
                </w:p>
              </w:tc>
              <w:tc>
                <w:tcPr>
                  <w:tcW w:w="3402" w:type="dxa"/>
                  <w:gridSpan w:val="3"/>
                  <w:vAlign w:val="center"/>
                </w:tcPr>
                <w:p>
                  <w:pPr>
                    <w:adjustRightInd w:val="0"/>
                    <w:snapToGrid w:val="0"/>
                    <w:jc w:val="center"/>
                    <w:rPr>
                      <w:rFonts w:eastAsiaTheme="minorEastAsia"/>
                      <w:color w:val="auto"/>
                      <w:szCs w:val="21"/>
                    </w:rPr>
                  </w:pPr>
                  <w:r>
                    <w:rPr>
                      <w:rFonts w:eastAsiaTheme="minorEastAsia"/>
                      <w:color w:val="auto"/>
                      <w:szCs w:val="21"/>
                    </w:rPr>
                    <w:t>2019.2.21</w:t>
                  </w:r>
                </w:p>
              </w:tc>
              <w:tc>
                <w:tcPr>
                  <w:tcW w:w="1164" w:type="dxa"/>
                  <w:vMerge w:val="restart"/>
                  <w:vAlign w:val="center"/>
                </w:tcPr>
                <w:p>
                  <w:pPr>
                    <w:adjustRightInd w:val="0"/>
                    <w:snapToGrid w:val="0"/>
                    <w:spacing w:line="0" w:lineRule="atLeast"/>
                    <w:jc w:val="center"/>
                    <w:rPr>
                      <w:rFonts w:eastAsiaTheme="minorEastAsia"/>
                      <w:color w:val="auto"/>
                      <w:szCs w:val="21"/>
                    </w:rPr>
                  </w:pPr>
                  <w:r>
                    <w:rPr>
                      <w:rFonts w:eastAsiaTheme="minorEastAsia"/>
                      <w:color w:val="auto"/>
                      <w:szCs w:val="21"/>
                    </w:rPr>
                    <w:t>《地下水质量标准》(GB/T14848-2017)</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39" w:type="dxa"/>
                  <w:vMerge w:val="continue"/>
                  <w:vAlign w:val="center"/>
                </w:tcPr>
                <w:p>
                  <w:pPr>
                    <w:adjustRightInd w:val="0"/>
                    <w:snapToGrid w:val="0"/>
                    <w:jc w:val="center"/>
                    <w:rPr>
                      <w:rFonts w:eastAsiaTheme="minorEastAsia"/>
                      <w:color w:val="auto"/>
                      <w:szCs w:val="21"/>
                    </w:rPr>
                  </w:pP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1#</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2#</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3#</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1#</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2#</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3#</w:t>
                  </w:r>
                </w:p>
              </w:tc>
              <w:tc>
                <w:tcPr>
                  <w:tcW w:w="1164" w:type="dxa"/>
                  <w:vMerge w:val="continue"/>
                  <w:vAlign w:val="center"/>
                </w:tcPr>
                <w:p>
                  <w:pPr>
                    <w:adjustRightInd w:val="0"/>
                    <w:snapToGrid w:val="0"/>
                    <w:jc w:val="center"/>
                    <w:rPr>
                      <w:rFonts w:eastAsiaTheme="min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39" w:type="dxa"/>
                  <w:vAlign w:val="center"/>
                </w:tcPr>
                <w:p>
                  <w:pPr>
                    <w:adjustRightInd w:val="0"/>
                    <w:snapToGrid w:val="0"/>
                    <w:jc w:val="center"/>
                    <w:rPr>
                      <w:rFonts w:eastAsiaTheme="minorEastAsia"/>
                      <w:color w:val="auto"/>
                      <w:szCs w:val="21"/>
                    </w:rPr>
                  </w:pPr>
                  <w:r>
                    <w:rPr>
                      <w:rFonts w:eastAsiaTheme="minorEastAsia"/>
                      <w:color w:val="auto"/>
                      <w:szCs w:val="21"/>
                    </w:rPr>
                    <w:t>pH（无量纲）</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7.79</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7.90</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7.62</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7.92</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7.97</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7.59</w:t>
                  </w:r>
                </w:p>
              </w:tc>
              <w:tc>
                <w:tcPr>
                  <w:tcW w:w="1164" w:type="dxa"/>
                  <w:vAlign w:val="center"/>
                </w:tcPr>
                <w:p>
                  <w:pPr>
                    <w:adjustRightInd w:val="0"/>
                    <w:snapToGrid w:val="0"/>
                    <w:jc w:val="center"/>
                    <w:rPr>
                      <w:rFonts w:eastAsiaTheme="minorEastAsia"/>
                      <w:bCs/>
                      <w:color w:val="auto"/>
                      <w:szCs w:val="21"/>
                    </w:rPr>
                  </w:pPr>
                  <w:r>
                    <w:rPr>
                      <w:rFonts w:eastAsiaTheme="minorEastAsia"/>
                      <w:bCs/>
                      <w:color w:val="auto"/>
                      <w:szCs w:val="21"/>
                    </w:rPr>
                    <w:t>6.5~8.5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39" w:type="dxa"/>
                  <w:vAlign w:val="center"/>
                </w:tcPr>
                <w:p>
                  <w:pPr>
                    <w:adjustRightInd w:val="0"/>
                    <w:snapToGrid w:val="0"/>
                    <w:jc w:val="center"/>
                    <w:rPr>
                      <w:rFonts w:eastAsiaTheme="minorEastAsia"/>
                      <w:color w:val="auto"/>
                      <w:szCs w:val="21"/>
                    </w:rPr>
                  </w:pPr>
                  <w:r>
                    <w:rPr>
                      <w:rFonts w:eastAsiaTheme="minorEastAsia"/>
                      <w:color w:val="auto"/>
                      <w:szCs w:val="21"/>
                    </w:rPr>
                    <w:t>总硬度</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188</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160</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368</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185</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160</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372</w:t>
                  </w:r>
                </w:p>
              </w:tc>
              <w:tc>
                <w:tcPr>
                  <w:tcW w:w="1164" w:type="dxa"/>
                  <w:vAlign w:val="center"/>
                </w:tcPr>
                <w:p>
                  <w:pPr>
                    <w:adjustRightInd w:val="0"/>
                    <w:snapToGrid w:val="0"/>
                    <w:jc w:val="center"/>
                    <w:rPr>
                      <w:rFonts w:eastAsiaTheme="minorEastAsia"/>
                      <w:bCs/>
                      <w:color w:val="auto"/>
                      <w:szCs w:val="21"/>
                    </w:rPr>
                  </w:pPr>
                  <w:r>
                    <w:rPr>
                      <w:rFonts w:eastAsiaTheme="minorEastAsia"/>
                      <w:color w:val="auto"/>
                      <w:szCs w:val="21"/>
                    </w:rPr>
                    <w:t>≤450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39" w:type="dxa"/>
                  <w:vAlign w:val="center"/>
                </w:tcPr>
                <w:p>
                  <w:pPr>
                    <w:adjustRightInd w:val="0"/>
                    <w:snapToGrid w:val="0"/>
                    <w:jc w:val="center"/>
                    <w:rPr>
                      <w:rFonts w:eastAsiaTheme="minorEastAsia"/>
                      <w:color w:val="auto"/>
                      <w:szCs w:val="21"/>
                    </w:rPr>
                  </w:pPr>
                  <w:r>
                    <w:rPr>
                      <w:rFonts w:eastAsiaTheme="minorEastAsia"/>
                      <w:color w:val="auto"/>
                      <w:szCs w:val="21"/>
                    </w:rPr>
                    <w:t>溶解性总固体</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248</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285</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702</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242</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289</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709</w:t>
                  </w:r>
                </w:p>
              </w:tc>
              <w:tc>
                <w:tcPr>
                  <w:tcW w:w="1164" w:type="dxa"/>
                  <w:vAlign w:val="center"/>
                </w:tcPr>
                <w:p>
                  <w:pPr>
                    <w:adjustRightInd w:val="0"/>
                    <w:snapToGrid w:val="0"/>
                    <w:jc w:val="center"/>
                    <w:rPr>
                      <w:rFonts w:eastAsiaTheme="minorEastAsia"/>
                      <w:bCs/>
                      <w:color w:val="auto"/>
                      <w:szCs w:val="21"/>
                    </w:rPr>
                  </w:pPr>
                  <w:r>
                    <w:rPr>
                      <w:rFonts w:eastAsiaTheme="minorEastAsia"/>
                      <w:color w:val="auto"/>
                      <w:szCs w:val="21"/>
                    </w:rPr>
                    <w:t>≤1000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39" w:type="dxa"/>
                  <w:vAlign w:val="center"/>
                </w:tcPr>
                <w:p>
                  <w:pPr>
                    <w:adjustRightInd w:val="0"/>
                    <w:snapToGrid w:val="0"/>
                    <w:jc w:val="center"/>
                    <w:rPr>
                      <w:rFonts w:eastAsiaTheme="minorEastAsia"/>
                      <w:color w:val="auto"/>
                      <w:szCs w:val="21"/>
                    </w:rPr>
                  </w:pPr>
                  <w:r>
                    <w:rPr>
                      <w:rFonts w:eastAsiaTheme="minorEastAsia"/>
                      <w:color w:val="auto"/>
                      <w:szCs w:val="21"/>
                    </w:rPr>
                    <w:t>硫酸盐</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1.08</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0.836</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129</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1.17</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0.587</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127</w:t>
                  </w:r>
                </w:p>
              </w:tc>
              <w:tc>
                <w:tcPr>
                  <w:tcW w:w="1164" w:type="dxa"/>
                  <w:vAlign w:val="center"/>
                </w:tcPr>
                <w:p>
                  <w:pPr>
                    <w:adjustRightInd w:val="0"/>
                    <w:snapToGrid w:val="0"/>
                    <w:jc w:val="center"/>
                    <w:rPr>
                      <w:rFonts w:eastAsiaTheme="minorEastAsia"/>
                      <w:bCs/>
                      <w:color w:val="auto"/>
                      <w:szCs w:val="21"/>
                    </w:rPr>
                  </w:pPr>
                  <w:r>
                    <w:rPr>
                      <w:rFonts w:eastAsiaTheme="minorEastAsia"/>
                      <w:color w:val="auto"/>
                      <w:szCs w:val="21"/>
                    </w:rPr>
                    <w:t>≤250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39" w:type="dxa"/>
                  <w:vAlign w:val="center"/>
                </w:tcPr>
                <w:p>
                  <w:pPr>
                    <w:adjustRightInd w:val="0"/>
                    <w:snapToGrid w:val="0"/>
                    <w:jc w:val="center"/>
                    <w:rPr>
                      <w:rFonts w:eastAsiaTheme="minorEastAsia"/>
                      <w:color w:val="auto"/>
                      <w:szCs w:val="21"/>
                    </w:rPr>
                  </w:pPr>
                  <w:r>
                    <w:rPr>
                      <w:rFonts w:eastAsiaTheme="minorEastAsia"/>
                      <w:color w:val="auto"/>
                      <w:szCs w:val="21"/>
                    </w:rPr>
                    <w:t>氯化物</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2.44</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2.31</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86.3</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2.76</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2.36</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84.8</w:t>
                  </w:r>
                </w:p>
              </w:tc>
              <w:tc>
                <w:tcPr>
                  <w:tcW w:w="1164" w:type="dxa"/>
                  <w:vAlign w:val="center"/>
                </w:tcPr>
                <w:p>
                  <w:pPr>
                    <w:adjustRightInd w:val="0"/>
                    <w:snapToGrid w:val="0"/>
                    <w:jc w:val="center"/>
                    <w:rPr>
                      <w:rFonts w:eastAsiaTheme="minorEastAsia"/>
                      <w:bCs/>
                      <w:color w:val="auto"/>
                      <w:szCs w:val="21"/>
                    </w:rPr>
                  </w:pPr>
                  <w:r>
                    <w:rPr>
                      <w:rFonts w:eastAsiaTheme="minorEastAsia"/>
                      <w:color w:val="auto"/>
                      <w:szCs w:val="21"/>
                    </w:rPr>
                    <w:t>≤250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39" w:type="dxa"/>
                  <w:vAlign w:val="center"/>
                </w:tcPr>
                <w:p>
                  <w:pPr>
                    <w:adjustRightInd w:val="0"/>
                    <w:snapToGrid w:val="0"/>
                    <w:jc w:val="center"/>
                    <w:rPr>
                      <w:rFonts w:eastAsiaTheme="minorEastAsia"/>
                      <w:color w:val="auto"/>
                      <w:szCs w:val="21"/>
                    </w:rPr>
                  </w:pPr>
                  <w:r>
                    <w:rPr>
                      <w:rFonts w:eastAsiaTheme="minorEastAsia"/>
                      <w:color w:val="auto"/>
                      <w:szCs w:val="21"/>
                    </w:rPr>
                    <w:t>铁</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0.03L</w:t>
                  </w:r>
                </w:p>
              </w:tc>
              <w:tc>
                <w:tcPr>
                  <w:tcW w:w="1134" w:type="dxa"/>
                  <w:vAlign w:val="center"/>
                </w:tcPr>
                <w:p>
                  <w:pPr>
                    <w:jc w:val="center"/>
                    <w:rPr>
                      <w:rFonts w:eastAsiaTheme="minorEastAsia"/>
                      <w:color w:val="auto"/>
                      <w:szCs w:val="21"/>
                    </w:rPr>
                  </w:pPr>
                  <w:r>
                    <w:rPr>
                      <w:rFonts w:eastAsiaTheme="minorEastAsia"/>
                      <w:bCs/>
                      <w:color w:val="auto"/>
                      <w:szCs w:val="21"/>
                    </w:rPr>
                    <w:t>0.03L</w:t>
                  </w:r>
                </w:p>
              </w:tc>
              <w:tc>
                <w:tcPr>
                  <w:tcW w:w="1134" w:type="dxa"/>
                  <w:vAlign w:val="center"/>
                </w:tcPr>
                <w:p>
                  <w:pPr>
                    <w:jc w:val="center"/>
                    <w:rPr>
                      <w:rFonts w:eastAsiaTheme="minorEastAsia"/>
                      <w:color w:val="auto"/>
                      <w:szCs w:val="21"/>
                    </w:rPr>
                  </w:pPr>
                  <w:r>
                    <w:rPr>
                      <w:rFonts w:eastAsiaTheme="minorEastAsia"/>
                      <w:bCs/>
                      <w:color w:val="auto"/>
                      <w:szCs w:val="21"/>
                    </w:rPr>
                    <w:t>0.03L</w:t>
                  </w:r>
                </w:p>
              </w:tc>
              <w:tc>
                <w:tcPr>
                  <w:tcW w:w="1134" w:type="dxa"/>
                  <w:vAlign w:val="center"/>
                </w:tcPr>
                <w:p>
                  <w:pPr>
                    <w:jc w:val="center"/>
                    <w:rPr>
                      <w:rFonts w:eastAsiaTheme="minorEastAsia"/>
                      <w:color w:val="auto"/>
                      <w:szCs w:val="21"/>
                    </w:rPr>
                  </w:pPr>
                  <w:r>
                    <w:rPr>
                      <w:rFonts w:eastAsiaTheme="minorEastAsia"/>
                      <w:bCs/>
                      <w:color w:val="auto"/>
                      <w:szCs w:val="21"/>
                    </w:rPr>
                    <w:t>0.03L</w:t>
                  </w:r>
                </w:p>
              </w:tc>
              <w:tc>
                <w:tcPr>
                  <w:tcW w:w="1134" w:type="dxa"/>
                  <w:vAlign w:val="center"/>
                </w:tcPr>
                <w:p>
                  <w:pPr>
                    <w:jc w:val="center"/>
                    <w:rPr>
                      <w:rFonts w:eastAsiaTheme="minorEastAsia"/>
                      <w:color w:val="auto"/>
                      <w:szCs w:val="21"/>
                    </w:rPr>
                  </w:pPr>
                  <w:r>
                    <w:rPr>
                      <w:rFonts w:eastAsiaTheme="minorEastAsia"/>
                      <w:bCs/>
                      <w:color w:val="auto"/>
                      <w:szCs w:val="21"/>
                    </w:rPr>
                    <w:t>0.03L</w:t>
                  </w:r>
                </w:p>
              </w:tc>
              <w:tc>
                <w:tcPr>
                  <w:tcW w:w="1134" w:type="dxa"/>
                  <w:vAlign w:val="center"/>
                </w:tcPr>
                <w:p>
                  <w:pPr>
                    <w:jc w:val="center"/>
                    <w:rPr>
                      <w:rFonts w:eastAsiaTheme="minorEastAsia"/>
                      <w:color w:val="auto"/>
                      <w:szCs w:val="21"/>
                    </w:rPr>
                  </w:pPr>
                  <w:r>
                    <w:rPr>
                      <w:rFonts w:eastAsiaTheme="minorEastAsia"/>
                      <w:bCs/>
                      <w:color w:val="auto"/>
                      <w:szCs w:val="21"/>
                    </w:rPr>
                    <w:t>0.03L</w:t>
                  </w:r>
                </w:p>
              </w:tc>
              <w:tc>
                <w:tcPr>
                  <w:tcW w:w="1164" w:type="dxa"/>
                  <w:vAlign w:val="center"/>
                </w:tcPr>
                <w:p>
                  <w:pPr>
                    <w:adjustRightInd w:val="0"/>
                    <w:snapToGrid w:val="0"/>
                    <w:jc w:val="center"/>
                    <w:rPr>
                      <w:rFonts w:eastAsiaTheme="minorEastAsia"/>
                      <w:bCs/>
                      <w:color w:val="auto"/>
                      <w:szCs w:val="21"/>
                    </w:rPr>
                  </w:pPr>
                  <w:r>
                    <w:rPr>
                      <w:rFonts w:eastAsiaTheme="minorEastAsia"/>
                      <w:color w:val="auto"/>
                      <w:szCs w:val="21"/>
                    </w:rPr>
                    <w:t>≤0.3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39" w:type="dxa"/>
                  <w:vAlign w:val="center"/>
                </w:tcPr>
                <w:p>
                  <w:pPr>
                    <w:adjustRightInd w:val="0"/>
                    <w:snapToGrid w:val="0"/>
                    <w:jc w:val="center"/>
                    <w:rPr>
                      <w:rFonts w:eastAsiaTheme="minorEastAsia"/>
                      <w:color w:val="auto"/>
                      <w:szCs w:val="21"/>
                    </w:rPr>
                  </w:pPr>
                  <w:r>
                    <w:rPr>
                      <w:rFonts w:eastAsiaTheme="minorEastAsia"/>
                      <w:color w:val="auto"/>
                      <w:szCs w:val="21"/>
                    </w:rPr>
                    <w:t>锰</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0.01L</w:t>
                  </w:r>
                </w:p>
              </w:tc>
              <w:tc>
                <w:tcPr>
                  <w:tcW w:w="1134" w:type="dxa"/>
                  <w:vAlign w:val="center"/>
                </w:tcPr>
                <w:p>
                  <w:pPr>
                    <w:jc w:val="center"/>
                    <w:rPr>
                      <w:rFonts w:eastAsiaTheme="minorEastAsia"/>
                      <w:color w:val="auto"/>
                      <w:szCs w:val="21"/>
                    </w:rPr>
                  </w:pPr>
                  <w:r>
                    <w:rPr>
                      <w:rFonts w:eastAsiaTheme="minorEastAsia"/>
                      <w:bCs/>
                      <w:color w:val="auto"/>
                      <w:szCs w:val="21"/>
                    </w:rPr>
                    <w:t>0.01L</w:t>
                  </w:r>
                </w:p>
              </w:tc>
              <w:tc>
                <w:tcPr>
                  <w:tcW w:w="1134" w:type="dxa"/>
                  <w:vAlign w:val="center"/>
                </w:tcPr>
                <w:p>
                  <w:pPr>
                    <w:jc w:val="center"/>
                    <w:rPr>
                      <w:rFonts w:eastAsiaTheme="minorEastAsia"/>
                      <w:color w:val="auto"/>
                      <w:szCs w:val="21"/>
                    </w:rPr>
                  </w:pPr>
                  <w:r>
                    <w:rPr>
                      <w:rFonts w:eastAsiaTheme="minorEastAsia"/>
                      <w:bCs/>
                      <w:color w:val="auto"/>
                      <w:szCs w:val="21"/>
                    </w:rPr>
                    <w:t>0.01L</w:t>
                  </w:r>
                </w:p>
              </w:tc>
              <w:tc>
                <w:tcPr>
                  <w:tcW w:w="1134" w:type="dxa"/>
                  <w:vAlign w:val="center"/>
                </w:tcPr>
                <w:p>
                  <w:pPr>
                    <w:jc w:val="center"/>
                    <w:rPr>
                      <w:rFonts w:eastAsiaTheme="minorEastAsia"/>
                      <w:color w:val="auto"/>
                      <w:szCs w:val="21"/>
                    </w:rPr>
                  </w:pPr>
                  <w:r>
                    <w:rPr>
                      <w:rFonts w:eastAsiaTheme="minorEastAsia"/>
                      <w:bCs/>
                      <w:color w:val="auto"/>
                      <w:szCs w:val="21"/>
                    </w:rPr>
                    <w:t>0.01L</w:t>
                  </w:r>
                </w:p>
              </w:tc>
              <w:tc>
                <w:tcPr>
                  <w:tcW w:w="1134" w:type="dxa"/>
                  <w:vAlign w:val="center"/>
                </w:tcPr>
                <w:p>
                  <w:pPr>
                    <w:jc w:val="center"/>
                    <w:rPr>
                      <w:rFonts w:eastAsiaTheme="minorEastAsia"/>
                      <w:color w:val="auto"/>
                      <w:szCs w:val="21"/>
                    </w:rPr>
                  </w:pPr>
                  <w:r>
                    <w:rPr>
                      <w:rFonts w:eastAsiaTheme="minorEastAsia"/>
                      <w:bCs/>
                      <w:color w:val="auto"/>
                      <w:szCs w:val="21"/>
                    </w:rPr>
                    <w:t>0.01L</w:t>
                  </w:r>
                </w:p>
              </w:tc>
              <w:tc>
                <w:tcPr>
                  <w:tcW w:w="1134" w:type="dxa"/>
                  <w:vAlign w:val="center"/>
                </w:tcPr>
                <w:p>
                  <w:pPr>
                    <w:jc w:val="center"/>
                    <w:rPr>
                      <w:rFonts w:eastAsiaTheme="minorEastAsia"/>
                      <w:color w:val="auto"/>
                      <w:szCs w:val="21"/>
                    </w:rPr>
                  </w:pPr>
                  <w:r>
                    <w:rPr>
                      <w:rFonts w:eastAsiaTheme="minorEastAsia"/>
                      <w:bCs/>
                      <w:color w:val="auto"/>
                      <w:szCs w:val="21"/>
                    </w:rPr>
                    <w:t>0.01L</w:t>
                  </w:r>
                </w:p>
              </w:tc>
              <w:tc>
                <w:tcPr>
                  <w:tcW w:w="1164" w:type="dxa"/>
                  <w:vAlign w:val="center"/>
                </w:tcPr>
                <w:p>
                  <w:pPr>
                    <w:adjustRightInd w:val="0"/>
                    <w:snapToGrid w:val="0"/>
                    <w:jc w:val="center"/>
                    <w:rPr>
                      <w:rFonts w:eastAsiaTheme="minorEastAsia"/>
                      <w:bCs/>
                      <w:color w:val="auto"/>
                      <w:szCs w:val="21"/>
                    </w:rPr>
                  </w:pPr>
                  <w:r>
                    <w:rPr>
                      <w:rFonts w:eastAsiaTheme="minorEastAsia"/>
                      <w:color w:val="auto"/>
                      <w:szCs w:val="21"/>
                    </w:rPr>
                    <w:t>≤0.10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39" w:type="dxa"/>
                  <w:vAlign w:val="center"/>
                </w:tcPr>
                <w:p>
                  <w:pPr>
                    <w:adjustRightInd w:val="0"/>
                    <w:snapToGrid w:val="0"/>
                    <w:jc w:val="center"/>
                    <w:rPr>
                      <w:rFonts w:eastAsiaTheme="minorEastAsia"/>
                      <w:color w:val="auto"/>
                      <w:szCs w:val="21"/>
                    </w:rPr>
                  </w:pPr>
                  <w:r>
                    <w:rPr>
                      <w:rFonts w:eastAsiaTheme="minorEastAsia"/>
                      <w:color w:val="auto"/>
                      <w:szCs w:val="21"/>
                    </w:rPr>
                    <w:t>挥发性酚类</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0.0003L</w:t>
                  </w:r>
                </w:p>
              </w:tc>
              <w:tc>
                <w:tcPr>
                  <w:tcW w:w="1134" w:type="dxa"/>
                  <w:vAlign w:val="center"/>
                </w:tcPr>
                <w:p>
                  <w:pPr>
                    <w:jc w:val="center"/>
                    <w:rPr>
                      <w:rFonts w:eastAsiaTheme="minorEastAsia"/>
                      <w:color w:val="auto"/>
                      <w:szCs w:val="21"/>
                    </w:rPr>
                  </w:pPr>
                  <w:r>
                    <w:rPr>
                      <w:rFonts w:eastAsiaTheme="minorEastAsia"/>
                      <w:bCs/>
                      <w:color w:val="auto"/>
                      <w:szCs w:val="21"/>
                    </w:rPr>
                    <w:t>0.0003L</w:t>
                  </w:r>
                </w:p>
              </w:tc>
              <w:tc>
                <w:tcPr>
                  <w:tcW w:w="1134" w:type="dxa"/>
                  <w:vAlign w:val="center"/>
                </w:tcPr>
                <w:p>
                  <w:pPr>
                    <w:jc w:val="center"/>
                    <w:rPr>
                      <w:rFonts w:eastAsiaTheme="minorEastAsia"/>
                      <w:color w:val="auto"/>
                      <w:szCs w:val="21"/>
                    </w:rPr>
                  </w:pPr>
                  <w:r>
                    <w:rPr>
                      <w:rFonts w:eastAsiaTheme="minorEastAsia"/>
                      <w:bCs/>
                      <w:color w:val="auto"/>
                      <w:szCs w:val="21"/>
                    </w:rPr>
                    <w:t>0.0003L</w:t>
                  </w:r>
                </w:p>
              </w:tc>
              <w:tc>
                <w:tcPr>
                  <w:tcW w:w="1134" w:type="dxa"/>
                  <w:vAlign w:val="center"/>
                </w:tcPr>
                <w:p>
                  <w:pPr>
                    <w:jc w:val="center"/>
                    <w:rPr>
                      <w:rFonts w:eastAsiaTheme="minorEastAsia"/>
                      <w:color w:val="auto"/>
                      <w:szCs w:val="21"/>
                    </w:rPr>
                  </w:pPr>
                  <w:r>
                    <w:rPr>
                      <w:rFonts w:eastAsiaTheme="minorEastAsia"/>
                      <w:bCs/>
                      <w:color w:val="auto"/>
                      <w:szCs w:val="21"/>
                    </w:rPr>
                    <w:t>0.0003L</w:t>
                  </w:r>
                </w:p>
              </w:tc>
              <w:tc>
                <w:tcPr>
                  <w:tcW w:w="1134" w:type="dxa"/>
                  <w:vAlign w:val="center"/>
                </w:tcPr>
                <w:p>
                  <w:pPr>
                    <w:jc w:val="center"/>
                    <w:rPr>
                      <w:rFonts w:eastAsiaTheme="minorEastAsia"/>
                      <w:color w:val="auto"/>
                      <w:szCs w:val="21"/>
                    </w:rPr>
                  </w:pPr>
                  <w:r>
                    <w:rPr>
                      <w:rFonts w:eastAsiaTheme="minorEastAsia"/>
                      <w:bCs/>
                      <w:color w:val="auto"/>
                      <w:szCs w:val="21"/>
                    </w:rPr>
                    <w:t>0.0003L</w:t>
                  </w:r>
                </w:p>
              </w:tc>
              <w:tc>
                <w:tcPr>
                  <w:tcW w:w="1134" w:type="dxa"/>
                  <w:vAlign w:val="center"/>
                </w:tcPr>
                <w:p>
                  <w:pPr>
                    <w:jc w:val="center"/>
                    <w:rPr>
                      <w:rFonts w:eastAsiaTheme="minorEastAsia"/>
                      <w:color w:val="auto"/>
                      <w:szCs w:val="21"/>
                    </w:rPr>
                  </w:pPr>
                  <w:r>
                    <w:rPr>
                      <w:rFonts w:eastAsiaTheme="minorEastAsia"/>
                      <w:bCs/>
                      <w:color w:val="auto"/>
                      <w:szCs w:val="21"/>
                    </w:rPr>
                    <w:t>0.0003L</w:t>
                  </w:r>
                </w:p>
              </w:tc>
              <w:tc>
                <w:tcPr>
                  <w:tcW w:w="1164" w:type="dxa"/>
                  <w:vAlign w:val="center"/>
                </w:tcPr>
                <w:p>
                  <w:pPr>
                    <w:adjustRightInd w:val="0"/>
                    <w:snapToGrid w:val="0"/>
                    <w:jc w:val="center"/>
                    <w:rPr>
                      <w:rFonts w:eastAsiaTheme="minorEastAsia"/>
                      <w:bCs/>
                      <w:color w:val="auto"/>
                      <w:szCs w:val="21"/>
                    </w:rPr>
                  </w:pPr>
                  <w:r>
                    <w:rPr>
                      <w:rFonts w:eastAsiaTheme="minorEastAsia"/>
                      <w:color w:val="auto"/>
                      <w:szCs w:val="21"/>
                    </w:rPr>
                    <w:t>≤0.002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39" w:type="dxa"/>
                  <w:vAlign w:val="center"/>
                </w:tcPr>
                <w:p>
                  <w:pPr>
                    <w:adjustRightInd w:val="0"/>
                    <w:snapToGrid w:val="0"/>
                    <w:jc w:val="center"/>
                    <w:rPr>
                      <w:rFonts w:eastAsiaTheme="minorEastAsia"/>
                      <w:color w:val="auto"/>
                      <w:szCs w:val="21"/>
                    </w:rPr>
                  </w:pPr>
                  <w:r>
                    <w:rPr>
                      <w:rFonts w:eastAsiaTheme="minorEastAsia"/>
                      <w:color w:val="auto"/>
                      <w:szCs w:val="21"/>
                    </w:rPr>
                    <w:t>耗氧量</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0.650</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0.740</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0.752</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0.670</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0.760</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0.690</w:t>
                  </w:r>
                </w:p>
              </w:tc>
              <w:tc>
                <w:tcPr>
                  <w:tcW w:w="1164" w:type="dxa"/>
                  <w:vAlign w:val="center"/>
                </w:tcPr>
                <w:p>
                  <w:pPr>
                    <w:adjustRightInd w:val="0"/>
                    <w:snapToGrid w:val="0"/>
                    <w:jc w:val="center"/>
                    <w:rPr>
                      <w:rFonts w:eastAsiaTheme="minorEastAsia"/>
                      <w:bCs/>
                      <w:color w:val="auto"/>
                      <w:szCs w:val="21"/>
                    </w:rPr>
                  </w:pPr>
                  <w:r>
                    <w:rPr>
                      <w:rFonts w:eastAsiaTheme="minorEastAsia"/>
                      <w:color w:val="auto"/>
                      <w:szCs w:val="21"/>
                    </w:rPr>
                    <w:t>≤3.0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39" w:type="dxa"/>
                  <w:vAlign w:val="center"/>
                </w:tcPr>
                <w:p>
                  <w:pPr>
                    <w:adjustRightInd w:val="0"/>
                    <w:snapToGrid w:val="0"/>
                    <w:jc w:val="center"/>
                    <w:rPr>
                      <w:rFonts w:eastAsiaTheme="minorEastAsia"/>
                      <w:color w:val="auto"/>
                      <w:szCs w:val="21"/>
                    </w:rPr>
                  </w:pPr>
                  <w:r>
                    <w:rPr>
                      <w:rFonts w:eastAsiaTheme="minorEastAsia"/>
                      <w:color w:val="auto"/>
                      <w:szCs w:val="21"/>
                    </w:rPr>
                    <w:t>氨氮</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0.117</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0.164</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0.086</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0.362</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0.130</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0.140</w:t>
                  </w:r>
                </w:p>
              </w:tc>
              <w:tc>
                <w:tcPr>
                  <w:tcW w:w="1164" w:type="dxa"/>
                  <w:vAlign w:val="center"/>
                </w:tcPr>
                <w:p>
                  <w:pPr>
                    <w:adjustRightInd w:val="0"/>
                    <w:snapToGrid w:val="0"/>
                    <w:jc w:val="center"/>
                    <w:rPr>
                      <w:rFonts w:eastAsiaTheme="minorEastAsia"/>
                      <w:bCs/>
                      <w:color w:val="auto"/>
                      <w:szCs w:val="21"/>
                    </w:rPr>
                  </w:pPr>
                  <w:r>
                    <w:rPr>
                      <w:rFonts w:eastAsiaTheme="minorEastAsia"/>
                      <w:color w:val="auto"/>
                      <w:szCs w:val="21"/>
                    </w:rPr>
                    <w:t>≤0.50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39" w:type="dxa"/>
                  <w:vAlign w:val="center"/>
                </w:tcPr>
                <w:p>
                  <w:pPr>
                    <w:adjustRightInd w:val="0"/>
                    <w:snapToGrid w:val="0"/>
                    <w:jc w:val="center"/>
                    <w:rPr>
                      <w:rFonts w:eastAsiaTheme="minorEastAsia"/>
                      <w:color w:val="auto"/>
                      <w:szCs w:val="21"/>
                    </w:rPr>
                  </w:pPr>
                  <w:r>
                    <w:rPr>
                      <w:rFonts w:eastAsiaTheme="minorEastAsia"/>
                      <w:color w:val="auto"/>
                      <w:szCs w:val="21"/>
                    </w:rPr>
                    <w:t>总大肠菌群</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未检出</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未检出</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2</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5</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未检出</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未检出</w:t>
                  </w:r>
                </w:p>
              </w:tc>
              <w:tc>
                <w:tcPr>
                  <w:tcW w:w="1164" w:type="dxa"/>
                  <w:vAlign w:val="center"/>
                </w:tcPr>
                <w:p>
                  <w:pPr>
                    <w:adjustRightInd w:val="0"/>
                    <w:snapToGrid w:val="0"/>
                    <w:jc w:val="center"/>
                    <w:rPr>
                      <w:rFonts w:eastAsiaTheme="minorEastAsia"/>
                      <w:bCs/>
                      <w:color w:val="auto"/>
                      <w:szCs w:val="21"/>
                    </w:rPr>
                  </w:pPr>
                  <w:r>
                    <w:rPr>
                      <w:rFonts w:eastAsiaTheme="minorEastAsia"/>
                      <w:color w:val="auto"/>
                      <w:szCs w:val="21"/>
                    </w:rPr>
                    <w:t>≤3.0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39" w:type="dxa"/>
                  <w:vAlign w:val="center"/>
                </w:tcPr>
                <w:p>
                  <w:pPr>
                    <w:adjustRightInd w:val="0"/>
                    <w:snapToGrid w:val="0"/>
                    <w:jc w:val="center"/>
                    <w:rPr>
                      <w:rFonts w:eastAsiaTheme="minorEastAsia"/>
                      <w:color w:val="auto"/>
                      <w:szCs w:val="21"/>
                    </w:rPr>
                  </w:pPr>
                  <w:r>
                    <w:rPr>
                      <w:rFonts w:eastAsiaTheme="minorEastAsia"/>
                      <w:color w:val="auto"/>
                      <w:szCs w:val="21"/>
                    </w:rPr>
                    <w:t>菌落总数</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15</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17</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31</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24</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13</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16</w:t>
                  </w:r>
                </w:p>
              </w:tc>
              <w:tc>
                <w:tcPr>
                  <w:tcW w:w="1164" w:type="dxa"/>
                  <w:vAlign w:val="center"/>
                </w:tcPr>
                <w:p>
                  <w:pPr>
                    <w:adjustRightInd w:val="0"/>
                    <w:snapToGrid w:val="0"/>
                    <w:jc w:val="center"/>
                    <w:rPr>
                      <w:rFonts w:eastAsiaTheme="minorEastAsia"/>
                      <w:bCs/>
                      <w:color w:val="auto"/>
                      <w:szCs w:val="21"/>
                    </w:rPr>
                  </w:pPr>
                  <w:r>
                    <w:rPr>
                      <w:rFonts w:eastAsiaTheme="minorEastAsia"/>
                      <w:color w:val="auto"/>
                      <w:szCs w:val="21"/>
                    </w:rPr>
                    <w:t>≤100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39" w:type="dxa"/>
                  <w:vAlign w:val="center"/>
                </w:tcPr>
                <w:p>
                  <w:pPr>
                    <w:adjustRightInd w:val="0"/>
                    <w:snapToGrid w:val="0"/>
                    <w:jc w:val="center"/>
                    <w:rPr>
                      <w:rFonts w:eastAsiaTheme="minorEastAsia"/>
                      <w:color w:val="auto"/>
                      <w:szCs w:val="21"/>
                    </w:rPr>
                  </w:pPr>
                  <w:r>
                    <w:rPr>
                      <w:rFonts w:eastAsiaTheme="minorEastAsia"/>
                      <w:color w:val="auto"/>
                      <w:szCs w:val="21"/>
                    </w:rPr>
                    <w:t>亚硝酸盐</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0.001L</w:t>
                  </w:r>
                </w:p>
              </w:tc>
              <w:tc>
                <w:tcPr>
                  <w:tcW w:w="1134" w:type="dxa"/>
                  <w:vAlign w:val="center"/>
                </w:tcPr>
                <w:p>
                  <w:pPr>
                    <w:jc w:val="center"/>
                    <w:rPr>
                      <w:rFonts w:eastAsiaTheme="minorEastAsia"/>
                      <w:color w:val="auto"/>
                      <w:szCs w:val="21"/>
                    </w:rPr>
                  </w:pPr>
                  <w:r>
                    <w:rPr>
                      <w:rFonts w:eastAsiaTheme="minorEastAsia"/>
                      <w:bCs/>
                      <w:color w:val="auto"/>
                      <w:szCs w:val="21"/>
                    </w:rPr>
                    <w:t>0.001L</w:t>
                  </w:r>
                </w:p>
              </w:tc>
              <w:tc>
                <w:tcPr>
                  <w:tcW w:w="1134" w:type="dxa"/>
                  <w:vAlign w:val="center"/>
                </w:tcPr>
                <w:p>
                  <w:pPr>
                    <w:jc w:val="center"/>
                    <w:rPr>
                      <w:rFonts w:eastAsiaTheme="minorEastAsia"/>
                      <w:color w:val="auto"/>
                      <w:szCs w:val="21"/>
                    </w:rPr>
                  </w:pPr>
                  <w:r>
                    <w:rPr>
                      <w:rFonts w:eastAsiaTheme="minorEastAsia"/>
                      <w:bCs/>
                      <w:color w:val="auto"/>
                      <w:szCs w:val="21"/>
                    </w:rPr>
                    <w:t>0.001L</w:t>
                  </w:r>
                </w:p>
              </w:tc>
              <w:tc>
                <w:tcPr>
                  <w:tcW w:w="1134" w:type="dxa"/>
                  <w:vAlign w:val="center"/>
                </w:tcPr>
                <w:p>
                  <w:pPr>
                    <w:jc w:val="center"/>
                    <w:rPr>
                      <w:rFonts w:eastAsiaTheme="minorEastAsia"/>
                      <w:color w:val="auto"/>
                      <w:szCs w:val="21"/>
                    </w:rPr>
                  </w:pPr>
                  <w:r>
                    <w:rPr>
                      <w:rFonts w:eastAsiaTheme="minorEastAsia"/>
                      <w:bCs/>
                      <w:color w:val="auto"/>
                      <w:szCs w:val="21"/>
                    </w:rPr>
                    <w:t>0.001L</w:t>
                  </w:r>
                </w:p>
              </w:tc>
              <w:tc>
                <w:tcPr>
                  <w:tcW w:w="1134" w:type="dxa"/>
                  <w:vAlign w:val="center"/>
                </w:tcPr>
                <w:p>
                  <w:pPr>
                    <w:jc w:val="center"/>
                    <w:rPr>
                      <w:rFonts w:eastAsiaTheme="minorEastAsia"/>
                      <w:color w:val="auto"/>
                      <w:szCs w:val="21"/>
                    </w:rPr>
                  </w:pPr>
                  <w:r>
                    <w:rPr>
                      <w:rFonts w:eastAsiaTheme="minorEastAsia"/>
                      <w:bCs/>
                      <w:color w:val="auto"/>
                      <w:szCs w:val="21"/>
                    </w:rPr>
                    <w:t>0.001L</w:t>
                  </w:r>
                </w:p>
              </w:tc>
              <w:tc>
                <w:tcPr>
                  <w:tcW w:w="1134" w:type="dxa"/>
                  <w:vAlign w:val="center"/>
                </w:tcPr>
                <w:p>
                  <w:pPr>
                    <w:jc w:val="center"/>
                    <w:rPr>
                      <w:rFonts w:eastAsiaTheme="minorEastAsia"/>
                      <w:color w:val="auto"/>
                      <w:szCs w:val="21"/>
                    </w:rPr>
                  </w:pPr>
                  <w:r>
                    <w:rPr>
                      <w:rFonts w:eastAsiaTheme="minorEastAsia"/>
                      <w:bCs/>
                      <w:color w:val="auto"/>
                      <w:szCs w:val="21"/>
                    </w:rPr>
                    <w:t>0.001L</w:t>
                  </w:r>
                </w:p>
              </w:tc>
              <w:tc>
                <w:tcPr>
                  <w:tcW w:w="1164" w:type="dxa"/>
                  <w:vAlign w:val="center"/>
                </w:tcPr>
                <w:p>
                  <w:pPr>
                    <w:adjustRightInd w:val="0"/>
                    <w:snapToGrid w:val="0"/>
                    <w:jc w:val="center"/>
                    <w:rPr>
                      <w:rFonts w:eastAsiaTheme="minorEastAsia"/>
                      <w:bCs/>
                      <w:color w:val="auto"/>
                      <w:szCs w:val="21"/>
                    </w:rPr>
                  </w:pPr>
                  <w:r>
                    <w:rPr>
                      <w:rFonts w:eastAsiaTheme="minorEastAsia"/>
                      <w:color w:val="auto"/>
                      <w:szCs w:val="21"/>
                    </w:rPr>
                    <w:t>≤20.0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39" w:type="dxa"/>
                  <w:vAlign w:val="center"/>
                </w:tcPr>
                <w:p>
                  <w:pPr>
                    <w:adjustRightInd w:val="0"/>
                    <w:snapToGrid w:val="0"/>
                    <w:jc w:val="center"/>
                    <w:rPr>
                      <w:rFonts w:eastAsiaTheme="minorEastAsia"/>
                      <w:color w:val="auto"/>
                      <w:szCs w:val="21"/>
                    </w:rPr>
                  </w:pPr>
                  <w:r>
                    <w:rPr>
                      <w:rFonts w:eastAsiaTheme="minorEastAsia"/>
                      <w:color w:val="auto"/>
                      <w:szCs w:val="21"/>
                    </w:rPr>
                    <w:t>硝酸盐</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2.66</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1.45</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12.2</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2.67</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1.46</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12</w:t>
                  </w:r>
                </w:p>
              </w:tc>
              <w:tc>
                <w:tcPr>
                  <w:tcW w:w="1164" w:type="dxa"/>
                  <w:vAlign w:val="center"/>
                </w:tcPr>
                <w:p>
                  <w:pPr>
                    <w:adjustRightInd w:val="0"/>
                    <w:snapToGrid w:val="0"/>
                    <w:jc w:val="center"/>
                    <w:rPr>
                      <w:rFonts w:eastAsiaTheme="minorEastAsia"/>
                      <w:bCs/>
                      <w:color w:val="auto"/>
                      <w:szCs w:val="21"/>
                    </w:rPr>
                  </w:pPr>
                  <w:r>
                    <w:rPr>
                      <w:rFonts w:eastAsiaTheme="minorEastAsia"/>
                      <w:color w:val="auto"/>
                      <w:szCs w:val="21"/>
                    </w:rPr>
                    <w:t>≤0.05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39" w:type="dxa"/>
                  <w:vAlign w:val="center"/>
                </w:tcPr>
                <w:p>
                  <w:pPr>
                    <w:adjustRightInd w:val="0"/>
                    <w:snapToGrid w:val="0"/>
                    <w:jc w:val="center"/>
                    <w:rPr>
                      <w:rFonts w:eastAsiaTheme="minorEastAsia"/>
                      <w:color w:val="auto"/>
                      <w:szCs w:val="21"/>
                    </w:rPr>
                  </w:pPr>
                  <w:r>
                    <w:rPr>
                      <w:rFonts w:eastAsiaTheme="minorEastAsia"/>
                      <w:color w:val="auto"/>
                      <w:szCs w:val="21"/>
                    </w:rPr>
                    <w:t>氰化物</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0.004L</w:t>
                  </w:r>
                </w:p>
              </w:tc>
              <w:tc>
                <w:tcPr>
                  <w:tcW w:w="1134" w:type="dxa"/>
                  <w:vAlign w:val="center"/>
                </w:tcPr>
                <w:p>
                  <w:pPr>
                    <w:jc w:val="center"/>
                    <w:rPr>
                      <w:rFonts w:eastAsiaTheme="minorEastAsia"/>
                      <w:color w:val="auto"/>
                      <w:szCs w:val="21"/>
                    </w:rPr>
                  </w:pPr>
                  <w:r>
                    <w:rPr>
                      <w:rFonts w:eastAsiaTheme="minorEastAsia"/>
                      <w:bCs/>
                      <w:color w:val="auto"/>
                      <w:szCs w:val="21"/>
                    </w:rPr>
                    <w:t>0.004L</w:t>
                  </w:r>
                </w:p>
              </w:tc>
              <w:tc>
                <w:tcPr>
                  <w:tcW w:w="1134" w:type="dxa"/>
                  <w:vAlign w:val="center"/>
                </w:tcPr>
                <w:p>
                  <w:pPr>
                    <w:jc w:val="center"/>
                    <w:rPr>
                      <w:rFonts w:eastAsiaTheme="minorEastAsia"/>
                      <w:color w:val="auto"/>
                      <w:szCs w:val="21"/>
                    </w:rPr>
                  </w:pPr>
                  <w:r>
                    <w:rPr>
                      <w:rFonts w:eastAsiaTheme="minorEastAsia"/>
                      <w:bCs/>
                      <w:color w:val="auto"/>
                      <w:szCs w:val="21"/>
                    </w:rPr>
                    <w:t>0.004L</w:t>
                  </w:r>
                </w:p>
              </w:tc>
              <w:tc>
                <w:tcPr>
                  <w:tcW w:w="1134" w:type="dxa"/>
                  <w:vAlign w:val="center"/>
                </w:tcPr>
                <w:p>
                  <w:pPr>
                    <w:jc w:val="center"/>
                    <w:rPr>
                      <w:rFonts w:eastAsiaTheme="minorEastAsia"/>
                      <w:color w:val="auto"/>
                      <w:szCs w:val="21"/>
                    </w:rPr>
                  </w:pPr>
                  <w:r>
                    <w:rPr>
                      <w:rFonts w:eastAsiaTheme="minorEastAsia"/>
                      <w:bCs/>
                      <w:color w:val="auto"/>
                      <w:szCs w:val="21"/>
                    </w:rPr>
                    <w:t>0.004L</w:t>
                  </w:r>
                </w:p>
              </w:tc>
              <w:tc>
                <w:tcPr>
                  <w:tcW w:w="1134" w:type="dxa"/>
                  <w:vAlign w:val="center"/>
                </w:tcPr>
                <w:p>
                  <w:pPr>
                    <w:jc w:val="center"/>
                    <w:rPr>
                      <w:rFonts w:eastAsiaTheme="minorEastAsia"/>
                      <w:color w:val="auto"/>
                      <w:szCs w:val="21"/>
                    </w:rPr>
                  </w:pPr>
                  <w:r>
                    <w:rPr>
                      <w:rFonts w:eastAsiaTheme="minorEastAsia"/>
                      <w:bCs/>
                      <w:color w:val="auto"/>
                      <w:szCs w:val="21"/>
                    </w:rPr>
                    <w:t>0.004L</w:t>
                  </w:r>
                </w:p>
              </w:tc>
              <w:tc>
                <w:tcPr>
                  <w:tcW w:w="1134" w:type="dxa"/>
                  <w:vAlign w:val="center"/>
                </w:tcPr>
                <w:p>
                  <w:pPr>
                    <w:jc w:val="center"/>
                    <w:rPr>
                      <w:rFonts w:eastAsiaTheme="minorEastAsia"/>
                      <w:color w:val="auto"/>
                      <w:szCs w:val="21"/>
                    </w:rPr>
                  </w:pPr>
                  <w:r>
                    <w:rPr>
                      <w:rFonts w:eastAsiaTheme="minorEastAsia"/>
                      <w:bCs/>
                      <w:color w:val="auto"/>
                      <w:szCs w:val="21"/>
                    </w:rPr>
                    <w:t>0.004L</w:t>
                  </w:r>
                </w:p>
              </w:tc>
              <w:tc>
                <w:tcPr>
                  <w:tcW w:w="1164" w:type="dxa"/>
                  <w:vAlign w:val="center"/>
                </w:tcPr>
                <w:p>
                  <w:pPr>
                    <w:adjustRightInd w:val="0"/>
                    <w:snapToGrid w:val="0"/>
                    <w:jc w:val="center"/>
                    <w:rPr>
                      <w:rFonts w:eastAsiaTheme="minorEastAsia"/>
                      <w:bCs/>
                      <w:color w:val="auto"/>
                      <w:szCs w:val="21"/>
                    </w:rPr>
                  </w:pPr>
                  <w:r>
                    <w:rPr>
                      <w:rFonts w:eastAsiaTheme="minorEastAsia"/>
                      <w:color w:val="auto"/>
                      <w:szCs w:val="21"/>
                    </w:rPr>
                    <w:t>≤1.0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39" w:type="dxa"/>
                  <w:vAlign w:val="center"/>
                </w:tcPr>
                <w:p>
                  <w:pPr>
                    <w:adjustRightInd w:val="0"/>
                    <w:snapToGrid w:val="0"/>
                    <w:jc w:val="center"/>
                    <w:rPr>
                      <w:rFonts w:eastAsiaTheme="minorEastAsia"/>
                      <w:color w:val="auto"/>
                      <w:szCs w:val="21"/>
                    </w:rPr>
                  </w:pPr>
                  <w:r>
                    <w:rPr>
                      <w:rFonts w:eastAsiaTheme="minorEastAsia"/>
                      <w:color w:val="auto"/>
                      <w:szCs w:val="21"/>
                    </w:rPr>
                    <w:t>氟化物</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0.324</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0.336</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0.756</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0.315</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0.338</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0.654</w:t>
                  </w:r>
                </w:p>
              </w:tc>
              <w:tc>
                <w:tcPr>
                  <w:tcW w:w="1164" w:type="dxa"/>
                  <w:vAlign w:val="center"/>
                </w:tcPr>
                <w:p>
                  <w:pPr>
                    <w:adjustRightInd w:val="0"/>
                    <w:snapToGrid w:val="0"/>
                    <w:jc w:val="center"/>
                    <w:rPr>
                      <w:rFonts w:eastAsiaTheme="minorEastAsia"/>
                      <w:bCs/>
                      <w:color w:val="auto"/>
                      <w:szCs w:val="21"/>
                    </w:rPr>
                  </w:pPr>
                  <w:r>
                    <w:rPr>
                      <w:rFonts w:eastAsiaTheme="minorEastAsia"/>
                      <w:color w:val="auto"/>
                      <w:szCs w:val="21"/>
                    </w:rPr>
                    <w:t>≤0.001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39" w:type="dxa"/>
                  <w:vAlign w:val="center"/>
                </w:tcPr>
                <w:p>
                  <w:pPr>
                    <w:adjustRightInd w:val="0"/>
                    <w:snapToGrid w:val="0"/>
                    <w:jc w:val="center"/>
                    <w:rPr>
                      <w:rFonts w:eastAsiaTheme="minorEastAsia"/>
                      <w:color w:val="auto"/>
                      <w:szCs w:val="21"/>
                    </w:rPr>
                  </w:pPr>
                  <w:r>
                    <w:rPr>
                      <w:rFonts w:eastAsiaTheme="minorEastAsia"/>
                      <w:color w:val="auto"/>
                      <w:szCs w:val="21"/>
                    </w:rPr>
                    <w:t>汞</w:t>
                  </w:r>
                </w:p>
              </w:tc>
              <w:tc>
                <w:tcPr>
                  <w:tcW w:w="1134" w:type="dxa"/>
                  <w:vAlign w:val="center"/>
                </w:tcPr>
                <w:p>
                  <w:pPr>
                    <w:jc w:val="center"/>
                    <w:rPr>
                      <w:rFonts w:eastAsiaTheme="minorEastAsia"/>
                      <w:color w:val="auto"/>
                      <w:szCs w:val="21"/>
                    </w:rPr>
                  </w:pPr>
                  <w:r>
                    <w:rPr>
                      <w:rFonts w:eastAsiaTheme="minorEastAsia"/>
                      <w:color w:val="auto"/>
                      <w:szCs w:val="21"/>
                    </w:rPr>
                    <w:t>4</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34" w:type="dxa"/>
                  <w:vAlign w:val="center"/>
                </w:tcPr>
                <w:p>
                  <w:pPr>
                    <w:jc w:val="center"/>
                    <w:rPr>
                      <w:rFonts w:eastAsiaTheme="minorEastAsia"/>
                      <w:color w:val="auto"/>
                      <w:szCs w:val="21"/>
                    </w:rPr>
                  </w:pPr>
                  <w:r>
                    <w:rPr>
                      <w:rFonts w:eastAsiaTheme="minorEastAsia"/>
                      <w:color w:val="auto"/>
                      <w:szCs w:val="21"/>
                    </w:rPr>
                    <w:t>4</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34" w:type="dxa"/>
                  <w:vAlign w:val="center"/>
                </w:tcPr>
                <w:p>
                  <w:pPr>
                    <w:jc w:val="center"/>
                    <w:rPr>
                      <w:rFonts w:eastAsiaTheme="minorEastAsia"/>
                      <w:color w:val="auto"/>
                      <w:szCs w:val="21"/>
                    </w:rPr>
                  </w:pPr>
                  <w:r>
                    <w:rPr>
                      <w:rFonts w:eastAsiaTheme="minorEastAsia"/>
                      <w:color w:val="auto"/>
                      <w:szCs w:val="21"/>
                    </w:rPr>
                    <w:t>4</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34" w:type="dxa"/>
                  <w:vAlign w:val="center"/>
                </w:tcPr>
                <w:p>
                  <w:pPr>
                    <w:jc w:val="center"/>
                    <w:rPr>
                      <w:rFonts w:eastAsiaTheme="minorEastAsia"/>
                      <w:color w:val="auto"/>
                      <w:szCs w:val="21"/>
                    </w:rPr>
                  </w:pPr>
                  <w:r>
                    <w:rPr>
                      <w:rFonts w:eastAsiaTheme="minorEastAsia"/>
                      <w:color w:val="auto"/>
                      <w:szCs w:val="21"/>
                    </w:rPr>
                    <w:t>4</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34" w:type="dxa"/>
                  <w:vAlign w:val="center"/>
                </w:tcPr>
                <w:p>
                  <w:pPr>
                    <w:jc w:val="center"/>
                    <w:rPr>
                      <w:rFonts w:eastAsiaTheme="minorEastAsia"/>
                      <w:color w:val="auto"/>
                      <w:szCs w:val="21"/>
                    </w:rPr>
                  </w:pPr>
                  <w:r>
                    <w:rPr>
                      <w:rFonts w:eastAsiaTheme="minorEastAsia"/>
                      <w:color w:val="auto"/>
                      <w:szCs w:val="21"/>
                    </w:rPr>
                    <w:t>4</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34" w:type="dxa"/>
                  <w:vAlign w:val="center"/>
                </w:tcPr>
                <w:p>
                  <w:pPr>
                    <w:jc w:val="center"/>
                    <w:rPr>
                      <w:rFonts w:eastAsiaTheme="minorEastAsia"/>
                      <w:color w:val="auto"/>
                      <w:szCs w:val="21"/>
                    </w:rPr>
                  </w:pPr>
                  <w:r>
                    <w:rPr>
                      <w:rFonts w:eastAsiaTheme="minorEastAsia"/>
                      <w:color w:val="auto"/>
                      <w:szCs w:val="21"/>
                    </w:rPr>
                    <w:t>4</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64" w:type="dxa"/>
                  <w:vAlign w:val="center"/>
                </w:tcPr>
                <w:p>
                  <w:pPr>
                    <w:adjustRightInd w:val="0"/>
                    <w:snapToGrid w:val="0"/>
                    <w:jc w:val="center"/>
                    <w:rPr>
                      <w:rFonts w:eastAsiaTheme="minorEastAsia"/>
                      <w:bCs/>
                      <w:color w:val="auto"/>
                      <w:szCs w:val="21"/>
                    </w:rPr>
                  </w:pPr>
                  <w:r>
                    <w:rPr>
                      <w:rFonts w:eastAsiaTheme="minorEastAsia"/>
                      <w:color w:val="auto"/>
                      <w:szCs w:val="21"/>
                    </w:rPr>
                    <w:t>≤0.01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39" w:type="dxa"/>
                  <w:vAlign w:val="center"/>
                </w:tcPr>
                <w:p>
                  <w:pPr>
                    <w:adjustRightInd w:val="0"/>
                    <w:snapToGrid w:val="0"/>
                    <w:jc w:val="center"/>
                    <w:rPr>
                      <w:rFonts w:eastAsiaTheme="minorEastAsia"/>
                      <w:color w:val="auto"/>
                      <w:szCs w:val="21"/>
                    </w:rPr>
                  </w:pPr>
                  <w:r>
                    <w:rPr>
                      <w:rFonts w:eastAsiaTheme="minorEastAsia"/>
                      <w:color w:val="auto"/>
                      <w:szCs w:val="21"/>
                    </w:rPr>
                    <w:t>砷</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1.2</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-4</w:t>
                  </w:r>
                  <w:r>
                    <w:rPr>
                      <w:rFonts w:eastAsiaTheme="minorEastAsia"/>
                      <w:color w:val="auto"/>
                      <w:szCs w:val="21"/>
                    </w:rPr>
                    <w:t>L</w:t>
                  </w:r>
                </w:p>
              </w:tc>
              <w:tc>
                <w:tcPr>
                  <w:tcW w:w="1134" w:type="dxa"/>
                  <w:vAlign w:val="center"/>
                </w:tcPr>
                <w:p>
                  <w:pPr>
                    <w:jc w:val="center"/>
                    <w:rPr>
                      <w:rFonts w:eastAsiaTheme="minorEastAsia"/>
                      <w:color w:val="auto"/>
                      <w:szCs w:val="21"/>
                    </w:rPr>
                  </w:pPr>
                  <w:r>
                    <w:rPr>
                      <w:rFonts w:eastAsiaTheme="minorEastAsia"/>
                      <w:color w:val="auto"/>
                      <w:szCs w:val="21"/>
                    </w:rPr>
                    <w:t>1.2</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-4</w:t>
                  </w:r>
                  <w:r>
                    <w:rPr>
                      <w:rFonts w:eastAsiaTheme="minorEastAsia"/>
                      <w:color w:val="auto"/>
                      <w:szCs w:val="21"/>
                    </w:rPr>
                    <w:t>L</w:t>
                  </w:r>
                </w:p>
              </w:tc>
              <w:tc>
                <w:tcPr>
                  <w:tcW w:w="1134" w:type="dxa"/>
                  <w:vAlign w:val="center"/>
                </w:tcPr>
                <w:p>
                  <w:pPr>
                    <w:jc w:val="center"/>
                    <w:rPr>
                      <w:rFonts w:eastAsiaTheme="minorEastAsia"/>
                      <w:color w:val="auto"/>
                      <w:szCs w:val="21"/>
                    </w:rPr>
                  </w:pPr>
                  <w:r>
                    <w:rPr>
                      <w:rFonts w:eastAsiaTheme="minorEastAsia"/>
                      <w:color w:val="auto"/>
                      <w:szCs w:val="21"/>
                    </w:rPr>
                    <w:t>1.2</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-4</w:t>
                  </w:r>
                  <w:r>
                    <w:rPr>
                      <w:rFonts w:eastAsiaTheme="minorEastAsia"/>
                      <w:color w:val="auto"/>
                      <w:szCs w:val="21"/>
                    </w:rPr>
                    <w:t>L</w:t>
                  </w:r>
                </w:p>
              </w:tc>
              <w:tc>
                <w:tcPr>
                  <w:tcW w:w="1134" w:type="dxa"/>
                  <w:vAlign w:val="center"/>
                </w:tcPr>
                <w:p>
                  <w:pPr>
                    <w:jc w:val="center"/>
                    <w:rPr>
                      <w:rFonts w:eastAsiaTheme="minorEastAsia"/>
                      <w:color w:val="auto"/>
                      <w:szCs w:val="21"/>
                    </w:rPr>
                  </w:pPr>
                  <w:r>
                    <w:rPr>
                      <w:rFonts w:eastAsiaTheme="minorEastAsia"/>
                      <w:color w:val="auto"/>
                      <w:szCs w:val="21"/>
                    </w:rPr>
                    <w:t>1.2</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-4</w:t>
                  </w:r>
                  <w:r>
                    <w:rPr>
                      <w:rFonts w:eastAsiaTheme="minorEastAsia"/>
                      <w:color w:val="auto"/>
                      <w:szCs w:val="21"/>
                    </w:rPr>
                    <w:t>L</w:t>
                  </w:r>
                </w:p>
              </w:tc>
              <w:tc>
                <w:tcPr>
                  <w:tcW w:w="1134" w:type="dxa"/>
                  <w:vAlign w:val="center"/>
                </w:tcPr>
                <w:p>
                  <w:pPr>
                    <w:jc w:val="center"/>
                    <w:rPr>
                      <w:rFonts w:eastAsiaTheme="minorEastAsia"/>
                      <w:color w:val="auto"/>
                      <w:szCs w:val="21"/>
                    </w:rPr>
                  </w:pPr>
                  <w:r>
                    <w:rPr>
                      <w:rFonts w:eastAsiaTheme="minorEastAsia"/>
                      <w:color w:val="auto"/>
                      <w:szCs w:val="21"/>
                    </w:rPr>
                    <w:t>1.2</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-4</w:t>
                  </w:r>
                  <w:r>
                    <w:rPr>
                      <w:rFonts w:eastAsiaTheme="minorEastAsia"/>
                      <w:color w:val="auto"/>
                      <w:szCs w:val="21"/>
                    </w:rPr>
                    <w:t>L</w:t>
                  </w:r>
                </w:p>
              </w:tc>
              <w:tc>
                <w:tcPr>
                  <w:tcW w:w="1134" w:type="dxa"/>
                  <w:vAlign w:val="center"/>
                </w:tcPr>
                <w:p>
                  <w:pPr>
                    <w:jc w:val="center"/>
                    <w:rPr>
                      <w:rFonts w:eastAsiaTheme="minorEastAsia"/>
                      <w:color w:val="auto"/>
                      <w:szCs w:val="21"/>
                    </w:rPr>
                  </w:pPr>
                  <w:r>
                    <w:rPr>
                      <w:rFonts w:eastAsiaTheme="minorEastAsia"/>
                      <w:color w:val="auto"/>
                      <w:szCs w:val="21"/>
                    </w:rPr>
                    <w:t>1.2</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-4</w:t>
                  </w:r>
                  <w:r>
                    <w:rPr>
                      <w:rFonts w:eastAsiaTheme="minorEastAsia"/>
                      <w:color w:val="auto"/>
                      <w:szCs w:val="21"/>
                    </w:rPr>
                    <w:t>L</w:t>
                  </w:r>
                </w:p>
              </w:tc>
              <w:tc>
                <w:tcPr>
                  <w:tcW w:w="1164" w:type="dxa"/>
                  <w:vAlign w:val="center"/>
                </w:tcPr>
                <w:p>
                  <w:pPr>
                    <w:adjustRightInd w:val="0"/>
                    <w:snapToGrid w:val="0"/>
                    <w:jc w:val="center"/>
                    <w:rPr>
                      <w:rFonts w:eastAsiaTheme="minorEastAsia"/>
                      <w:bCs/>
                      <w:color w:val="auto"/>
                      <w:szCs w:val="21"/>
                    </w:rPr>
                  </w:pPr>
                  <w:r>
                    <w:rPr>
                      <w:rFonts w:eastAsiaTheme="minorEastAsia"/>
                      <w:color w:val="auto"/>
                      <w:szCs w:val="21"/>
                    </w:rPr>
                    <w:t>≤0.005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39" w:type="dxa"/>
                  <w:vAlign w:val="center"/>
                </w:tcPr>
                <w:p>
                  <w:pPr>
                    <w:adjustRightInd w:val="0"/>
                    <w:snapToGrid w:val="0"/>
                    <w:jc w:val="center"/>
                    <w:rPr>
                      <w:rFonts w:eastAsiaTheme="minorEastAsia"/>
                      <w:color w:val="auto"/>
                      <w:szCs w:val="21"/>
                    </w:rPr>
                  </w:pPr>
                  <w:r>
                    <w:rPr>
                      <w:rFonts w:eastAsiaTheme="minorEastAsia"/>
                      <w:color w:val="auto"/>
                      <w:szCs w:val="21"/>
                    </w:rPr>
                    <w:t>六价铬</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0.016</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0.036</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0.044</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0.022</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0.042</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0.041</w:t>
                  </w:r>
                </w:p>
              </w:tc>
              <w:tc>
                <w:tcPr>
                  <w:tcW w:w="1164" w:type="dxa"/>
                  <w:vAlign w:val="center"/>
                </w:tcPr>
                <w:p>
                  <w:pPr>
                    <w:adjustRightInd w:val="0"/>
                    <w:snapToGrid w:val="0"/>
                    <w:jc w:val="center"/>
                    <w:rPr>
                      <w:rFonts w:eastAsiaTheme="minorEastAsia"/>
                      <w:bCs/>
                      <w:color w:val="auto"/>
                      <w:szCs w:val="21"/>
                    </w:rPr>
                  </w:pPr>
                  <w:r>
                    <w:rPr>
                      <w:rFonts w:eastAsiaTheme="minorEastAsia"/>
                      <w:color w:val="auto"/>
                      <w:szCs w:val="21"/>
                    </w:rPr>
                    <w:t>≤0.05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39" w:type="dxa"/>
                  <w:vAlign w:val="center"/>
                </w:tcPr>
                <w:p>
                  <w:pPr>
                    <w:adjustRightInd w:val="0"/>
                    <w:snapToGrid w:val="0"/>
                    <w:jc w:val="center"/>
                    <w:rPr>
                      <w:rFonts w:eastAsiaTheme="minorEastAsia"/>
                      <w:color w:val="auto"/>
                      <w:szCs w:val="21"/>
                    </w:rPr>
                  </w:pPr>
                  <w:r>
                    <w:rPr>
                      <w:rFonts w:eastAsiaTheme="minorEastAsia"/>
                      <w:color w:val="auto"/>
                      <w:szCs w:val="21"/>
                    </w:rPr>
                    <w:t>铅</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9</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34" w:type="dxa"/>
                  <w:vAlign w:val="center"/>
                </w:tcPr>
                <w:p>
                  <w:pPr>
                    <w:jc w:val="center"/>
                    <w:rPr>
                      <w:rFonts w:eastAsiaTheme="minorEastAsia"/>
                      <w:color w:val="auto"/>
                      <w:szCs w:val="21"/>
                    </w:rPr>
                  </w:pPr>
                  <w:r>
                    <w:rPr>
                      <w:rFonts w:eastAsiaTheme="minorEastAsia"/>
                      <w:color w:val="auto"/>
                      <w:szCs w:val="21"/>
                    </w:rPr>
                    <w:t>9</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34" w:type="dxa"/>
                  <w:vAlign w:val="center"/>
                </w:tcPr>
                <w:p>
                  <w:pPr>
                    <w:jc w:val="center"/>
                    <w:rPr>
                      <w:rFonts w:eastAsiaTheme="minorEastAsia"/>
                      <w:color w:val="auto"/>
                      <w:szCs w:val="21"/>
                    </w:rPr>
                  </w:pPr>
                  <w:r>
                    <w:rPr>
                      <w:rFonts w:eastAsiaTheme="minorEastAsia"/>
                      <w:color w:val="auto"/>
                      <w:szCs w:val="21"/>
                    </w:rPr>
                    <w:t>9</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34" w:type="dxa"/>
                  <w:vAlign w:val="center"/>
                </w:tcPr>
                <w:p>
                  <w:pPr>
                    <w:jc w:val="center"/>
                    <w:rPr>
                      <w:rFonts w:eastAsiaTheme="minorEastAsia"/>
                      <w:color w:val="auto"/>
                      <w:szCs w:val="21"/>
                    </w:rPr>
                  </w:pPr>
                  <w:r>
                    <w:rPr>
                      <w:rFonts w:eastAsiaTheme="minorEastAsia"/>
                      <w:color w:val="auto"/>
                      <w:szCs w:val="21"/>
                    </w:rPr>
                    <w:t>9</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34" w:type="dxa"/>
                  <w:vAlign w:val="center"/>
                </w:tcPr>
                <w:p>
                  <w:pPr>
                    <w:jc w:val="center"/>
                    <w:rPr>
                      <w:rFonts w:eastAsiaTheme="minorEastAsia"/>
                      <w:color w:val="auto"/>
                      <w:szCs w:val="21"/>
                    </w:rPr>
                  </w:pPr>
                  <w:r>
                    <w:rPr>
                      <w:rFonts w:eastAsiaTheme="minorEastAsia"/>
                      <w:color w:val="auto"/>
                      <w:szCs w:val="21"/>
                    </w:rPr>
                    <w:t>9</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34" w:type="dxa"/>
                  <w:vAlign w:val="center"/>
                </w:tcPr>
                <w:p>
                  <w:pPr>
                    <w:jc w:val="center"/>
                    <w:rPr>
                      <w:rFonts w:eastAsiaTheme="minorEastAsia"/>
                      <w:color w:val="auto"/>
                      <w:szCs w:val="21"/>
                    </w:rPr>
                  </w:pPr>
                  <w:r>
                    <w:rPr>
                      <w:rFonts w:eastAsiaTheme="minorEastAsia"/>
                      <w:color w:val="auto"/>
                      <w:szCs w:val="21"/>
                    </w:rPr>
                    <w:t>9</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64" w:type="dxa"/>
                  <w:vAlign w:val="center"/>
                </w:tcPr>
                <w:p>
                  <w:pPr>
                    <w:adjustRightInd w:val="0"/>
                    <w:snapToGrid w:val="0"/>
                    <w:jc w:val="center"/>
                    <w:rPr>
                      <w:rFonts w:eastAsiaTheme="minorEastAsia"/>
                      <w:bCs/>
                      <w:color w:val="auto"/>
                      <w:szCs w:val="21"/>
                    </w:rPr>
                  </w:pPr>
                  <w:r>
                    <w:rPr>
                      <w:rFonts w:eastAsiaTheme="minorEastAsia"/>
                      <w:color w:val="auto"/>
                      <w:szCs w:val="21"/>
                    </w:rPr>
                    <w:t>≤0.01</w:t>
                  </w:r>
                </w:p>
              </w:tc>
            </w:tr>
          </w:tbl>
          <w:p>
            <w:pPr>
              <w:adjustRightInd w:val="0"/>
              <w:snapToGrid w:val="0"/>
              <w:spacing w:line="360" w:lineRule="auto"/>
              <w:ind w:firstLine="422" w:firstLineChars="200"/>
              <w:rPr>
                <w:rFonts w:eastAsiaTheme="minorEastAsia"/>
                <w:b/>
                <w:color w:val="auto"/>
              </w:rPr>
            </w:pPr>
            <w:r>
              <w:rPr>
                <w:rFonts w:eastAsiaTheme="minorEastAsia"/>
                <w:b/>
                <w:color w:val="auto"/>
              </w:rPr>
              <w:t>注：未检出时，一检出限加“L”表示。</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⑹</w:t>
            </w:r>
            <w:r>
              <w:rPr>
                <w:rFonts w:eastAsiaTheme="minorEastAsia"/>
                <w:color w:val="auto"/>
                <w:sz w:val="24"/>
              </w:rPr>
              <w:t>评价方法</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采用《地下水质量标准》（GB/T14848-2017）规定的单组分评价和综合评价方法。</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 1 \* GB3 </w:instrText>
            </w:r>
            <w:r>
              <w:rPr>
                <w:rFonts w:eastAsiaTheme="minorEastAsia"/>
                <w:color w:val="auto"/>
                <w:sz w:val="24"/>
              </w:rPr>
              <w:fldChar w:fldCharType="separate"/>
            </w:r>
            <w:r>
              <w:rPr>
                <w:rFonts w:hint="eastAsia" w:ascii="宋体" w:hAnsi="宋体" w:cs="宋体"/>
                <w:color w:val="auto"/>
                <w:sz w:val="24"/>
              </w:rPr>
              <w:t>①</w:t>
            </w:r>
            <w:r>
              <w:rPr>
                <w:rFonts w:eastAsiaTheme="minorEastAsia"/>
                <w:color w:val="auto"/>
                <w:sz w:val="24"/>
              </w:rPr>
              <w:fldChar w:fldCharType="end"/>
            </w:r>
            <w:r>
              <w:rPr>
                <w:rFonts w:eastAsiaTheme="minorEastAsia"/>
                <w:color w:val="auto"/>
                <w:sz w:val="24"/>
              </w:rPr>
              <w:t>一般水质因子</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一般水质因子采用单因子评价法</w:t>
            </w:r>
          </w:p>
          <w:p>
            <w:pPr>
              <w:adjustRightInd w:val="0"/>
              <w:snapToGrid w:val="0"/>
              <w:spacing w:line="360" w:lineRule="auto"/>
              <w:ind w:firstLine="480" w:firstLineChars="200"/>
              <w:jc w:val="center"/>
              <w:rPr>
                <w:rFonts w:eastAsiaTheme="minorEastAsia"/>
                <w:color w:val="auto"/>
                <w:sz w:val="24"/>
              </w:rPr>
            </w:pPr>
            <w:r>
              <w:rPr>
                <w:rFonts w:eastAsiaTheme="minorEastAsia"/>
                <w:color w:val="auto"/>
                <w:sz w:val="24"/>
              </w:rPr>
              <w:drawing>
                <wp:inline distT="0" distB="0" distL="0" distR="0">
                  <wp:extent cx="504825" cy="400050"/>
                  <wp:effectExtent l="19050" t="0" r="9525"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a:xfrm>
                            <a:off x="0" y="0"/>
                            <a:ext cx="504825" cy="400050"/>
                          </a:xfrm>
                          <a:prstGeom prst="rect">
                            <a:avLst/>
                          </a:prstGeom>
                          <a:noFill/>
                          <a:ln w="9525">
                            <a:noFill/>
                            <a:miter lim="800000"/>
                            <a:headEnd/>
                            <a:tailEnd/>
                          </a:ln>
                        </pic:spPr>
                      </pic:pic>
                    </a:graphicData>
                  </a:graphic>
                </wp:inline>
              </w:drawing>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式中：C</w:t>
            </w:r>
            <w:r>
              <w:rPr>
                <w:rFonts w:eastAsiaTheme="minorEastAsia"/>
                <w:color w:val="auto"/>
                <w:sz w:val="24"/>
                <w:vertAlign w:val="subscript"/>
              </w:rPr>
              <w:t>i</w:t>
            </w:r>
            <w:r>
              <w:rPr>
                <w:rFonts w:eastAsiaTheme="minorEastAsia"/>
                <w:color w:val="auto"/>
                <w:sz w:val="24"/>
              </w:rPr>
              <w:t>——第i个水质因子的监测浓度值，mg/L；</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 xml:space="preserve">      C</w:t>
            </w:r>
            <w:r>
              <w:rPr>
                <w:rFonts w:eastAsiaTheme="minorEastAsia"/>
                <w:color w:val="auto"/>
                <w:sz w:val="24"/>
                <w:vertAlign w:val="subscript"/>
              </w:rPr>
              <w:t>si</w:t>
            </w:r>
            <w:r>
              <w:rPr>
                <w:rFonts w:eastAsiaTheme="minorEastAsia"/>
                <w:color w:val="auto"/>
                <w:sz w:val="24"/>
              </w:rPr>
              <w:t>——第i个水质因子的标准浓度值，mg/L；</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 xml:space="preserve">      P</w:t>
            </w:r>
            <w:r>
              <w:rPr>
                <w:rFonts w:eastAsiaTheme="minorEastAsia"/>
                <w:color w:val="auto"/>
                <w:sz w:val="24"/>
                <w:vertAlign w:val="subscript"/>
              </w:rPr>
              <w:t>i</w:t>
            </w:r>
            <w:r>
              <w:rPr>
                <w:rFonts w:eastAsiaTheme="minorEastAsia"/>
                <w:color w:val="auto"/>
                <w:sz w:val="24"/>
              </w:rPr>
              <w:t>——第i个水质因子的标准指数，无量纲。</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 2 \* GB3 </w:instrText>
            </w:r>
            <w:r>
              <w:rPr>
                <w:rFonts w:eastAsiaTheme="minorEastAsia"/>
                <w:color w:val="auto"/>
                <w:sz w:val="24"/>
              </w:rPr>
              <w:fldChar w:fldCharType="separate"/>
            </w:r>
            <w:r>
              <w:rPr>
                <w:rFonts w:hint="eastAsia" w:ascii="宋体" w:hAnsi="宋体" w:cs="宋体"/>
                <w:color w:val="auto"/>
                <w:sz w:val="24"/>
              </w:rPr>
              <w:t>②</w:t>
            </w:r>
            <w:r>
              <w:rPr>
                <w:rFonts w:eastAsiaTheme="minorEastAsia"/>
                <w:color w:val="auto"/>
                <w:sz w:val="24"/>
              </w:rPr>
              <w:fldChar w:fldCharType="end"/>
            </w:r>
            <w:r>
              <w:rPr>
                <w:rFonts w:eastAsiaTheme="minorEastAsia"/>
                <w:color w:val="auto"/>
                <w:sz w:val="24"/>
              </w:rPr>
              <w:t>特殊水质因子</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地下水监测结果统计评价结果见表31。</w:t>
            </w:r>
          </w:p>
          <w:p>
            <w:pPr>
              <w:adjustRightInd w:val="0"/>
              <w:snapToGrid w:val="0"/>
              <w:spacing w:line="360" w:lineRule="auto"/>
              <w:ind w:firstLine="482" w:firstLineChars="200"/>
              <w:jc w:val="center"/>
              <w:rPr>
                <w:rFonts w:eastAsiaTheme="minorEastAsia"/>
                <w:b/>
                <w:color w:val="auto"/>
                <w:sz w:val="24"/>
              </w:rPr>
            </w:pPr>
            <w:r>
              <w:rPr>
                <w:rFonts w:eastAsiaTheme="minorEastAsia"/>
                <w:b/>
                <w:color w:val="auto"/>
                <w:sz w:val="24"/>
              </w:rPr>
              <w:t>表31地下水环境质量现状监测结果汇总表</w:t>
            </w:r>
          </w:p>
          <w:p>
            <w:pPr>
              <w:adjustRightInd w:val="0"/>
              <w:snapToGrid w:val="0"/>
              <w:spacing w:line="360" w:lineRule="auto"/>
              <w:ind w:firstLine="422" w:firstLineChars="200"/>
              <w:jc w:val="right"/>
              <w:rPr>
                <w:rFonts w:eastAsiaTheme="minorEastAsia"/>
                <w:b/>
                <w:color w:val="auto"/>
              </w:rPr>
            </w:pPr>
            <w:r>
              <w:rPr>
                <w:rFonts w:eastAsiaTheme="minorEastAsia"/>
                <w:b/>
                <w:color w:val="auto"/>
              </w:rPr>
              <w:t>单位：mg/L（pH、总大肠菌群、细菌总数除外）</w:t>
            </w:r>
          </w:p>
          <w:tbl>
            <w:tblPr>
              <w:tblStyle w:val="38"/>
              <w:tblW w:w="8907"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514"/>
              <w:gridCol w:w="1559"/>
              <w:gridCol w:w="1276"/>
              <w:gridCol w:w="1275"/>
              <w:gridCol w:w="1134"/>
              <w:gridCol w:w="851"/>
              <w:gridCol w:w="850"/>
              <w:gridCol w:w="1448"/>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restart"/>
                  <w:vAlign w:val="center"/>
                </w:tcPr>
                <w:p>
                  <w:pPr>
                    <w:adjustRightInd w:val="0"/>
                    <w:snapToGrid w:val="0"/>
                    <w:jc w:val="center"/>
                    <w:rPr>
                      <w:rFonts w:eastAsiaTheme="minorEastAsia"/>
                      <w:color w:val="auto"/>
                      <w:szCs w:val="21"/>
                    </w:rPr>
                  </w:pPr>
                  <w:r>
                    <w:rPr>
                      <w:rFonts w:eastAsiaTheme="minorEastAsia"/>
                      <w:color w:val="auto"/>
                      <w:szCs w:val="21"/>
                    </w:rPr>
                    <w:t>检测点位</w:t>
                  </w:r>
                </w:p>
              </w:tc>
              <w:tc>
                <w:tcPr>
                  <w:tcW w:w="1559" w:type="dxa"/>
                  <w:vMerge w:val="restart"/>
                  <w:vAlign w:val="center"/>
                </w:tcPr>
                <w:p>
                  <w:pPr>
                    <w:adjustRightInd w:val="0"/>
                    <w:snapToGrid w:val="0"/>
                    <w:jc w:val="center"/>
                    <w:rPr>
                      <w:rFonts w:eastAsiaTheme="minorEastAsia"/>
                      <w:color w:val="auto"/>
                      <w:szCs w:val="21"/>
                    </w:rPr>
                  </w:pPr>
                  <w:r>
                    <w:rPr>
                      <w:rFonts w:eastAsiaTheme="minorEastAsia"/>
                      <w:color w:val="auto"/>
                      <w:szCs w:val="21"/>
                    </w:rPr>
                    <w:t>检测项目</w:t>
                  </w:r>
                </w:p>
              </w:tc>
              <w:tc>
                <w:tcPr>
                  <w:tcW w:w="2551" w:type="dxa"/>
                  <w:gridSpan w:val="2"/>
                  <w:vAlign w:val="center"/>
                </w:tcPr>
                <w:p>
                  <w:pPr>
                    <w:adjustRightInd w:val="0"/>
                    <w:snapToGrid w:val="0"/>
                    <w:jc w:val="center"/>
                    <w:rPr>
                      <w:rFonts w:eastAsiaTheme="minorEastAsia"/>
                      <w:color w:val="auto"/>
                      <w:szCs w:val="21"/>
                    </w:rPr>
                  </w:pPr>
                  <w:r>
                    <w:rPr>
                      <w:rFonts w:eastAsiaTheme="minorEastAsia"/>
                      <w:color w:val="auto"/>
                      <w:szCs w:val="21"/>
                    </w:rPr>
                    <w:t>指数</w:t>
                  </w:r>
                </w:p>
              </w:tc>
              <w:tc>
                <w:tcPr>
                  <w:tcW w:w="1134" w:type="dxa"/>
                  <w:vMerge w:val="restart"/>
                </w:tcPr>
                <w:p>
                  <w:pPr>
                    <w:adjustRightInd w:val="0"/>
                    <w:snapToGrid w:val="0"/>
                    <w:jc w:val="center"/>
                    <w:rPr>
                      <w:rFonts w:eastAsiaTheme="minorEastAsia"/>
                      <w:color w:val="auto"/>
                      <w:szCs w:val="21"/>
                    </w:rPr>
                  </w:pPr>
                  <w:r>
                    <w:rPr>
                      <w:rFonts w:eastAsiaTheme="minorEastAsia"/>
                      <w:color w:val="auto"/>
                      <w:szCs w:val="21"/>
                    </w:rPr>
                    <w:t>标准限值</w:t>
                  </w:r>
                </w:p>
              </w:tc>
              <w:tc>
                <w:tcPr>
                  <w:tcW w:w="851" w:type="dxa"/>
                  <w:vMerge w:val="restart"/>
                  <w:vAlign w:val="center"/>
                </w:tcPr>
                <w:p>
                  <w:pPr>
                    <w:adjustRightInd w:val="0"/>
                    <w:snapToGrid w:val="0"/>
                    <w:jc w:val="center"/>
                    <w:rPr>
                      <w:rFonts w:eastAsiaTheme="minorEastAsia"/>
                      <w:color w:val="auto"/>
                      <w:szCs w:val="21"/>
                    </w:rPr>
                  </w:pPr>
                  <w:r>
                    <w:rPr>
                      <w:rFonts w:eastAsiaTheme="minorEastAsia"/>
                      <w:color w:val="auto"/>
                      <w:szCs w:val="21"/>
                    </w:rPr>
                    <w:t>超标数</w:t>
                  </w:r>
                </w:p>
              </w:tc>
              <w:tc>
                <w:tcPr>
                  <w:tcW w:w="850" w:type="dxa"/>
                  <w:vMerge w:val="restart"/>
                  <w:vAlign w:val="center"/>
                </w:tcPr>
                <w:p>
                  <w:pPr>
                    <w:adjustRightInd w:val="0"/>
                    <w:snapToGrid w:val="0"/>
                    <w:jc w:val="center"/>
                    <w:rPr>
                      <w:rFonts w:eastAsiaTheme="minorEastAsia"/>
                      <w:color w:val="auto"/>
                      <w:szCs w:val="21"/>
                    </w:rPr>
                  </w:pPr>
                  <w:r>
                    <w:rPr>
                      <w:rFonts w:eastAsiaTheme="minorEastAsia"/>
                      <w:color w:val="auto"/>
                      <w:szCs w:val="21"/>
                    </w:rPr>
                    <w:t>超标率</w:t>
                  </w:r>
                </w:p>
              </w:tc>
              <w:tc>
                <w:tcPr>
                  <w:tcW w:w="1448" w:type="dxa"/>
                  <w:vMerge w:val="restart"/>
                  <w:vAlign w:val="center"/>
                </w:tcPr>
                <w:p>
                  <w:pPr>
                    <w:adjustRightInd w:val="0"/>
                    <w:snapToGrid w:val="0"/>
                    <w:jc w:val="center"/>
                    <w:rPr>
                      <w:rFonts w:eastAsiaTheme="minorEastAsia"/>
                      <w:color w:val="auto"/>
                      <w:szCs w:val="21"/>
                    </w:rPr>
                  </w:pPr>
                  <w:r>
                    <w:rPr>
                      <w:rFonts w:eastAsiaTheme="minorEastAsia"/>
                      <w:color w:val="auto"/>
                      <w:szCs w:val="21"/>
                    </w:rPr>
                    <w:t>最大超标倍数</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Merge w:val="continue"/>
                  <w:vAlign w:val="center"/>
                </w:tcPr>
                <w:p>
                  <w:pPr>
                    <w:adjustRightInd w:val="0"/>
                    <w:snapToGrid w:val="0"/>
                    <w:jc w:val="center"/>
                    <w:rPr>
                      <w:rFonts w:eastAsiaTheme="minorEastAsia"/>
                      <w:color w:val="auto"/>
                      <w:szCs w:val="21"/>
                    </w:rPr>
                  </w:pPr>
                </w:p>
              </w:tc>
              <w:tc>
                <w:tcPr>
                  <w:tcW w:w="1276" w:type="dxa"/>
                  <w:vAlign w:val="center"/>
                </w:tcPr>
                <w:p>
                  <w:pPr>
                    <w:adjustRightInd w:val="0"/>
                    <w:snapToGrid w:val="0"/>
                    <w:jc w:val="center"/>
                    <w:rPr>
                      <w:rFonts w:eastAsiaTheme="minorEastAsia"/>
                      <w:color w:val="auto"/>
                      <w:szCs w:val="21"/>
                    </w:rPr>
                  </w:pPr>
                  <w:r>
                    <w:rPr>
                      <w:rFonts w:eastAsiaTheme="minorEastAsia"/>
                      <w:color w:val="auto"/>
                      <w:szCs w:val="21"/>
                    </w:rPr>
                    <w:t>2019.02.20</w:t>
                  </w:r>
                </w:p>
              </w:tc>
              <w:tc>
                <w:tcPr>
                  <w:tcW w:w="1275" w:type="dxa"/>
                  <w:vAlign w:val="center"/>
                </w:tcPr>
                <w:p>
                  <w:pPr>
                    <w:adjustRightInd w:val="0"/>
                    <w:snapToGrid w:val="0"/>
                    <w:jc w:val="center"/>
                    <w:rPr>
                      <w:rFonts w:eastAsiaTheme="minorEastAsia"/>
                      <w:color w:val="auto"/>
                      <w:szCs w:val="21"/>
                    </w:rPr>
                  </w:pPr>
                  <w:r>
                    <w:rPr>
                      <w:rFonts w:eastAsiaTheme="minorEastAsia"/>
                      <w:color w:val="auto"/>
                      <w:szCs w:val="21"/>
                    </w:rPr>
                    <w:t>2019.02.21</w:t>
                  </w:r>
                </w:p>
              </w:tc>
              <w:tc>
                <w:tcPr>
                  <w:tcW w:w="1134" w:type="dxa"/>
                  <w:vMerge w:val="continue"/>
                </w:tcPr>
                <w:p>
                  <w:pPr>
                    <w:adjustRightInd w:val="0"/>
                    <w:snapToGrid w:val="0"/>
                    <w:jc w:val="center"/>
                    <w:rPr>
                      <w:rFonts w:eastAsiaTheme="minorEastAsia"/>
                      <w:color w:val="auto"/>
                      <w:szCs w:val="21"/>
                    </w:rPr>
                  </w:pPr>
                </w:p>
              </w:tc>
              <w:tc>
                <w:tcPr>
                  <w:tcW w:w="851" w:type="dxa"/>
                  <w:vMerge w:val="continue"/>
                  <w:vAlign w:val="center"/>
                </w:tcPr>
                <w:p>
                  <w:pPr>
                    <w:adjustRightInd w:val="0"/>
                    <w:snapToGrid w:val="0"/>
                    <w:jc w:val="center"/>
                    <w:rPr>
                      <w:rFonts w:eastAsiaTheme="minorEastAsia"/>
                      <w:color w:val="auto"/>
                      <w:szCs w:val="21"/>
                    </w:rPr>
                  </w:pPr>
                </w:p>
              </w:tc>
              <w:tc>
                <w:tcPr>
                  <w:tcW w:w="850" w:type="dxa"/>
                  <w:vMerge w:val="continue"/>
                  <w:vAlign w:val="center"/>
                </w:tcPr>
                <w:p>
                  <w:pPr>
                    <w:adjustRightInd w:val="0"/>
                    <w:snapToGrid w:val="0"/>
                    <w:jc w:val="center"/>
                    <w:rPr>
                      <w:rFonts w:eastAsiaTheme="minorEastAsia"/>
                      <w:color w:val="auto"/>
                      <w:szCs w:val="21"/>
                    </w:rPr>
                  </w:pPr>
                </w:p>
              </w:tc>
              <w:tc>
                <w:tcPr>
                  <w:tcW w:w="1448" w:type="dxa"/>
                  <w:vMerge w:val="continue"/>
                  <w:vAlign w:val="center"/>
                </w:tcPr>
                <w:p>
                  <w:pPr>
                    <w:adjustRightInd w:val="0"/>
                    <w:snapToGrid w:val="0"/>
                    <w:jc w:val="center"/>
                    <w:rPr>
                      <w:rFonts w:eastAsiaTheme="min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37" w:hRule="atLeast"/>
                <w:tblHeader/>
                <w:jc w:val="center"/>
              </w:trPr>
              <w:tc>
                <w:tcPr>
                  <w:tcW w:w="514" w:type="dxa"/>
                  <w:vMerge w:val="restart"/>
                  <w:vAlign w:val="center"/>
                </w:tcPr>
                <w:p>
                  <w:pPr>
                    <w:adjustRightInd w:val="0"/>
                    <w:snapToGrid w:val="0"/>
                    <w:jc w:val="center"/>
                    <w:rPr>
                      <w:rFonts w:eastAsiaTheme="minorEastAsia"/>
                      <w:color w:val="auto"/>
                      <w:szCs w:val="21"/>
                    </w:rPr>
                  </w:pPr>
                  <w:r>
                    <w:rPr>
                      <w:rFonts w:eastAsiaTheme="minorEastAsia"/>
                      <w:color w:val="auto"/>
                      <w:szCs w:val="21"/>
                    </w:rPr>
                    <w:t>金村乡</w:t>
                  </w:r>
                </w:p>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pH（无量纲）</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7.79</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7.92</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6.5~8.5</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总硬度</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188</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185</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≤450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溶解性总固体</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248</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242</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≤1000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硫酸盐</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1.08</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1.17</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≤250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氯化物</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2.44</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2.76</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≤250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铁</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0.03L</w:t>
                  </w:r>
                </w:p>
              </w:tc>
              <w:tc>
                <w:tcPr>
                  <w:tcW w:w="1275" w:type="dxa"/>
                  <w:vAlign w:val="center"/>
                </w:tcPr>
                <w:p>
                  <w:pPr>
                    <w:jc w:val="center"/>
                    <w:rPr>
                      <w:rFonts w:eastAsiaTheme="minorEastAsia"/>
                      <w:color w:val="auto"/>
                      <w:szCs w:val="21"/>
                    </w:rPr>
                  </w:pPr>
                  <w:r>
                    <w:rPr>
                      <w:rFonts w:eastAsiaTheme="minorEastAsia"/>
                      <w:bCs/>
                      <w:color w:val="auto"/>
                      <w:szCs w:val="21"/>
                    </w:rPr>
                    <w:t>0.03L</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≤0.3</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锰</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0.01L</w:t>
                  </w:r>
                </w:p>
              </w:tc>
              <w:tc>
                <w:tcPr>
                  <w:tcW w:w="1275" w:type="dxa"/>
                  <w:vAlign w:val="center"/>
                </w:tcPr>
                <w:p>
                  <w:pPr>
                    <w:jc w:val="center"/>
                    <w:rPr>
                      <w:rFonts w:eastAsiaTheme="minorEastAsia"/>
                      <w:color w:val="auto"/>
                      <w:szCs w:val="21"/>
                    </w:rPr>
                  </w:pPr>
                  <w:r>
                    <w:rPr>
                      <w:rFonts w:eastAsiaTheme="minorEastAsia"/>
                      <w:bCs/>
                      <w:color w:val="auto"/>
                      <w:szCs w:val="21"/>
                    </w:rPr>
                    <w:t>0.01L</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≤0.10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挥发性酚类</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0.0003L</w:t>
                  </w:r>
                </w:p>
              </w:tc>
              <w:tc>
                <w:tcPr>
                  <w:tcW w:w="1275" w:type="dxa"/>
                  <w:vAlign w:val="center"/>
                </w:tcPr>
                <w:p>
                  <w:pPr>
                    <w:jc w:val="center"/>
                    <w:rPr>
                      <w:rFonts w:eastAsiaTheme="minorEastAsia"/>
                      <w:color w:val="auto"/>
                      <w:szCs w:val="21"/>
                    </w:rPr>
                  </w:pPr>
                  <w:r>
                    <w:rPr>
                      <w:rFonts w:eastAsiaTheme="minorEastAsia"/>
                      <w:bCs/>
                      <w:color w:val="auto"/>
                      <w:szCs w:val="21"/>
                    </w:rPr>
                    <w:t>0.0003L</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≤0.002</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耗氧量</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0.650</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0.670</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≤3.0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氨氮</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0.117</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0.362</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≤0.50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总大肠菌群</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未检出</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5</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≤3.0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1</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50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1.67</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菌落总数</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15</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24</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≤100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亚硝酸盐</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0.001L</w:t>
                  </w:r>
                </w:p>
              </w:tc>
              <w:tc>
                <w:tcPr>
                  <w:tcW w:w="1275" w:type="dxa"/>
                  <w:vAlign w:val="center"/>
                </w:tcPr>
                <w:p>
                  <w:pPr>
                    <w:jc w:val="center"/>
                    <w:rPr>
                      <w:rFonts w:eastAsiaTheme="minorEastAsia"/>
                      <w:color w:val="auto"/>
                      <w:szCs w:val="21"/>
                    </w:rPr>
                  </w:pPr>
                  <w:r>
                    <w:rPr>
                      <w:rFonts w:eastAsiaTheme="minorEastAsia"/>
                      <w:bCs/>
                      <w:color w:val="auto"/>
                      <w:szCs w:val="21"/>
                    </w:rPr>
                    <w:t>0.001L</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≤20.0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硝酸盐</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2.66</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2.67</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≤0.05</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氰化物</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0.004L</w:t>
                  </w:r>
                </w:p>
              </w:tc>
              <w:tc>
                <w:tcPr>
                  <w:tcW w:w="1275" w:type="dxa"/>
                  <w:vAlign w:val="center"/>
                </w:tcPr>
                <w:p>
                  <w:pPr>
                    <w:jc w:val="center"/>
                    <w:rPr>
                      <w:rFonts w:eastAsiaTheme="minorEastAsia"/>
                      <w:color w:val="auto"/>
                      <w:szCs w:val="21"/>
                    </w:rPr>
                  </w:pPr>
                  <w:r>
                    <w:rPr>
                      <w:rFonts w:eastAsiaTheme="minorEastAsia"/>
                      <w:bCs/>
                      <w:color w:val="auto"/>
                      <w:szCs w:val="21"/>
                    </w:rPr>
                    <w:t>0.004L</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≤1.0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氟化物</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0.324</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0.315</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≤0.001</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汞</w:t>
                  </w:r>
                </w:p>
              </w:tc>
              <w:tc>
                <w:tcPr>
                  <w:tcW w:w="1276" w:type="dxa"/>
                  <w:vAlign w:val="center"/>
                </w:tcPr>
                <w:p>
                  <w:pPr>
                    <w:jc w:val="center"/>
                    <w:rPr>
                      <w:rFonts w:eastAsiaTheme="minorEastAsia"/>
                      <w:color w:val="auto"/>
                      <w:szCs w:val="21"/>
                    </w:rPr>
                  </w:pPr>
                  <w:r>
                    <w:rPr>
                      <w:rFonts w:eastAsiaTheme="minorEastAsia"/>
                      <w:color w:val="auto"/>
                      <w:szCs w:val="21"/>
                    </w:rPr>
                    <w:t>4</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275" w:type="dxa"/>
                  <w:vAlign w:val="center"/>
                </w:tcPr>
                <w:p>
                  <w:pPr>
                    <w:jc w:val="center"/>
                    <w:rPr>
                      <w:rFonts w:eastAsiaTheme="minorEastAsia"/>
                      <w:color w:val="auto"/>
                      <w:szCs w:val="21"/>
                    </w:rPr>
                  </w:pPr>
                  <w:r>
                    <w:rPr>
                      <w:rFonts w:eastAsiaTheme="minorEastAsia"/>
                      <w:color w:val="auto"/>
                      <w:szCs w:val="21"/>
                    </w:rPr>
                    <w:t>4</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≤0.01</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砷</w:t>
                  </w:r>
                </w:p>
              </w:tc>
              <w:tc>
                <w:tcPr>
                  <w:tcW w:w="1276" w:type="dxa"/>
                  <w:vAlign w:val="center"/>
                </w:tcPr>
                <w:p>
                  <w:pPr>
                    <w:adjustRightInd w:val="0"/>
                    <w:snapToGrid w:val="0"/>
                    <w:jc w:val="center"/>
                    <w:rPr>
                      <w:rFonts w:eastAsiaTheme="minorEastAsia"/>
                      <w:bCs/>
                      <w:color w:val="auto"/>
                      <w:szCs w:val="21"/>
                    </w:rPr>
                  </w:pPr>
                  <w:r>
                    <w:rPr>
                      <w:rFonts w:eastAsiaTheme="minorEastAsia"/>
                      <w:color w:val="auto"/>
                      <w:szCs w:val="21"/>
                    </w:rPr>
                    <w:t>1.2</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-4</w:t>
                  </w:r>
                  <w:r>
                    <w:rPr>
                      <w:rFonts w:eastAsiaTheme="minorEastAsia"/>
                      <w:color w:val="auto"/>
                      <w:szCs w:val="21"/>
                    </w:rPr>
                    <w:t>L</w:t>
                  </w:r>
                </w:p>
              </w:tc>
              <w:tc>
                <w:tcPr>
                  <w:tcW w:w="1275" w:type="dxa"/>
                  <w:vAlign w:val="center"/>
                </w:tcPr>
                <w:p>
                  <w:pPr>
                    <w:jc w:val="center"/>
                    <w:rPr>
                      <w:rFonts w:eastAsiaTheme="minorEastAsia"/>
                      <w:color w:val="auto"/>
                      <w:szCs w:val="21"/>
                    </w:rPr>
                  </w:pPr>
                  <w:r>
                    <w:rPr>
                      <w:rFonts w:eastAsiaTheme="minorEastAsia"/>
                      <w:color w:val="auto"/>
                      <w:szCs w:val="21"/>
                    </w:rPr>
                    <w:t>1.2</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-4</w:t>
                  </w:r>
                  <w:r>
                    <w:rPr>
                      <w:rFonts w:eastAsiaTheme="minorEastAsia"/>
                      <w:color w:val="auto"/>
                      <w:szCs w:val="21"/>
                    </w:rPr>
                    <w:t>L</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≤0.005</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六价铬</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0.016</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0.022</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≤0.05</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铅</w:t>
                  </w:r>
                </w:p>
              </w:tc>
              <w:tc>
                <w:tcPr>
                  <w:tcW w:w="1276" w:type="dxa"/>
                  <w:vAlign w:val="center"/>
                </w:tcPr>
                <w:p>
                  <w:pPr>
                    <w:adjustRightInd w:val="0"/>
                    <w:snapToGrid w:val="0"/>
                    <w:jc w:val="center"/>
                    <w:rPr>
                      <w:rFonts w:eastAsiaTheme="minorEastAsia"/>
                      <w:bCs/>
                      <w:color w:val="auto"/>
                      <w:szCs w:val="21"/>
                    </w:rPr>
                  </w:pPr>
                  <w:r>
                    <w:rPr>
                      <w:rFonts w:eastAsiaTheme="minorEastAsia"/>
                      <w:color w:val="auto"/>
                      <w:szCs w:val="21"/>
                    </w:rPr>
                    <w:t>9</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275" w:type="dxa"/>
                  <w:vAlign w:val="center"/>
                </w:tcPr>
                <w:p>
                  <w:pPr>
                    <w:jc w:val="center"/>
                    <w:rPr>
                      <w:rFonts w:eastAsiaTheme="minorEastAsia"/>
                      <w:color w:val="auto"/>
                      <w:szCs w:val="21"/>
                    </w:rPr>
                  </w:pPr>
                  <w:r>
                    <w:rPr>
                      <w:rFonts w:eastAsiaTheme="minorEastAsia"/>
                      <w:color w:val="auto"/>
                      <w:szCs w:val="21"/>
                    </w:rPr>
                    <w:t>9</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≤0.01</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75" w:hRule="atLeast"/>
                <w:tblHeader/>
                <w:jc w:val="center"/>
              </w:trPr>
              <w:tc>
                <w:tcPr>
                  <w:tcW w:w="514" w:type="dxa"/>
                  <w:vMerge w:val="restart"/>
                  <w:vAlign w:val="center"/>
                </w:tcPr>
                <w:p>
                  <w:pPr>
                    <w:adjustRightInd w:val="0"/>
                    <w:snapToGrid w:val="0"/>
                    <w:jc w:val="center"/>
                    <w:rPr>
                      <w:rFonts w:eastAsiaTheme="minorEastAsia"/>
                      <w:color w:val="auto"/>
                      <w:szCs w:val="21"/>
                    </w:rPr>
                  </w:pPr>
                  <w:r>
                    <w:rPr>
                      <w:rFonts w:eastAsiaTheme="minorEastAsia"/>
                      <w:snapToGrid w:val="0"/>
                      <w:color w:val="auto"/>
                      <w:kern w:val="0"/>
                      <w:szCs w:val="21"/>
                    </w:rPr>
                    <w:t>鲁家源</w:t>
                  </w:r>
                </w:p>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pH（无量纲）</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7.90</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7.97</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6.5~8.5</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总硬度</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160</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160</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≤450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溶解性总固体</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285</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289</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≤1000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硫酸盐</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0.836</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0.587</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≤250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氯化物</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2.31</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2.36</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≤250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铁</w:t>
                  </w:r>
                </w:p>
              </w:tc>
              <w:tc>
                <w:tcPr>
                  <w:tcW w:w="1276" w:type="dxa"/>
                  <w:vAlign w:val="center"/>
                </w:tcPr>
                <w:p>
                  <w:pPr>
                    <w:jc w:val="center"/>
                    <w:rPr>
                      <w:rFonts w:eastAsiaTheme="minorEastAsia"/>
                      <w:color w:val="auto"/>
                      <w:szCs w:val="21"/>
                    </w:rPr>
                  </w:pPr>
                  <w:r>
                    <w:rPr>
                      <w:rFonts w:eastAsiaTheme="minorEastAsia"/>
                      <w:bCs/>
                      <w:color w:val="auto"/>
                      <w:szCs w:val="21"/>
                    </w:rPr>
                    <w:t>0.03L</w:t>
                  </w:r>
                </w:p>
              </w:tc>
              <w:tc>
                <w:tcPr>
                  <w:tcW w:w="1275" w:type="dxa"/>
                  <w:vAlign w:val="center"/>
                </w:tcPr>
                <w:p>
                  <w:pPr>
                    <w:jc w:val="center"/>
                    <w:rPr>
                      <w:rFonts w:eastAsiaTheme="minorEastAsia"/>
                      <w:color w:val="auto"/>
                      <w:szCs w:val="21"/>
                    </w:rPr>
                  </w:pPr>
                  <w:r>
                    <w:rPr>
                      <w:rFonts w:eastAsiaTheme="minorEastAsia"/>
                      <w:bCs/>
                      <w:color w:val="auto"/>
                      <w:szCs w:val="21"/>
                    </w:rPr>
                    <w:t>0.03L</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≤0.3</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锰</w:t>
                  </w:r>
                </w:p>
              </w:tc>
              <w:tc>
                <w:tcPr>
                  <w:tcW w:w="1276" w:type="dxa"/>
                  <w:vAlign w:val="center"/>
                </w:tcPr>
                <w:p>
                  <w:pPr>
                    <w:jc w:val="center"/>
                    <w:rPr>
                      <w:rFonts w:eastAsiaTheme="minorEastAsia"/>
                      <w:color w:val="auto"/>
                      <w:szCs w:val="21"/>
                    </w:rPr>
                  </w:pPr>
                  <w:r>
                    <w:rPr>
                      <w:rFonts w:eastAsiaTheme="minorEastAsia"/>
                      <w:bCs/>
                      <w:color w:val="auto"/>
                      <w:szCs w:val="21"/>
                    </w:rPr>
                    <w:t>0.01L</w:t>
                  </w:r>
                </w:p>
              </w:tc>
              <w:tc>
                <w:tcPr>
                  <w:tcW w:w="1275" w:type="dxa"/>
                  <w:vAlign w:val="center"/>
                </w:tcPr>
                <w:p>
                  <w:pPr>
                    <w:jc w:val="center"/>
                    <w:rPr>
                      <w:rFonts w:eastAsiaTheme="minorEastAsia"/>
                      <w:color w:val="auto"/>
                      <w:szCs w:val="21"/>
                    </w:rPr>
                  </w:pPr>
                  <w:r>
                    <w:rPr>
                      <w:rFonts w:eastAsiaTheme="minorEastAsia"/>
                      <w:bCs/>
                      <w:color w:val="auto"/>
                      <w:szCs w:val="21"/>
                    </w:rPr>
                    <w:t>0.01L</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≤0.10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挥发性酚类</w:t>
                  </w:r>
                </w:p>
              </w:tc>
              <w:tc>
                <w:tcPr>
                  <w:tcW w:w="1276" w:type="dxa"/>
                  <w:vAlign w:val="center"/>
                </w:tcPr>
                <w:p>
                  <w:pPr>
                    <w:jc w:val="center"/>
                    <w:rPr>
                      <w:rFonts w:eastAsiaTheme="minorEastAsia"/>
                      <w:color w:val="auto"/>
                      <w:szCs w:val="21"/>
                    </w:rPr>
                  </w:pPr>
                  <w:r>
                    <w:rPr>
                      <w:rFonts w:eastAsiaTheme="minorEastAsia"/>
                      <w:bCs/>
                      <w:color w:val="auto"/>
                      <w:szCs w:val="21"/>
                    </w:rPr>
                    <w:t>0.0003L</w:t>
                  </w:r>
                </w:p>
              </w:tc>
              <w:tc>
                <w:tcPr>
                  <w:tcW w:w="1275" w:type="dxa"/>
                  <w:vAlign w:val="center"/>
                </w:tcPr>
                <w:p>
                  <w:pPr>
                    <w:jc w:val="center"/>
                    <w:rPr>
                      <w:rFonts w:eastAsiaTheme="minorEastAsia"/>
                      <w:color w:val="auto"/>
                      <w:szCs w:val="21"/>
                    </w:rPr>
                  </w:pPr>
                  <w:r>
                    <w:rPr>
                      <w:rFonts w:eastAsiaTheme="minorEastAsia"/>
                      <w:bCs/>
                      <w:color w:val="auto"/>
                      <w:szCs w:val="21"/>
                    </w:rPr>
                    <w:t>0.0003L</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≤0.002</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耗氧量</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0.740</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0.760</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≤3.0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氨氮</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0.164</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0.130</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≤0.50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总大肠菌群</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未检出</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未检出</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≤3.0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菌落总数</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17</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13</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≤100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亚硝酸盐</w:t>
                  </w:r>
                </w:p>
              </w:tc>
              <w:tc>
                <w:tcPr>
                  <w:tcW w:w="1276" w:type="dxa"/>
                  <w:vAlign w:val="center"/>
                </w:tcPr>
                <w:p>
                  <w:pPr>
                    <w:jc w:val="center"/>
                    <w:rPr>
                      <w:rFonts w:eastAsiaTheme="minorEastAsia"/>
                      <w:color w:val="auto"/>
                      <w:szCs w:val="21"/>
                    </w:rPr>
                  </w:pPr>
                  <w:r>
                    <w:rPr>
                      <w:rFonts w:eastAsiaTheme="minorEastAsia"/>
                      <w:bCs/>
                      <w:color w:val="auto"/>
                      <w:szCs w:val="21"/>
                    </w:rPr>
                    <w:t>0.001L</w:t>
                  </w:r>
                </w:p>
              </w:tc>
              <w:tc>
                <w:tcPr>
                  <w:tcW w:w="1275" w:type="dxa"/>
                  <w:vAlign w:val="center"/>
                </w:tcPr>
                <w:p>
                  <w:pPr>
                    <w:jc w:val="center"/>
                    <w:rPr>
                      <w:rFonts w:eastAsiaTheme="minorEastAsia"/>
                      <w:color w:val="auto"/>
                      <w:szCs w:val="21"/>
                    </w:rPr>
                  </w:pPr>
                  <w:r>
                    <w:rPr>
                      <w:rFonts w:eastAsiaTheme="minorEastAsia"/>
                      <w:bCs/>
                      <w:color w:val="auto"/>
                      <w:szCs w:val="21"/>
                    </w:rPr>
                    <w:t>0.001L</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≤20.0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硝酸盐</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1.45</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1.46</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≤0.05</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氰化物</w:t>
                  </w:r>
                </w:p>
              </w:tc>
              <w:tc>
                <w:tcPr>
                  <w:tcW w:w="1276" w:type="dxa"/>
                  <w:vAlign w:val="center"/>
                </w:tcPr>
                <w:p>
                  <w:pPr>
                    <w:jc w:val="center"/>
                    <w:rPr>
                      <w:rFonts w:eastAsiaTheme="minorEastAsia"/>
                      <w:color w:val="auto"/>
                      <w:szCs w:val="21"/>
                    </w:rPr>
                  </w:pPr>
                  <w:r>
                    <w:rPr>
                      <w:rFonts w:eastAsiaTheme="minorEastAsia"/>
                      <w:bCs/>
                      <w:color w:val="auto"/>
                      <w:szCs w:val="21"/>
                    </w:rPr>
                    <w:t>0.004L</w:t>
                  </w:r>
                </w:p>
              </w:tc>
              <w:tc>
                <w:tcPr>
                  <w:tcW w:w="1275" w:type="dxa"/>
                  <w:vAlign w:val="center"/>
                </w:tcPr>
                <w:p>
                  <w:pPr>
                    <w:jc w:val="center"/>
                    <w:rPr>
                      <w:rFonts w:eastAsiaTheme="minorEastAsia"/>
                      <w:color w:val="auto"/>
                      <w:szCs w:val="21"/>
                    </w:rPr>
                  </w:pPr>
                  <w:r>
                    <w:rPr>
                      <w:rFonts w:eastAsiaTheme="minorEastAsia"/>
                      <w:bCs/>
                      <w:color w:val="auto"/>
                      <w:szCs w:val="21"/>
                    </w:rPr>
                    <w:t>0.004L</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≤1.0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氟化物</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0.336</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0.338</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≤0.001</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汞</w:t>
                  </w:r>
                </w:p>
              </w:tc>
              <w:tc>
                <w:tcPr>
                  <w:tcW w:w="1276" w:type="dxa"/>
                  <w:vAlign w:val="center"/>
                </w:tcPr>
                <w:p>
                  <w:pPr>
                    <w:jc w:val="center"/>
                    <w:rPr>
                      <w:rFonts w:eastAsiaTheme="minorEastAsia"/>
                      <w:color w:val="auto"/>
                      <w:szCs w:val="21"/>
                    </w:rPr>
                  </w:pPr>
                  <w:r>
                    <w:rPr>
                      <w:rFonts w:eastAsiaTheme="minorEastAsia"/>
                      <w:color w:val="auto"/>
                      <w:szCs w:val="21"/>
                    </w:rPr>
                    <w:t>4</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275" w:type="dxa"/>
                  <w:vAlign w:val="center"/>
                </w:tcPr>
                <w:p>
                  <w:pPr>
                    <w:jc w:val="center"/>
                    <w:rPr>
                      <w:rFonts w:eastAsiaTheme="minorEastAsia"/>
                      <w:color w:val="auto"/>
                      <w:szCs w:val="21"/>
                    </w:rPr>
                  </w:pPr>
                  <w:r>
                    <w:rPr>
                      <w:rFonts w:eastAsiaTheme="minorEastAsia"/>
                      <w:color w:val="auto"/>
                      <w:szCs w:val="21"/>
                    </w:rPr>
                    <w:t>4</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≤0.01</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砷</w:t>
                  </w:r>
                </w:p>
              </w:tc>
              <w:tc>
                <w:tcPr>
                  <w:tcW w:w="1276" w:type="dxa"/>
                  <w:vAlign w:val="center"/>
                </w:tcPr>
                <w:p>
                  <w:pPr>
                    <w:jc w:val="center"/>
                    <w:rPr>
                      <w:rFonts w:eastAsiaTheme="minorEastAsia"/>
                      <w:color w:val="auto"/>
                      <w:szCs w:val="21"/>
                    </w:rPr>
                  </w:pPr>
                  <w:r>
                    <w:rPr>
                      <w:rFonts w:eastAsiaTheme="minorEastAsia"/>
                      <w:color w:val="auto"/>
                      <w:szCs w:val="21"/>
                    </w:rPr>
                    <w:t>1.2</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-4</w:t>
                  </w:r>
                  <w:r>
                    <w:rPr>
                      <w:rFonts w:eastAsiaTheme="minorEastAsia"/>
                      <w:color w:val="auto"/>
                      <w:szCs w:val="21"/>
                    </w:rPr>
                    <w:t>L</w:t>
                  </w:r>
                </w:p>
              </w:tc>
              <w:tc>
                <w:tcPr>
                  <w:tcW w:w="1275" w:type="dxa"/>
                  <w:vAlign w:val="center"/>
                </w:tcPr>
                <w:p>
                  <w:pPr>
                    <w:jc w:val="center"/>
                    <w:rPr>
                      <w:rFonts w:eastAsiaTheme="minorEastAsia"/>
                      <w:color w:val="auto"/>
                      <w:szCs w:val="21"/>
                    </w:rPr>
                  </w:pPr>
                  <w:r>
                    <w:rPr>
                      <w:rFonts w:eastAsiaTheme="minorEastAsia"/>
                      <w:color w:val="auto"/>
                      <w:szCs w:val="21"/>
                    </w:rPr>
                    <w:t>1.2</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-4</w:t>
                  </w:r>
                  <w:r>
                    <w:rPr>
                      <w:rFonts w:eastAsiaTheme="minorEastAsia"/>
                      <w:color w:val="auto"/>
                      <w:szCs w:val="21"/>
                    </w:rPr>
                    <w:t>L</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≤0.005</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六价铬</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0.036</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0.042</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≤0.05</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铅</w:t>
                  </w:r>
                </w:p>
              </w:tc>
              <w:tc>
                <w:tcPr>
                  <w:tcW w:w="1276" w:type="dxa"/>
                  <w:vAlign w:val="center"/>
                </w:tcPr>
                <w:p>
                  <w:pPr>
                    <w:jc w:val="center"/>
                    <w:rPr>
                      <w:rFonts w:eastAsiaTheme="minorEastAsia"/>
                      <w:color w:val="auto"/>
                      <w:szCs w:val="21"/>
                    </w:rPr>
                  </w:pPr>
                  <w:r>
                    <w:rPr>
                      <w:rFonts w:eastAsiaTheme="minorEastAsia"/>
                      <w:color w:val="auto"/>
                      <w:szCs w:val="21"/>
                    </w:rPr>
                    <w:t>9</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275" w:type="dxa"/>
                  <w:vAlign w:val="center"/>
                </w:tcPr>
                <w:p>
                  <w:pPr>
                    <w:jc w:val="center"/>
                    <w:rPr>
                      <w:rFonts w:eastAsiaTheme="minorEastAsia"/>
                      <w:color w:val="auto"/>
                      <w:szCs w:val="21"/>
                    </w:rPr>
                  </w:pPr>
                  <w:r>
                    <w:rPr>
                      <w:rFonts w:eastAsiaTheme="minorEastAsia"/>
                      <w:color w:val="auto"/>
                      <w:szCs w:val="21"/>
                    </w:rPr>
                    <w:t>9</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≤0.01</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5" w:hRule="atLeast"/>
                <w:tblHeader/>
                <w:jc w:val="center"/>
              </w:trPr>
              <w:tc>
                <w:tcPr>
                  <w:tcW w:w="514" w:type="dxa"/>
                  <w:vMerge w:val="restart"/>
                  <w:vAlign w:val="center"/>
                </w:tcPr>
                <w:p>
                  <w:pPr>
                    <w:adjustRightInd w:val="0"/>
                    <w:snapToGrid w:val="0"/>
                    <w:jc w:val="center"/>
                    <w:rPr>
                      <w:rFonts w:eastAsiaTheme="minorEastAsia"/>
                      <w:color w:val="auto"/>
                      <w:szCs w:val="21"/>
                    </w:rPr>
                  </w:pPr>
                </w:p>
                <w:p>
                  <w:pPr>
                    <w:adjustRightInd w:val="0"/>
                    <w:snapToGrid w:val="0"/>
                    <w:jc w:val="center"/>
                    <w:rPr>
                      <w:rFonts w:eastAsiaTheme="minorEastAsia"/>
                      <w:color w:val="auto"/>
                      <w:szCs w:val="21"/>
                    </w:rPr>
                  </w:pPr>
                  <w:r>
                    <w:rPr>
                      <w:rFonts w:eastAsiaTheme="minorEastAsia"/>
                      <w:color w:val="auto"/>
                      <w:szCs w:val="21"/>
                    </w:rPr>
                    <w:t>柏底村</w:t>
                  </w:r>
                </w:p>
                <w:p>
                  <w:pPr>
                    <w:adjustRightInd w:val="0"/>
                    <w:snapToGrid w:val="0"/>
                    <w:jc w:val="center"/>
                    <w:rPr>
                      <w:rFonts w:eastAsiaTheme="minorEastAsia"/>
                      <w:color w:val="auto"/>
                      <w:szCs w:val="21"/>
                    </w:rPr>
                  </w:pPr>
                </w:p>
                <w:p>
                  <w:pPr>
                    <w:adjustRightInd w:val="0"/>
                    <w:snapToGrid w:val="0"/>
                    <w:jc w:val="center"/>
                    <w:rPr>
                      <w:rFonts w:eastAsiaTheme="minorEastAsia"/>
                      <w:color w:val="auto"/>
                      <w:szCs w:val="21"/>
                    </w:rPr>
                  </w:pPr>
                </w:p>
                <w:p>
                  <w:pPr>
                    <w:adjustRightInd w:val="0"/>
                    <w:snapToGrid w:val="0"/>
                    <w:jc w:val="center"/>
                    <w:rPr>
                      <w:rFonts w:eastAsiaTheme="minorEastAsia"/>
                      <w:color w:val="auto"/>
                      <w:szCs w:val="21"/>
                    </w:rPr>
                  </w:pPr>
                </w:p>
                <w:p>
                  <w:pPr>
                    <w:adjustRightInd w:val="0"/>
                    <w:snapToGrid w:val="0"/>
                    <w:jc w:val="center"/>
                    <w:rPr>
                      <w:rFonts w:eastAsiaTheme="minorEastAsia"/>
                      <w:color w:val="auto"/>
                      <w:szCs w:val="21"/>
                    </w:rPr>
                  </w:pPr>
                </w:p>
                <w:p>
                  <w:pPr>
                    <w:adjustRightInd w:val="0"/>
                    <w:snapToGrid w:val="0"/>
                    <w:jc w:val="center"/>
                    <w:rPr>
                      <w:rFonts w:eastAsiaTheme="minorEastAsia"/>
                      <w:color w:val="auto"/>
                      <w:szCs w:val="21"/>
                    </w:rPr>
                  </w:pPr>
                </w:p>
                <w:p>
                  <w:pPr>
                    <w:adjustRightInd w:val="0"/>
                    <w:snapToGrid w:val="0"/>
                    <w:jc w:val="center"/>
                    <w:rPr>
                      <w:rFonts w:eastAsiaTheme="minorEastAsia"/>
                      <w:color w:val="auto"/>
                      <w:szCs w:val="21"/>
                    </w:rPr>
                  </w:pPr>
                </w:p>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pH（无量纲）</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7.62</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7.59</w:t>
                  </w:r>
                </w:p>
              </w:tc>
              <w:tc>
                <w:tcPr>
                  <w:tcW w:w="1134" w:type="dxa"/>
                  <w:vAlign w:val="center"/>
                </w:tcPr>
                <w:p>
                  <w:pPr>
                    <w:adjustRightInd w:val="0"/>
                    <w:snapToGrid w:val="0"/>
                    <w:jc w:val="center"/>
                    <w:rPr>
                      <w:rFonts w:eastAsiaTheme="minorEastAsia"/>
                      <w:bCs/>
                      <w:color w:val="auto"/>
                      <w:szCs w:val="21"/>
                    </w:rPr>
                  </w:pPr>
                  <w:r>
                    <w:rPr>
                      <w:rFonts w:eastAsiaTheme="minorEastAsia"/>
                      <w:bCs/>
                      <w:color w:val="auto"/>
                      <w:szCs w:val="21"/>
                    </w:rPr>
                    <w:t>6.5~8.5</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总硬度</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368</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372</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≤450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溶解性总固体</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702</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709</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≤1000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硫酸盐</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129</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127</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≤250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氯化物</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86.3</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84.8</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≤250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铁</w:t>
                  </w:r>
                </w:p>
              </w:tc>
              <w:tc>
                <w:tcPr>
                  <w:tcW w:w="1276" w:type="dxa"/>
                  <w:vAlign w:val="center"/>
                </w:tcPr>
                <w:p>
                  <w:pPr>
                    <w:jc w:val="center"/>
                    <w:rPr>
                      <w:rFonts w:eastAsiaTheme="minorEastAsia"/>
                      <w:color w:val="auto"/>
                      <w:szCs w:val="21"/>
                    </w:rPr>
                  </w:pPr>
                  <w:r>
                    <w:rPr>
                      <w:rFonts w:eastAsiaTheme="minorEastAsia"/>
                      <w:bCs/>
                      <w:color w:val="auto"/>
                      <w:szCs w:val="21"/>
                    </w:rPr>
                    <w:t>0.03L</w:t>
                  </w:r>
                </w:p>
              </w:tc>
              <w:tc>
                <w:tcPr>
                  <w:tcW w:w="1275" w:type="dxa"/>
                  <w:vAlign w:val="center"/>
                </w:tcPr>
                <w:p>
                  <w:pPr>
                    <w:jc w:val="center"/>
                    <w:rPr>
                      <w:rFonts w:eastAsiaTheme="minorEastAsia"/>
                      <w:color w:val="auto"/>
                      <w:szCs w:val="21"/>
                    </w:rPr>
                  </w:pPr>
                  <w:r>
                    <w:rPr>
                      <w:rFonts w:eastAsiaTheme="minorEastAsia"/>
                      <w:bCs/>
                      <w:color w:val="auto"/>
                      <w:szCs w:val="21"/>
                    </w:rPr>
                    <w:t>0.03L</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≤0.3</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锰</w:t>
                  </w:r>
                </w:p>
              </w:tc>
              <w:tc>
                <w:tcPr>
                  <w:tcW w:w="1276" w:type="dxa"/>
                  <w:vAlign w:val="center"/>
                </w:tcPr>
                <w:p>
                  <w:pPr>
                    <w:jc w:val="center"/>
                    <w:rPr>
                      <w:rFonts w:eastAsiaTheme="minorEastAsia"/>
                      <w:color w:val="auto"/>
                      <w:szCs w:val="21"/>
                    </w:rPr>
                  </w:pPr>
                  <w:r>
                    <w:rPr>
                      <w:rFonts w:eastAsiaTheme="minorEastAsia"/>
                      <w:bCs/>
                      <w:color w:val="auto"/>
                      <w:szCs w:val="21"/>
                    </w:rPr>
                    <w:t>0.01L</w:t>
                  </w:r>
                </w:p>
              </w:tc>
              <w:tc>
                <w:tcPr>
                  <w:tcW w:w="1275" w:type="dxa"/>
                  <w:vAlign w:val="center"/>
                </w:tcPr>
                <w:p>
                  <w:pPr>
                    <w:jc w:val="center"/>
                    <w:rPr>
                      <w:rFonts w:eastAsiaTheme="minorEastAsia"/>
                      <w:color w:val="auto"/>
                      <w:szCs w:val="21"/>
                    </w:rPr>
                  </w:pPr>
                  <w:r>
                    <w:rPr>
                      <w:rFonts w:eastAsiaTheme="minorEastAsia"/>
                      <w:bCs/>
                      <w:color w:val="auto"/>
                      <w:szCs w:val="21"/>
                    </w:rPr>
                    <w:t>0.01L</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≤0.10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挥发性酚类</w:t>
                  </w:r>
                </w:p>
              </w:tc>
              <w:tc>
                <w:tcPr>
                  <w:tcW w:w="1276" w:type="dxa"/>
                  <w:vAlign w:val="center"/>
                </w:tcPr>
                <w:p>
                  <w:pPr>
                    <w:jc w:val="center"/>
                    <w:rPr>
                      <w:rFonts w:eastAsiaTheme="minorEastAsia"/>
                      <w:color w:val="auto"/>
                      <w:szCs w:val="21"/>
                    </w:rPr>
                  </w:pPr>
                  <w:r>
                    <w:rPr>
                      <w:rFonts w:eastAsiaTheme="minorEastAsia"/>
                      <w:bCs/>
                      <w:color w:val="auto"/>
                      <w:szCs w:val="21"/>
                    </w:rPr>
                    <w:t>0.0003L</w:t>
                  </w:r>
                </w:p>
              </w:tc>
              <w:tc>
                <w:tcPr>
                  <w:tcW w:w="1275" w:type="dxa"/>
                  <w:vAlign w:val="center"/>
                </w:tcPr>
                <w:p>
                  <w:pPr>
                    <w:jc w:val="center"/>
                    <w:rPr>
                      <w:rFonts w:eastAsiaTheme="minorEastAsia"/>
                      <w:color w:val="auto"/>
                      <w:szCs w:val="21"/>
                    </w:rPr>
                  </w:pPr>
                  <w:r>
                    <w:rPr>
                      <w:rFonts w:eastAsiaTheme="minorEastAsia"/>
                      <w:bCs/>
                      <w:color w:val="auto"/>
                      <w:szCs w:val="21"/>
                    </w:rPr>
                    <w:t>0.0003L</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≤0.002</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耗氧量</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0.752</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0.690</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≤3.0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氨氮</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0.086</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0.140</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≤0.50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总大肠菌群</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2</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未检出</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≤3.0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菌落总数</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31</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16</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≤100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亚硝酸盐</w:t>
                  </w:r>
                </w:p>
              </w:tc>
              <w:tc>
                <w:tcPr>
                  <w:tcW w:w="1276" w:type="dxa"/>
                  <w:vAlign w:val="center"/>
                </w:tcPr>
                <w:p>
                  <w:pPr>
                    <w:jc w:val="center"/>
                    <w:rPr>
                      <w:rFonts w:eastAsiaTheme="minorEastAsia"/>
                      <w:color w:val="auto"/>
                      <w:szCs w:val="21"/>
                    </w:rPr>
                  </w:pPr>
                  <w:r>
                    <w:rPr>
                      <w:rFonts w:eastAsiaTheme="minorEastAsia"/>
                      <w:bCs/>
                      <w:color w:val="auto"/>
                      <w:szCs w:val="21"/>
                    </w:rPr>
                    <w:t>0.001L</w:t>
                  </w:r>
                </w:p>
              </w:tc>
              <w:tc>
                <w:tcPr>
                  <w:tcW w:w="1275" w:type="dxa"/>
                  <w:vAlign w:val="center"/>
                </w:tcPr>
                <w:p>
                  <w:pPr>
                    <w:jc w:val="center"/>
                    <w:rPr>
                      <w:rFonts w:eastAsiaTheme="minorEastAsia"/>
                      <w:color w:val="auto"/>
                      <w:szCs w:val="21"/>
                    </w:rPr>
                  </w:pPr>
                  <w:r>
                    <w:rPr>
                      <w:rFonts w:eastAsiaTheme="minorEastAsia"/>
                      <w:bCs/>
                      <w:color w:val="auto"/>
                      <w:szCs w:val="21"/>
                    </w:rPr>
                    <w:t>0.001L</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≤20.0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硝酸盐</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12.2</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12</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≤0.05</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氰化物</w:t>
                  </w:r>
                </w:p>
              </w:tc>
              <w:tc>
                <w:tcPr>
                  <w:tcW w:w="1276" w:type="dxa"/>
                  <w:vAlign w:val="center"/>
                </w:tcPr>
                <w:p>
                  <w:pPr>
                    <w:jc w:val="center"/>
                    <w:rPr>
                      <w:rFonts w:eastAsiaTheme="minorEastAsia"/>
                      <w:color w:val="auto"/>
                      <w:szCs w:val="21"/>
                    </w:rPr>
                  </w:pPr>
                  <w:r>
                    <w:rPr>
                      <w:rFonts w:eastAsiaTheme="minorEastAsia"/>
                      <w:bCs/>
                      <w:color w:val="auto"/>
                      <w:szCs w:val="21"/>
                    </w:rPr>
                    <w:t>0.004L</w:t>
                  </w:r>
                </w:p>
              </w:tc>
              <w:tc>
                <w:tcPr>
                  <w:tcW w:w="1275" w:type="dxa"/>
                  <w:vAlign w:val="center"/>
                </w:tcPr>
                <w:p>
                  <w:pPr>
                    <w:jc w:val="center"/>
                    <w:rPr>
                      <w:rFonts w:eastAsiaTheme="minorEastAsia"/>
                      <w:color w:val="auto"/>
                      <w:szCs w:val="21"/>
                    </w:rPr>
                  </w:pPr>
                  <w:r>
                    <w:rPr>
                      <w:rFonts w:eastAsiaTheme="minorEastAsia"/>
                      <w:bCs/>
                      <w:color w:val="auto"/>
                      <w:szCs w:val="21"/>
                    </w:rPr>
                    <w:t>0.004L</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≤1.0</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氟化物</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0.756</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0.654</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≤0.001</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汞</w:t>
                  </w:r>
                </w:p>
              </w:tc>
              <w:tc>
                <w:tcPr>
                  <w:tcW w:w="1276" w:type="dxa"/>
                  <w:vAlign w:val="center"/>
                </w:tcPr>
                <w:p>
                  <w:pPr>
                    <w:jc w:val="center"/>
                    <w:rPr>
                      <w:rFonts w:eastAsiaTheme="minorEastAsia"/>
                      <w:color w:val="auto"/>
                      <w:szCs w:val="21"/>
                    </w:rPr>
                  </w:pPr>
                  <w:r>
                    <w:rPr>
                      <w:rFonts w:eastAsiaTheme="minorEastAsia"/>
                      <w:color w:val="auto"/>
                      <w:szCs w:val="21"/>
                    </w:rPr>
                    <w:t>4</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275" w:type="dxa"/>
                  <w:vAlign w:val="center"/>
                </w:tcPr>
                <w:p>
                  <w:pPr>
                    <w:jc w:val="center"/>
                    <w:rPr>
                      <w:rFonts w:eastAsiaTheme="minorEastAsia"/>
                      <w:color w:val="auto"/>
                      <w:szCs w:val="21"/>
                    </w:rPr>
                  </w:pPr>
                  <w:r>
                    <w:rPr>
                      <w:rFonts w:eastAsiaTheme="minorEastAsia"/>
                      <w:color w:val="auto"/>
                      <w:szCs w:val="21"/>
                    </w:rPr>
                    <w:t>4</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≤0.01</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砷</w:t>
                  </w:r>
                </w:p>
              </w:tc>
              <w:tc>
                <w:tcPr>
                  <w:tcW w:w="1276" w:type="dxa"/>
                  <w:vAlign w:val="center"/>
                </w:tcPr>
                <w:p>
                  <w:pPr>
                    <w:jc w:val="center"/>
                    <w:rPr>
                      <w:rFonts w:eastAsiaTheme="minorEastAsia"/>
                      <w:color w:val="auto"/>
                      <w:szCs w:val="21"/>
                    </w:rPr>
                  </w:pPr>
                  <w:r>
                    <w:rPr>
                      <w:rFonts w:eastAsiaTheme="minorEastAsia"/>
                      <w:color w:val="auto"/>
                      <w:szCs w:val="21"/>
                    </w:rPr>
                    <w:t>1.2</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-4</w:t>
                  </w:r>
                  <w:r>
                    <w:rPr>
                      <w:rFonts w:eastAsiaTheme="minorEastAsia"/>
                      <w:color w:val="auto"/>
                      <w:szCs w:val="21"/>
                    </w:rPr>
                    <w:t>L</w:t>
                  </w:r>
                </w:p>
              </w:tc>
              <w:tc>
                <w:tcPr>
                  <w:tcW w:w="1275" w:type="dxa"/>
                  <w:vAlign w:val="center"/>
                </w:tcPr>
                <w:p>
                  <w:pPr>
                    <w:jc w:val="center"/>
                    <w:rPr>
                      <w:rFonts w:eastAsiaTheme="minorEastAsia"/>
                      <w:color w:val="auto"/>
                      <w:szCs w:val="21"/>
                    </w:rPr>
                  </w:pPr>
                  <w:r>
                    <w:rPr>
                      <w:rFonts w:eastAsiaTheme="minorEastAsia"/>
                      <w:color w:val="auto"/>
                      <w:szCs w:val="21"/>
                    </w:rPr>
                    <w:t>1.2</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-4</w:t>
                  </w:r>
                  <w:r>
                    <w:rPr>
                      <w:rFonts w:eastAsiaTheme="minorEastAsia"/>
                      <w:color w:val="auto"/>
                      <w:szCs w:val="21"/>
                    </w:rPr>
                    <w:t>L</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≤0.005</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六价铬</w:t>
                  </w:r>
                </w:p>
              </w:tc>
              <w:tc>
                <w:tcPr>
                  <w:tcW w:w="1276" w:type="dxa"/>
                  <w:vAlign w:val="center"/>
                </w:tcPr>
                <w:p>
                  <w:pPr>
                    <w:adjustRightInd w:val="0"/>
                    <w:snapToGrid w:val="0"/>
                    <w:jc w:val="center"/>
                    <w:rPr>
                      <w:rFonts w:eastAsiaTheme="minorEastAsia"/>
                      <w:bCs/>
                      <w:color w:val="auto"/>
                      <w:szCs w:val="21"/>
                    </w:rPr>
                  </w:pPr>
                  <w:r>
                    <w:rPr>
                      <w:rFonts w:eastAsiaTheme="minorEastAsia"/>
                      <w:bCs/>
                      <w:color w:val="auto"/>
                      <w:szCs w:val="21"/>
                    </w:rPr>
                    <w:t>0.044</w:t>
                  </w:r>
                </w:p>
              </w:tc>
              <w:tc>
                <w:tcPr>
                  <w:tcW w:w="1275" w:type="dxa"/>
                  <w:vAlign w:val="center"/>
                </w:tcPr>
                <w:p>
                  <w:pPr>
                    <w:adjustRightInd w:val="0"/>
                    <w:snapToGrid w:val="0"/>
                    <w:jc w:val="center"/>
                    <w:rPr>
                      <w:rFonts w:eastAsiaTheme="minorEastAsia"/>
                      <w:bCs/>
                      <w:color w:val="auto"/>
                      <w:szCs w:val="21"/>
                    </w:rPr>
                  </w:pPr>
                  <w:r>
                    <w:rPr>
                      <w:rFonts w:eastAsiaTheme="minorEastAsia"/>
                      <w:bCs/>
                      <w:color w:val="auto"/>
                      <w:szCs w:val="21"/>
                    </w:rPr>
                    <w:t>0.041</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≤0.05</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6" w:hRule="atLeast"/>
                <w:tblHeader/>
                <w:jc w:val="center"/>
              </w:trPr>
              <w:tc>
                <w:tcPr>
                  <w:tcW w:w="514" w:type="dxa"/>
                  <w:vMerge w:val="continue"/>
                  <w:vAlign w:val="center"/>
                </w:tcPr>
                <w:p>
                  <w:pPr>
                    <w:adjustRightInd w:val="0"/>
                    <w:snapToGrid w:val="0"/>
                    <w:jc w:val="center"/>
                    <w:rPr>
                      <w:rFonts w:eastAsiaTheme="minorEastAsia"/>
                      <w:color w:val="auto"/>
                      <w:szCs w:val="21"/>
                    </w:rPr>
                  </w:pP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铅</w:t>
                  </w:r>
                </w:p>
              </w:tc>
              <w:tc>
                <w:tcPr>
                  <w:tcW w:w="1276" w:type="dxa"/>
                  <w:vAlign w:val="center"/>
                </w:tcPr>
                <w:p>
                  <w:pPr>
                    <w:jc w:val="center"/>
                    <w:rPr>
                      <w:rFonts w:eastAsiaTheme="minorEastAsia"/>
                      <w:color w:val="auto"/>
                      <w:szCs w:val="21"/>
                    </w:rPr>
                  </w:pPr>
                  <w:r>
                    <w:rPr>
                      <w:rFonts w:eastAsiaTheme="minorEastAsia"/>
                      <w:color w:val="auto"/>
                      <w:szCs w:val="21"/>
                    </w:rPr>
                    <w:t>9</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275" w:type="dxa"/>
                  <w:vAlign w:val="center"/>
                </w:tcPr>
                <w:p>
                  <w:pPr>
                    <w:jc w:val="center"/>
                    <w:rPr>
                      <w:rFonts w:eastAsiaTheme="minorEastAsia"/>
                      <w:color w:val="auto"/>
                      <w:szCs w:val="21"/>
                    </w:rPr>
                  </w:pPr>
                  <w:r>
                    <w:rPr>
                      <w:rFonts w:eastAsiaTheme="minorEastAsia"/>
                      <w:color w:val="auto"/>
                      <w:szCs w:val="21"/>
                    </w:rPr>
                    <w:t>9</w:t>
                  </w:r>
                  <w:r>
                    <w:rPr>
                      <w:rFonts w:eastAsiaTheme="minorEastAsia"/>
                      <w:color w:val="auto"/>
                      <w:kern w:val="0"/>
                      <w:szCs w:val="21"/>
                    </w:rPr>
                    <w:t>×</w:t>
                  </w:r>
                  <w:r>
                    <w:rPr>
                      <w:rFonts w:eastAsiaTheme="minorEastAsia"/>
                      <w:color w:val="auto"/>
                      <w:szCs w:val="21"/>
                    </w:rPr>
                    <w:t>10</w:t>
                  </w:r>
                  <w:r>
                    <w:rPr>
                      <w:rFonts w:eastAsiaTheme="minorEastAsia"/>
                      <w:color w:val="auto"/>
                      <w:szCs w:val="21"/>
                      <w:vertAlign w:val="superscript"/>
                    </w:rPr>
                    <w:t>-5</w:t>
                  </w:r>
                  <w:r>
                    <w:rPr>
                      <w:rFonts w:eastAsiaTheme="minorEastAsia"/>
                      <w:color w:val="auto"/>
                      <w:szCs w:val="21"/>
                    </w:rPr>
                    <w:t>L</w:t>
                  </w:r>
                </w:p>
              </w:tc>
              <w:tc>
                <w:tcPr>
                  <w:tcW w:w="1134" w:type="dxa"/>
                  <w:vAlign w:val="center"/>
                </w:tcPr>
                <w:p>
                  <w:pPr>
                    <w:adjustRightInd w:val="0"/>
                    <w:snapToGrid w:val="0"/>
                    <w:jc w:val="center"/>
                    <w:rPr>
                      <w:rFonts w:eastAsiaTheme="minorEastAsia"/>
                      <w:bCs/>
                      <w:color w:val="auto"/>
                      <w:szCs w:val="21"/>
                    </w:rPr>
                  </w:pPr>
                  <w:r>
                    <w:rPr>
                      <w:rFonts w:eastAsiaTheme="minorEastAsia"/>
                      <w:color w:val="auto"/>
                      <w:szCs w:val="21"/>
                    </w:rPr>
                    <w:t>≤0.01</w:t>
                  </w:r>
                </w:p>
              </w:tc>
              <w:tc>
                <w:tcPr>
                  <w:tcW w:w="851"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448" w:type="dxa"/>
                  <w:vAlign w:val="center"/>
                </w:tcPr>
                <w:p>
                  <w:pPr>
                    <w:adjustRightInd w:val="0"/>
                    <w:snapToGrid w:val="0"/>
                    <w:jc w:val="center"/>
                    <w:rPr>
                      <w:rFonts w:eastAsiaTheme="minorEastAsia"/>
                      <w:color w:val="auto"/>
                      <w:szCs w:val="21"/>
                    </w:rPr>
                  </w:pPr>
                  <w:r>
                    <w:rPr>
                      <w:rFonts w:eastAsiaTheme="minorEastAsia"/>
                      <w:color w:val="auto"/>
                      <w:szCs w:val="21"/>
                    </w:rPr>
                    <w:t>0</w:t>
                  </w:r>
                </w:p>
              </w:tc>
            </w:tr>
          </w:tbl>
          <w:p>
            <w:pPr>
              <w:adjustRightInd w:val="0"/>
              <w:snapToGrid w:val="0"/>
              <w:spacing w:line="360" w:lineRule="auto"/>
              <w:ind w:firstLine="482"/>
              <w:rPr>
                <w:rFonts w:eastAsiaTheme="minorEastAsia"/>
                <w:color w:val="auto"/>
                <w:sz w:val="24"/>
              </w:rPr>
            </w:pPr>
            <w:r>
              <w:rPr>
                <w:rFonts w:eastAsiaTheme="minorEastAsia"/>
                <w:color w:val="auto"/>
                <w:sz w:val="24"/>
              </w:rPr>
              <w:t>可以看出，评价区域内除了1#点位在2019.02.21时出现总大肠菌群数超标（分析其为异常数据）以外，1#点位其余指标及2#、3#样点所有监测指标均能满足《地下水质量标准（GB/T14848-2017）》</w:t>
            </w:r>
            <w:r>
              <w:rPr>
                <w:rFonts w:hint="eastAsia" w:ascii="宋体" w:hAnsi="宋体" w:cs="宋体"/>
                <w:color w:val="auto"/>
                <w:sz w:val="24"/>
              </w:rPr>
              <w:t>Ⅲ</w:t>
            </w:r>
            <w:r>
              <w:rPr>
                <w:rFonts w:eastAsiaTheme="minorEastAsia"/>
                <w:color w:val="auto"/>
                <w:sz w:val="24"/>
              </w:rPr>
              <w:t>类标准要求，重金属均未检，水质监测结果表明本项目区域地下水质量较好。</w:t>
            </w:r>
          </w:p>
          <w:p>
            <w:pPr>
              <w:adjustRightInd w:val="0"/>
              <w:snapToGrid w:val="0"/>
              <w:spacing w:line="360" w:lineRule="auto"/>
              <w:ind w:firstLine="472" w:firstLineChars="196"/>
              <w:rPr>
                <w:rFonts w:eastAsiaTheme="minorEastAsia"/>
                <w:color w:val="auto"/>
                <w:kern w:val="0"/>
              </w:rPr>
            </w:pPr>
            <w:r>
              <w:rPr>
                <w:rFonts w:eastAsiaTheme="minorEastAsia"/>
                <w:b/>
                <w:color w:val="auto"/>
                <w:sz w:val="24"/>
              </w:rPr>
              <w:t>4、声环境质量现状</w:t>
            </w:r>
          </w:p>
          <w:p>
            <w:pPr>
              <w:adjustRightInd w:val="0"/>
              <w:snapToGrid w:val="0"/>
              <w:spacing w:line="360" w:lineRule="auto"/>
              <w:ind w:firstLine="482"/>
              <w:rPr>
                <w:rFonts w:eastAsiaTheme="minorEastAsia"/>
                <w:bCs/>
                <w:color w:val="auto"/>
                <w:sz w:val="24"/>
              </w:rPr>
            </w:pPr>
            <w:r>
              <w:rPr>
                <w:rFonts w:eastAsiaTheme="minorEastAsia"/>
                <w:color w:val="auto"/>
                <w:sz w:val="24"/>
              </w:rPr>
              <w:t>本项目所在地声环境质量现状委托兰州易通环境监测有限公司于2019年2月15日至2019年2月16日对本项目所在地厂界进行声环境现状监测。本项目在污水处理厂厂界及周围敏感点共设6个噪声监测点位。具体的监测点位见表32及图12。</w:t>
            </w:r>
          </w:p>
          <w:p>
            <w:pPr>
              <w:adjustRightInd w:val="0"/>
              <w:snapToGrid w:val="0"/>
              <w:jc w:val="center"/>
              <w:rPr>
                <w:rFonts w:eastAsiaTheme="minorEastAsia"/>
                <w:b/>
                <w:color w:val="auto"/>
                <w:sz w:val="24"/>
              </w:rPr>
            </w:pPr>
            <w:r>
              <w:rPr>
                <w:rFonts w:eastAsiaTheme="minorEastAsia"/>
                <w:b/>
                <w:color w:val="auto"/>
                <w:sz w:val="24"/>
              </w:rPr>
              <w:t>表32环境噪声现状监测点位表</w:t>
            </w:r>
          </w:p>
          <w:tbl>
            <w:tblPr>
              <w:tblStyle w:val="38"/>
              <w:tblpPr w:leftFromText="180" w:rightFromText="180" w:vertAnchor="text" w:horzAnchor="page" w:tblpXSpec="center" w:tblpY="89"/>
              <w:tblOverlap w:val="never"/>
              <w:tblW w:w="8907" w:type="dxa"/>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318"/>
              <w:gridCol w:w="2375"/>
              <w:gridCol w:w="3214"/>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6" w:hRule="atLeast"/>
              </w:trPr>
              <w:tc>
                <w:tcPr>
                  <w:tcW w:w="3318" w:type="dxa"/>
                  <w:vAlign w:val="center"/>
                </w:tcPr>
                <w:p>
                  <w:pPr>
                    <w:snapToGrid w:val="0"/>
                    <w:jc w:val="center"/>
                    <w:rPr>
                      <w:rFonts w:eastAsiaTheme="minorEastAsia"/>
                      <w:color w:val="auto"/>
                      <w:szCs w:val="21"/>
                    </w:rPr>
                  </w:pPr>
                  <w:r>
                    <w:rPr>
                      <w:rFonts w:eastAsiaTheme="minorEastAsia"/>
                      <w:color w:val="auto"/>
                      <w:szCs w:val="21"/>
                    </w:rPr>
                    <w:t>监测点位编号</w:t>
                  </w:r>
                </w:p>
              </w:tc>
              <w:tc>
                <w:tcPr>
                  <w:tcW w:w="2375" w:type="dxa"/>
                  <w:vAlign w:val="center"/>
                </w:tcPr>
                <w:p>
                  <w:pPr>
                    <w:snapToGrid w:val="0"/>
                    <w:jc w:val="center"/>
                    <w:rPr>
                      <w:rFonts w:eastAsiaTheme="minorEastAsia"/>
                      <w:color w:val="auto"/>
                      <w:szCs w:val="21"/>
                    </w:rPr>
                  </w:pPr>
                  <w:r>
                    <w:rPr>
                      <w:rFonts w:eastAsiaTheme="minorEastAsia"/>
                      <w:color w:val="auto"/>
                      <w:szCs w:val="21"/>
                    </w:rPr>
                    <w:t>监测点</w:t>
                  </w:r>
                </w:p>
              </w:tc>
              <w:tc>
                <w:tcPr>
                  <w:tcW w:w="3214" w:type="dxa"/>
                </w:tcPr>
                <w:p>
                  <w:pPr>
                    <w:snapToGrid w:val="0"/>
                    <w:jc w:val="center"/>
                    <w:rPr>
                      <w:rFonts w:eastAsiaTheme="minorEastAsia"/>
                      <w:color w:val="auto"/>
                      <w:szCs w:val="21"/>
                    </w:rPr>
                  </w:pPr>
                  <w:r>
                    <w:rPr>
                      <w:rFonts w:eastAsiaTheme="minorEastAsia"/>
                      <w:color w:val="auto"/>
                      <w:szCs w:val="21"/>
                    </w:rPr>
                    <w:t>备注</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6" w:hRule="atLeast"/>
              </w:trPr>
              <w:tc>
                <w:tcPr>
                  <w:tcW w:w="3318" w:type="dxa"/>
                  <w:vAlign w:val="center"/>
                </w:tcPr>
                <w:p>
                  <w:pPr>
                    <w:snapToGrid w:val="0"/>
                    <w:jc w:val="center"/>
                    <w:rPr>
                      <w:rFonts w:eastAsiaTheme="minorEastAsia"/>
                      <w:color w:val="auto"/>
                      <w:szCs w:val="21"/>
                    </w:rPr>
                  </w:pPr>
                  <w:r>
                    <w:rPr>
                      <w:rFonts w:eastAsiaTheme="minorEastAsia"/>
                      <w:color w:val="auto"/>
                      <w:szCs w:val="21"/>
                    </w:rPr>
                    <w:t>1#</w:t>
                  </w:r>
                </w:p>
              </w:tc>
              <w:tc>
                <w:tcPr>
                  <w:tcW w:w="2375" w:type="dxa"/>
                  <w:vAlign w:val="center"/>
                </w:tcPr>
                <w:p>
                  <w:pPr>
                    <w:adjustRightInd w:val="0"/>
                    <w:snapToGrid w:val="0"/>
                    <w:jc w:val="center"/>
                    <w:rPr>
                      <w:rFonts w:eastAsiaTheme="minorEastAsia"/>
                      <w:color w:val="auto"/>
                      <w:szCs w:val="21"/>
                    </w:rPr>
                  </w:pPr>
                  <w:r>
                    <w:rPr>
                      <w:rFonts w:eastAsiaTheme="minorEastAsia"/>
                      <w:color w:val="auto"/>
                      <w:szCs w:val="21"/>
                    </w:rPr>
                    <w:t>厂界东侧</w:t>
                  </w:r>
                </w:p>
              </w:tc>
              <w:tc>
                <w:tcPr>
                  <w:tcW w:w="3214" w:type="dxa"/>
                  <w:vAlign w:val="center"/>
                </w:tcPr>
                <w:p>
                  <w:pPr>
                    <w:jc w:val="center"/>
                    <w:rPr>
                      <w:rFonts w:eastAsiaTheme="minorEastAsia"/>
                      <w:color w:val="auto"/>
                      <w:szCs w:val="21"/>
                    </w:rPr>
                  </w:pPr>
                  <w:r>
                    <w:rPr>
                      <w:rFonts w:eastAsiaTheme="minorEastAsia"/>
                      <w:color w:val="auto"/>
                      <w:szCs w:val="21"/>
                    </w:rPr>
                    <w:t>厂界外1m处</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6" w:hRule="atLeast"/>
              </w:trPr>
              <w:tc>
                <w:tcPr>
                  <w:tcW w:w="3318" w:type="dxa"/>
                  <w:vAlign w:val="center"/>
                </w:tcPr>
                <w:p>
                  <w:pPr>
                    <w:snapToGrid w:val="0"/>
                    <w:jc w:val="center"/>
                    <w:rPr>
                      <w:rFonts w:eastAsiaTheme="minorEastAsia"/>
                      <w:color w:val="auto"/>
                      <w:szCs w:val="21"/>
                    </w:rPr>
                  </w:pPr>
                  <w:r>
                    <w:rPr>
                      <w:rFonts w:eastAsiaTheme="minorEastAsia"/>
                      <w:color w:val="auto"/>
                      <w:szCs w:val="21"/>
                    </w:rPr>
                    <w:t>2#</w:t>
                  </w:r>
                </w:p>
              </w:tc>
              <w:tc>
                <w:tcPr>
                  <w:tcW w:w="2375" w:type="dxa"/>
                  <w:vAlign w:val="center"/>
                </w:tcPr>
                <w:p>
                  <w:pPr>
                    <w:adjustRightInd w:val="0"/>
                    <w:snapToGrid w:val="0"/>
                    <w:jc w:val="center"/>
                    <w:rPr>
                      <w:rFonts w:eastAsiaTheme="minorEastAsia"/>
                      <w:color w:val="auto"/>
                      <w:szCs w:val="21"/>
                    </w:rPr>
                  </w:pPr>
                  <w:r>
                    <w:rPr>
                      <w:rFonts w:eastAsiaTheme="minorEastAsia"/>
                      <w:color w:val="auto"/>
                      <w:szCs w:val="21"/>
                    </w:rPr>
                    <w:t>厂界南侧</w:t>
                  </w:r>
                </w:p>
              </w:tc>
              <w:tc>
                <w:tcPr>
                  <w:tcW w:w="3214" w:type="dxa"/>
                </w:tcPr>
                <w:p>
                  <w:pPr>
                    <w:jc w:val="center"/>
                    <w:rPr>
                      <w:rFonts w:eastAsiaTheme="minorEastAsia"/>
                      <w:color w:val="auto"/>
                    </w:rPr>
                  </w:pPr>
                  <w:r>
                    <w:rPr>
                      <w:rFonts w:eastAsiaTheme="minorEastAsia"/>
                      <w:color w:val="auto"/>
                      <w:szCs w:val="21"/>
                    </w:rPr>
                    <w:t>厂界外1m处</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6" w:hRule="atLeast"/>
              </w:trPr>
              <w:tc>
                <w:tcPr>
                  <w:tcW w:w="3318" w:type="dxa"/>
                  <w:vAlign w:val="center"/>
                </w:tcPr>
                <w:p>
                  <w:pPr>
                    <w:snapToGrid w:val="0"/>
                    <w:jc w:val="center"/>
                    <w:rPr>
                      <w:rFonts w:eastAsiaTheme="minorEastAsia"/>
                      <w:color w:val="auto"/>
                      <w:szCs w:val="21"/>
                    </w:rPr>
                  </w:pPr>
                  <w:r>
                    <w:rPr>
                      <w:rFonts w:eastAsiaTheme="minorEastAsia"/>
                      <w:color w:val="auto"/>
                      <w:szCs w:val="21"/>
                    </w:rPr>
                    <w:t>3#</w:t>
                  </w:r>
                </w:p>
              </w:tc>
              <w:tc>
                <w:tcPr>
                  <w:tcW w:w="2375" w:type="dxa"/>
                  <w:vAlign w:val="center"/>
                </w:tcPr>
                <w:p>
                  <w:pPr>
                    <w:adjustRightInd w:val="0"/>
                    <w:snapToGrid w:val="0"/>
                    <w:jc w:val="center"/>
                    <w:rPr>
                      <w:rFonts w:eastAsiaTheme="minorEastAsia"/>
                      <w:color w:val="auto"/>
                      <w:szCs w:val="21"/>
                    </w:rPr>
                  </w:pPr>
                  <w:r>
                    <w:rPr>
                      <w:rFonts w:eastAsiaTheme="minorEastAsia"/>
                      <w:color w:val="auto"/>
                      <w:szCs w:val="21"/>
                    </w:rPr>
                    <w:t>厂界西侧</w:t>
                  </w:r>
                </w:p>
              </w:tc>
              <w:tc>
                <w:tcPr>
                  <w:tcW w:w="3214" w:type="dxa"/>
                </w:tcPr>
                <w:p>
                  <w:pPr>
                    <w:jc w:val="center"/>
                    <w:rPr>
                      <w:rFonts w:eastAsiaTheme="minorEastAsia"/>
                      <w:color w:val="auto"/>
                    </w:rPr>
                  </w:pPr>
                  <w:r>
                    <w:rPr>
                      <w:rFonts w:eastAsiaTheme="minorEastAsia"/>
                      <w:color w:val="auto"/>
                      <w:szCs w:val="21"/>
                    </w:rPr>
                    <w:t>厂界外1m处</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6" w:hRule="atLeast"/>
              </w:trPr>
              <w:tc>
                <w:tcPr>
                  <w:tcW w:w="3318" w:type="dxa"/>
                  <w:vAlign w:val="center"/>
                </w:tcPr>
                <w:p>
                  <w:pPr>
                    <w:snapToGrid w:val="0"/>
                    <w:jc w:val="center"/>
                    <w:rPr>
                      <w:rFonts w:eastAsiaTheme="minorEastAsia"/>
                      <w:color w:val="auto"/>
                      <w:szCs w:val="21"/>
                    </w:rPr>
                  </w:pPr>
                  <w:r>
                    <w:rPr>
                      <w:rFonts w:eastAsiaTheme="minorEastAsia"/>
                      <w:color w:val="auto"/>
                      <w:szCs w:val="21"/>
                    </w:rPr>
                    <w:t>4#</w:t>
                  </w:r>
                </w:p>
              </w:tc>
              <w:tc>
                <w:tcPr>
                  <w:tcW w:w="2375" w:type="dxa"/>
                  <w:vAlign w:val="center"/>
                </w:tcPr>
                <w:p>
                  <w:pPr>
                    <w:adjustRightInd w:val="0"/>
                    <w:snapToGrid w:val="0"/>
                    <w:jc w:val="center"/>
                    <w:rPr>
                      <w:rFonts w:eastAsiaTheme="minorEastAsia"/>
                      <w:color w:val="auto"/>
                      <w:szCs w:val="21"/>
                    </w:rPr>
                  </w:pPr>
                  <w:r>
                    <w:rPr>
                      <w:rFonts w:eastAsiaTheme="minorEastAsia"/>
                      <w:color w:val="auto"/>
                      <w:szCs w:val="21"/>
                    </w:rPr>
                    <w:t>厂界北侧</w:t>
                  </w:r>
                </w:p>
              </w:tc>
              <w:tc>
                <w:tcPr>
                  <w:tcW w:w="3214" w:type="dxa"/>
                </w:tcPr>
                <w:p>
                  <w:pPr>
                    <w:jc w:val="center"/>
                    <w:rPr>
                      <w:rFonts w:eastAsiaTheme="minorEastAsia"/>
                      <w:color w:val="auto"/>
                    </w:rPr>
                  </w:pPr>
                  <w:r>
                    <w:rPr>
                      <w:rFonts w:eastAsiaTheme="minorEastAsia"/>
                      <w:color w:val="auto"/>
                      <w:szCs w:val="21"/>
                    </w:rPr>
                    <w:t>厂界外1m处</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6" w:hRule="atLeast"/>
              </w:trPr>
              <w:tc>
                <w:tcPr>
                  <w:tcW w:w="3318" w:type="dxa"/>
                  <w:vAlign w:val="center"/>
                </w:tcPr>
                <w:p>
                  <w:pPr>
                    <w:snapToGrid w:val="0"/>
                    <w:jc w:val="center"/>
                    <w:rPr>
                      <w:rFonts w:eastAsiaTheme="minorEastAsia"/>
                      <w:color w:val="auto"/>
                      <w:szCs w:val="21"/>
                    </w:rPr>
                  </w:pPr>
                  <w:r>
                    <w:rPr>
                      <w:rFonts w:eastAsiaTheme="minorEastAsia"/>
                      <w:color w:val="auto"/>
                      <w:szCs w:val="21"/>
                    </w:rPr>
                    <w:t>5#</w:t>
                  </w:r>
                </w:p>
              </w:tc>
              <w:tc>
                <w:tcPr>
                  <w:tcW w:w="2375" w:type="dxa"/>
                  <w:vAlign w:val="center"/>
                </w:tcPr>
                <w:p>
                  <w:pPr>
                    <w:adjustRightInd w:val="0"/>
                    <w:snapToGrid w:val="0"/>
                    <w:jc w:val="center"/>
                    <w:rPr>
                      <w:rFonts w:eastAsiaTheme="minorEastAsia"/>
                      <w:color w:val="auto"/>
                      <w:szCs w:val="21"/>
                    </w:rPr>
                  </w:pPr>
                  <w:r>
                    <w:rPr>
                      <w:rFonts w:eastAsiaTheme="minorEastAsia"/>
                      <w:color w:val="auto"/>
                      <w:szCs w:val="21"/>
                    </w:rPr>
                    <w:t>金村乡卫生院</w:t>
                  </w:r>
                </w:p>
              </w:tc>
              <w:tc>
                <w:tcPr>
                  <w:tcW w:w="3214" w:type="dxa"/>
                </w:tcPr>
                <w:p>
                  <w:pPr>
                    <w:jc w:val="center"/>
                    <w:rPr>
                      <w:rFonts w:eastAsiaTheme="minorEastAsia"/>
                      <w:color w:val="auto"/>
                      <w:szCs w:val="21"/>
                    </w:rPr>
                  </w:pPr>
                  <w:r>
                    <w:rPr>
                      <w:rFonts w:eastAsiaTheme="minorEastAsia"/>
                      <w:color w:val="auto"/>
                      <w:szCs w:val="21"/>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6" w:hRule="atLeast"/>
              </w:trPr>
              <w:tc>
                <w:tcPr>
                  <w:tcW w:w="3318" w:type="dxa"/>
                  <w:vAlign w:val="center"/>
                </w:tcPr>
                <w:p>
                  <w:pPr>
                    <w:snapToGrid w:val="0"/>
                    <w:jc w:val="center"/>
                    <w:rPr>
                      <w:rFonts w:eastAsiaTheme="minorEastAsia"/>
                      <w:color w:val="auto"/>
                      <w:szCs w:val="21"/>
                    </w:rPr>
                  </w:pPr>
                  <w:r>
                    <w:rPr>
                      <w:rFonts w:eastAsiaTheme="minorEastAsia"/>
                      <w:color w:val="auto"/>
                      <w:szCs w:val="21"/>
                    </w:rPr>
                    <w:t>6#</w:t>
                  </w:r>
                </w:p>
              </w:tc>
              <w:tc>
                <w:tcPr>
                  <w:tcW w:w="2375" w:type="dxa"/>
                  <w:vAlign w:val="center"/>
                </w:tcPr>
                <w:p>
                  <w:pPr>
                    <w:adjustRightInd w:val="0"/>
                    <w:snapToGrid w:val="0"/>
                    <w:jc w:val="center"/>
                    <w:rPr>
                      <w:rFonts w:eastAsiaTheme="minorEastAsia"/>
                      <w:color w:val="auto"/>
                      <w:szCs w:val="21"/>
                    </w:rPr>
                  </w:pPr>
                  <w:r>
                    <w:rPr>
                      <w:rFonts w:eastAsiaTheme="minorEastAsia"/>
                      <w:color w:val="auto"/>
                      <w:szCs w:val="21"/>
                    </w:rPr>
                    <w:t>金村乡初级中学</w:t>
                  </w:r>
                </w:p>
              </w:tc>
              <w:tc>
                <w:tcPr>
                  <w:tcW w:w="3214" w:type="dxa"/>
                </w:tcPr>
                <w:p>
                  <w:pPr>
                    <w:jc w:val="center"/>
                    <w:rPr>
                      <w:rFonts w:eastAsiaTheme="minorEastAsia"/>
                      <w:color w:val="auto"/>
                      <w:szCs w:val="21"/>
                    </w:rPr>
                  </w:pPr>
                  <w:r>
                    <w:rPr>
                      <w:rFonts w:eastAsiaTheme="minorEastAsia"/>
                      <w:color w:val="auto"/>
                      <w:szCs w:val="21"/>
                    </w:rPr>
                    <w:t>/</w:t>
                  </w:r>
                </w:p>
              </w:tc>
            </w:tr>
          </w:tbl>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⑵</w:t>
            </w:r>
            <w:r>
              <w:rPr>
                <w:rFonts w:eastAsiaTheme="minorEastAsia"/>
                <w:color w:val="auto"/>
                <w:sz w:val="24"/>
              </w:rPr>
              <w:t>监测时间与监测频次</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连续监测2天，每天昼间、夜间各监测1次，每次监测1min，昼间为6：00-22：00，夜间为22：00-6：00，</w:t>
            </w:r>
            <w:r>
              <w:rPr>
                <w:rFonts w:eastAsiaTheme="minorEastAsia"/>
                <w:snapToGrid w:val="0"/>
                <w:color w:val="auto"/>
                <w:kern w:val="0"/>
                <w:sz w:val="24"/>
              </w:rPr>
              <w:t>离建筑物的距离不小于1m，传声器距地面的垂直距离不小于1.2m。</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⑶</w:t>
            </w:r>
            <w:r>
              <w:rPr>
                <w:rFonts w:eastAsiaTheme="minorEastAsia"/>
                <w:color w:val="auto"/>
                <w:sz w:val="24"/>
              </w:rPr>
              <w:t>监测依据</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噪声监测按照《声环境质量标准》中的相关要求执行。</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⑷</w:t>
            </w:r>
            <w:r>
              <w:rPr>
                <w:rFonts w:eastAsiaTheme="minorEastAsia"/>
                <w:color w:val="auto"/>
                <w:sz w:val="24"/>
              </w:rPr>
              <w:t>评价标准</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本项目标准执行《声环境质量标准》中的2类声环境功能区划。</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⑸</w:t>
            </w:r>
            <w:r>
              <w:rPr>
                <w:rFonts w:eastAsiaTheme="minorEastAsia"/>
                <w:color w:val="auto"/>
                <w:sz w:val="24"/>
              </w:rPr>
              <w:t>监测结果</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本项目监测结果具体见表33。</w:t>
            </w:r>
          </w:p>
          <w:p>
            <w:pPr>
              <w:adjustRightInd w:val="0"/>
              <w:snapToGrid w:val="0"/>
              <w:spacing w:line="360" w:lineRule="auto"/>
              <w:ind w:firstLine="482"/>
              <w:jc w:val="center"/>
              <w:rPr>
                <w:rFonts w:eastAsiaTheme="minorEastAsia"/>
                <w:color w:val="auto"/>
                <w:sz w:val="24"/>
              </w:rPr>
            </w:pPr>
            <w:r>
              <w:rPr>
                <w:rFonts w:eastAsiaTheme="minorEastAsia"/>
                <w:b/>
                <w:bCs/>
                <w:color w:val="auto"/>
                <w:sz w:val="24"/>
              </w:rPr>
              <w:t>表33噪声监测结果单位：dB（A）</w:t>
            </w:r>
          </w:p>
          <w:tbl>
            <w:tblPr>
              <w:tblStyle w:val="38"/>
              <w:tblW w:w="8660"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50"/>
              <w:gridCol w:w="1843"/>
              <w:gridCol w:w="1701"/>
              <w:gridCol w:w="1559"/>
              <w:gridCol w:w="1607"/>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9" w:hRule="atLeast"/>
                <w:jc w:val="center"/>
              </w:trPr>
              <w:tc>
                <w:tcPr>
                  <w:tcW w:w="1950" w:type="dxa"/>
                  <w:vMerge w:val="restart"/>
                  <w:vAlign w:val="center"/>
                </w:tcPr>
                <w:p>
                  <w:pPr>
                    <w:adjustRightInd w:val="0"/>
                    <w:snapToGrid w:val="0"/>
                    <w:jc w:val="center"/>
                    <w:rPr>
                      <w:rFonts w:eastAsiaTheme="minorEastAsia"/>
                      <w:color w:val="auto"/>
                      <w:szCs w:val="21"/>
                    </w:rPr>
                  </w:pPr>
                  <w:r>
                    <w:rPr>
                      <w:rFonts w:eastAsiaTheme="minorEastAsia"/>
                      <w:color w:val="auto"/>
                      <w:szCs w:val="21"/>
                    </w:rPr>
                    <mc:AlternateContent>
                      <mc:Choice Requires="wps">
                        <w:drawing>
                          <wp:anchor distT="0" distB="0" distL="114300" distR="114300" simplePos="0" relativeHeight="251660288" behindDoc="0" locked="0" layoutInCell="1" allowOverlap="1">
                            <wp:simplePos x="0" y="0"/>
                            <wp:positionH relativeFrom="column">
                              <wp:posOffset>-66040</wp:posOffset>
                            </wp:positionH>
                            <wp:positionV relativeFrom="paragraph">
                              <wp:posOffset>3810</wp:posOffset>
                            </wp:positionV>
                            <wp:extent cx="1019175" cy="452755"/>
                            <wp:effectExtent l="3175" t="6985" r="6350" b="16510"/>
                            <wp:wrapNone/>
                            <wp:docPr id="8" name="直线 991"/>
                            <wp:cNvGraphicFramePr/>
                            <a:graphic xmlns:a="http://schemas.openxmlformats.org/drawingml/2006/main">
                              <a:graphicData uri="http://schemas.microsoft.com/office/word/2010/wordprocessingShape">
                                <wps:wsp>
                                  <wps:cNvCnPr/>
                                  <wps:spPr>
                                    <a:xfrm>
                                      <a:off x="0" y="0"/>
                                      <a:ext cx="1019175" cy="45275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直线 991" o:spid="_x0000_s1026" o:spt="20" style="position:absolute;left:0pt;margin-left:-5.2pt;margin-top:0.3pt;height:35.65pt;width:80.25pt;z-index:251660288;mso-width-relative:page;mso-height-relative:page;" filled="f" stroked="t" coordsize="21600,21600" o:gfxdata="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APS&#10;XdYAAAAHAQAADwAAAAAAAAABACAAAAAiAAAAZHJzL2Rvd25yZXYueG1sUEsBAhQAFAAAAAgAh07i&#10;QMn68ybrAQAA4wMAAA4AAAAAAAAAAQAgAAAAJQEAAGRycy9lMm9Eb2MueG1sUEsFBgAAAAAGAAYA&#10;WQEAAIIFAAAAAA==&#10;">
                            <v:fill on="f" focussize="0,0"/>
                            <v:stroke weight="1.25pt" color="#000000" joinstyle="round"/>
                            <v:imagedata o:title=""/>
                            <o:lock v:ext="edit" aspectratio="f"/>
                          </v:line>
                        </w:pict>
                      </mc:Fallback>
                    </mc:AlternateContent>
                  </w:r>
                  <w:r>
                    <w:rPr>
                      <w:rFonts w:eastAsiaTheme="minorEastAsia"/>
                      <w:color w:val="auto"/>
                      <w:szCs w:val="21"/>
                    </w:rPr>
                    <w:t>监测时间</w:t>
                  </w:r>
                </w:p>
                <w:p>
                  <w:pPr>
                    <w:adjustRightInd w:val="0"/>
                    <w:snapToGrid w:val="0"/>
                    <w:jc w:val="center"/>
                    <w:rPr>
                      <w:rFonts w:eastAsiaTheme="minorEastAsia"/>
                      <w:color w:val="auto"/>
                      <w:szCs w:val="21"/>
                    </w:rPr>
                  </w:pPr>
                </w:p>
                <w:p>
                  <w:pPr>
                    <w:adjustRightInd w:val="0"/>
                    <w:snapToGrid w:val="0"/>
                    <w:rPr>
                      <w:rFonts w:eastAsiaTheme="minorEastAsia"/>
                      <w:color w:val="auto"/>
                      <w:szCs w:val="21"/>
                    </w:rPr>
                  </w:pPr>
                  <w:r>
                    <w:rPr>
                      <w:rFonts w:eastAsiaTheme="minorEastAsia"/>
                      <w:color w:val="auto"/>
                      <w:szCs w:val="21"/>
                    </w:rPr>
                    <w:t>点位</w:t>
                  </w:r>
                </w:p>
              </w:tc>
              <w:tc>
                <w:tcPr>
                  <w:tcW w:w="3544" w:type="dxa"/>
                  <w:gridSpan w:val="2"/>
                  <w:vAlign w:val="center"/>
                </w:tcPr>
                <w:p>
                  <w:pPr>
                    <w:adjustRightInd w:val="0"/>
                    <w:snapToGrid w:val="0"/>
                    <w:jc w:val="center"/>
                    <w:rPr>
                      <w:rFonts w:eastAsiaTheme="minorEastAsia"/>
                      <w:color w:val="auto"/>
                      <w:szCs w:val="21"/>
                    </w:rPr>
                  </w:pPr>
                  <w:r>
                    <w:rPr>
                      <w:rFonts w:eastAsiaTheme="minorEastAsia"/>
                      <w:color w:val="auto"/>
                      <w:szCs w:val="21"/>
                    </w:rPr>
                    <w:t>2019年2月15日</w:t>
                  </w:r>
                </w:p>
              </w:tc>
              <w:tc>
                <w:tcPr>
                  <w:tcW w:w="3166" w:type="dxa"/>
                  <w:gridSpan w:val="2"/>
                  <w:vAlign w:val="center"/>
                </w:tcPr>
                <w:p>
                  <w:pPr>
                    <w:adjustRightInd w:val="0"/>
                    <w:snapToGrid w:val="0"/>
                    <w:jc w:val="center"/>
                    <w:rPr>
                      <w:rFonts w:eastAsiaTheme="minorEastAsia"/>
                      <w:color w:val="auto"/>
                      <w:szCs w:val="21"/>
                    </w:rPr>
                  </w:pPr>
                  <w:r>
                    <w:rPr>
                      <w:rFonts w:eastAsiaTheme="minorEastAsia"/>
                      <w:color w:val="auto"/>
                      <w:szCs w:val="21"/>
                    </w:rPr>
                    <w:t>201949.8年2月16日</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950" w:type="dxa"/>
                  <w:vMerge w:val="continue"/>
                  <w:vAlign w:val="center"/>
                </w:tcPr>
                <w:p>
                  <w:pPr>
                    <w:adjustRightInd w:val="0"/>
                    <w:snapToGrid w:val="0"/>
                    <w:jc w:val="center"/>
                    <w:rPr>
                      <w:rFonts w:eastAsiaTheme="minorEastAsia"/>
                      <w:color w:val="auto"/>
                      <w:szCs w:val="21"/>
                    </w:rPr>
                  </w:pPr>
                </w:p>
              </w:tc>
              <w:tc>
                <w:tcPr>
                  <w:tcW w:w="1843" w:type="dxa"/>
                  <w:vAlign w:val="center"/>
                </w:tcPr>
                <w:p>
                  <w:pPr>
                    <w:adjustRightInd w:val="0"/>
                    <w:snapToGrid w:val="0"/>
                    <w:jc w:val="center"/>
                    <w:rPr>
                      <w:rFonts w:eastAsiaTheme="minorEastAsia"/>
                      <w:color w:val="auto"/>
                      <w:szCs w:val="21"/>
                    </w:rPr>
                  </w:pPr>
                  <w:r>
                    <w:rPr>
                      <w:rFonts w:eastAsiaTheme="minorEastAsia"/>
                      <w:color w:val="auto"/>
                      <w:szCs w:val="21"/>
                    </w:rPr>
                    <w:t>昼间</w:t>
                  </w:r>
                </w:p>
              </w:tc>
              <w:tc>
                <w:tcPr>
                  <w:tcW w:w="1701" w:type="dxa"/>
                  <w:vAlign w:val="center"/>
                </w:tcPr>
                <w:p>
                  <w:pPr>
                    <w:adjustRightInd w:val="0"/>
                    <w:snapToGrid w:val="0"/>
                    <w:jc w:val="center"/>
                    <w:rPr>
                      <w:rFonts w:eastAsiaTheme="minorEastAsia"/>
                      <w:color w:val="auto"/>
                      <w:szCs w:val="21"/>
                    </w:rPr>
                  </w:pPr>
                  <w:r>
                    <w:rPr>
                      <w:rFonts w:eastAsiaTheme="minorEastAsia"/>
                      <w:color w:val="auto"/>
                      <w:szCs w:val="21"/>
                    </w:rPr>
                    <w:t>夜间</w:t>
                  </w:r>
                </w:p>
              </w:tc>
              <w:tc>
                <w:tcPr>
                  <w:tcW w:w="1559" w:type="dxa"/>
                  <w:vAlign w:val="center"/>
                </w:tcPr>
                <w:p>
                  <w:pPr>
                    <w:adjustRightInd w:val="0"/>
                    <w:snapToGrid w:val="0"/>
                    <w:jc w:val="center"/>
                    <w:rPr>
                      <w:rFonts w:eastAsiaTheme="minorEastAsia"/>
                      <w:color w:val="auto"/>
                      <w:szCs w:val="21"/>
                    </w:rPr>
                  </w:pPr>
                  <w:r>
                    <w:rPr>
                      <w:rFonts w:eastAsiaTheme="minorEastAsia"/>
                      <w:color w:val="auto"/>
                      <w:szCs w:val="21"/>
                    </w:rPr>
                    <w:t>昼间</w:t>
                  </w:r>
                </w:p>
              </w:tc>
              <w:tc>
                <w:tcPr>
                  <w:tcW w:w="1607" w:type="dxa"/>
                  <w:vAlign w:val="center"/>
                </w:tcPr>
                <w:p>
                  <w:pPr>
                    <w:adjustRightInd w:val="0"/>
                    <w:snapToGrid w:val="0"/>
                    <w:jc w:val="center"/>
                    <w:rPr>
                      <w:rFonts w:eastAsiaTheme="minorEastAsia"/>
                      <w:color w:val="auto"/>
                      <w:szCs w:val="21"/>
                    </w:rPr>
                  </w:pPr>
                  <w:r>
                    <w:rPr>
                      <w:rFonts w:eastAsiaTheme="minorEastAsia"/>
                      <w:color w:val="auto"/>
                      <w:szCs w:val="21"/>
                    </w:rPr>
                    <w:t>夜间</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1950" w:type="dxa"/>
                  <w:vAlign w:val="center"/>
                </w:tcPr>
                <w:p>
                  <w:pPr>
                    <w:adjustRightInd w:val="0"/>
                    <w:snapToGrid w:val="0"/>
                    <w:jc w:val="center"/>
                    <w:rPr>
                      <w:rFonts w:eastAsiaTheme="minorEastAsia"/>
                      <w:color w:val="auto"/>
                      <w:szCs w:val="21"/>
                    </w:rPr>
                  </w:pPr>
                  <w:r>
                    <w:rPr>
                      <w:rFonts w:eastAsiaTheme="minorEastAsia"/>
                      <w:color w:val="auto"/>
                      <w:szCs w:val="21"/>
                    </w:rPr>
                    <w:t>1#厂界东侧</w:t>
                  </w:r>
                </w:p>
              </w:tc>
              <w:tc>
                <w:tcPr>
                  <w:tcW w:w="1843" w:type="dxa"/>
                  <w:vAlign w:val="center"/>
                </w:tcPr>
                <w:p>
                  <w:pPr>
                    <w:adjustRightInd w:val="0"/>
                    <w:snapToGrid w:val="0"/>
                    <w:jc w:val="center"/>
                    <w:rPr>
                      <w:rFonts w:eastAsiaTheme="minorEastAsia"/>
                      <w:bCs/>
                      <w:color w:val="auto"/>
                      <w:szCs w:val="21"/>
                    </w:rPr>
                  </w:pPr>
                  <w:r>
                    <w:rPr>
                      <w:rFonts w:eastAsiaTheme="minorEastAsia"/>
                      <w:bCs/>
                      <w:color w:val="auto"/>
                      <w:szCs w:val="21"/>
                    </w:rPr>
                    <w:t>49.8</w:t>
                  </w:r>
                </w:p>
              </w:tc>
              <w:tc>
                <w:tcPr>
                  <w:tcW w:w="1701" w:type="dxa"/>
                  <w:vAlign w:val="center"/>
                </w:tcPr>
                <w:p>
                  <w:pPr>
                    <w:adjustRightInd w:val="0"/>
                    <w:snapToGrid w:val="0"/>
                    <w:jc w:val="center"/>
                    <w:rPr>
                      <w:rFonts w:eastAsiaTheme="minorEastAsia"/>
                      <w:bCs/>
                      <w:color w:val="auto"/>
                      <w:szCs w:val="21"/>
                    </w:rPr>
                  </w:pPr>
                  <w:r>
                    <w:rPr>
                      <w:rFonts w:eastAsiaTheme="minorEastAsia"/>
                      <w:bCs/>
                      <w:color w:val="auto"/>
                      <w:szCs w:val="21"/>
                    </w:rPr>
                    <w:t>41.2</w:t>
                  </w:r>
                </w:p>
              </w:tc>
              <w:tc>
                <w:tcPr>
                  <w:tcW w:w="1559" w:type="dxa"/>
                  <w:vAlign w:val="center"/>
                </w:tcPr>
                <w:p>
                  <w:pPr>
                    <w:adjustRightInd w:val="0"/>
                    <w:snapToGrid w:val="0"/>
                    <w:jc w:val="center"/>
                    <w:rPr>
                      <w:rFonts w:eastAsiaTheme="minorEastAsia"/>
                      <w:bCs/>
                      <w:color w:val="auto"/>
                      <w:szCs w:val="21"/>
                    </w:rPr>
                  </w:pPr>
                  <w:r>
                    <w:rPr>
                      <w:rFonts w:eastAsiaTheme="minorEastAsia"/>
                      <w:bCs/>
                      <w:color w:val="auto"/>
                      <w:szCs w:val="21"/>
                    </w:rPr>
                    <w:t>49.4</w:t>
                  </w:r>
                </w:p>
              </w:tc>
              <w:tc>
                <w:tcPr>
                  <w:tcW w:w="1607" w:type="dxa"/>
                  <w:vAlign w:val="center"/>
                </w:tcPr>
                <w:p>
                  <w:pPr>
                    <w:adjustRightInd w:val="0"/>
                    <w:snapToGrid w:val="0"/>
                    <w:jc w:val="center"/>
                    <w:rPr>
                      <w:rFonts w:eastAsiaTheme="minorEastAsia"/>
                      <w:bCs/>
                      <w:color w:val="auto"/>
                      <w:szCs w:val="21"/>
                    </w:rPr>
                  </w:pPr>
                  <w:r>
                    <w:rPr>
                      <w:rFonts w:eastAsiaTheme="minorEastAsia"/>
                      <w:bCs/>
                      <w:color w:val="auto"/>
                      <w:szCs w:val="21"/>
                    </w:rPr>
                    <w:t>41.3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1950" w:type="dxa"/>
                  <w:vAlign w:val="center"/>
                </w:tcPr>
                <w:p>
                  <w:pPr>
                    <w:adjustRightInd w:val="0"/>
                    <w:snapToGrid w:val="0"/>
                    <w:jc w:val="center"/>
                    <w:rPr>
                      <w:rFonts w:eastAsiaTheme="minorEastAsia"/>
                      <w:color w:val="auto"/>
                      <w:szCs w:val="21"/>
                    </w:rPr>
                  </w:pPr>
                  <w:r>
                    <w:rPr>
                      <w:rFonts w:eastAsiaTheme="minorEastAsia"/>
                      <w:color w:val="auto"/>
                      <w:szCs w:val="21"/>
                    </w:rPr>
                    <w:t>2#厂界南侧</w:t>
                  </w:r>
                </w:p>
              </w:tc>
              <w:tc>
                <w:tcPr>
                  <w:tcW w:w="1843" w:type="dxa"/>
                  <w:vAlign w:val="center"/>
                </w:tcPr>
                <w:p>
                  <w:pPr>
                    <w:adjustRightInd w:val="0"/>
                    <w:snapToGrid w:val="0"/>
                    <w:jc w:val="center"/>
                    <w:rPr>
                      <w:rFonts w:eastAsiaTheme="minorEastAsia"/>
                      <w:bCs/>
                      <w:color w:val="auto"/>
                      <w:szCs w:val="21"/>
                    </w:rPr>
                  </w:pPr>
                  <w:r>
                    <w:rPr>
                      <w:rFonts w:eastAsiaTheme="minorEastAsia"/>
                      <w:bCs/>
                      <w:color w:val="auto"/>
                      <w:szCs w:val="21"/>
                    </w:rPr>
                    <w:t>50.5</w:t>
                  </w:r>
                </w:p>
              </w:tc>
              <w:tc>
                <w:tcPr>
                  <w:tcW w:w="1701" w:type="dxa"/>
                  <w:vAlign w:val="center"/>
                </w:tcPr>
                <w:p>
                  <w:pPr>
                    <w:adjustRightInd w:val="0"/>
                    <w:snapToGrid w:val="0"/>
                    <w:jc w:val="center"/>
                    <w:rPr>
                      <w:rFonts w:eastAsiaTheme="minorEastAsia"/>
                      <w:bCs/>
                      <w:color w:val="auto"/>
                      <w:szCs w:val="21"/>
                    </w:rPr>
                  </w:pPr>
                  <w:r>
                    <w:rPr>
                      <w:rFonts w:eastAsiaTheme="minorEastAsia"/>
                      <w:bCs/>
                      <w:color w:val="auto"/>
                      <w:szCs w:val="21"/>
                    </w:rPr>
                    <w:t>40.9</w:t>
                  </w:r>
                </w:p>
              </w:tc>
              <w:tc>
                <w:tcPr>
                  <w:tcW w:w="1559" w:type="dxa"/>
                  <w:vAlign w:val="center"/>
                </w:tcPr>
                <w:p>
                  <w:pPr>
                    <w:adjustRightInd w:val="0"/>
                    <w:snapToGrid w:val="0"/>
                    <w:jc w:val="center"/>
                    <w:rPr>
                      <w:rFonts w:eastAsiaTheme="minorEastAsia"/>
                      <w:bCs/>
                      <w:color w:val="auto"/>
                      <w:szCs w:val="21"/>
                    </w:rPr>
                  </w:pPr>
                  <w:r>
                    <w:rPr>
                      <w:rFonts w:eastAsiaTheme="minorEastAsia"/>
                      <w:bCs/>
                      <w:color w:val="auto"/>
                      <w:szCs w:val="21"/>
                    </w:rPr>
                    <w:t>50.0</w:t>
                  </w:r>
                </w:p>
              </w:tc>
              <w:tc>
                <w:tcPr>
                  <w:tcW w:w="1607" w:type="dxa"/>
                  <w:vAlign w:val="center"/>
                </w:tcPr>
                <w:p>
                  <w:pPr>
                    <w:adjustRightInd w:val="0"/>
                    <w:snapToGrid w:val="0"/>
                    <w:jc w:val="center"/>
                    <w:rPr>
                      <w:rFonts w:eastAsiaTheme="minorEastAsia"/>
                      <w:bCs/>
                      <w:color w:val="auto"/>
                      <w:szCs w:val="21"/>
                    </w:rPr>
                  </w:pPr>
                  <w:r>
                    <w:rPr>
                      <w:rFonts w:eastAsiaTheme="minorEastAsia"/>
                      <w:bCs/>
                      <w:color w:val="auto"/>
                      <w:szCs w:val="21"/>
                    </w:rPr>
                    <w:t>40.7</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9" w:hRule="atLeast"/>
                <w:jc w:val="center"/>
              </w:trPr>
              <w:tc>
                <w:tcPr>
                  <w:tcW w:w="1950" w:type="dxa"/>
                  <w:vAlign w:val="center"/>
                </w:tcPr>
                <w:p>
                  <w:pPr>
                    <w:adjustRightInd w:val="0"/>
                    <w:snapToGrid w:val="0"/>
                    <w:jc w:val="center"/>
                    <w:rPr>
                      <w:rFonts w:eastAsiaTheme="minorEastAsia"/>
                      <w:color w:val="auto"/>
                      <w:szCs w:val="21"/>
                    </w:rPr>
                  </w:pPr>
                  <w:r>
                    <w:rPr>
                      <w:rFonts w:eastAsiaTheme="minorEastAsia"/>
                      <w:color w:val="auto"/>
                      <w:szCs w:val="21"/>
                    </w:rPr>
                    <w:t>3#厂界西侧</w:t>
                  </w:r>
                </w:p>
              </w:tc>
              <w:tc>
                <w:tcPr>
                  <w:tcW w:w="1843" w:type="dxa"/>
                  <w:vAlign w:val="center"/>
                </w:tcPr>
                <w:p>
                  <w:pPr>
                    <w:adjustRightInd w:val="0"/>
                    <w:snapToGrid w:val="0"/>
                    <w:jc w:val="center"/>
                    <w:rPr>
                      <w:rFonts w:eastAsiaTheme="minorEastAsia"/>
                      <w:bCs/>
                      <w:color w:val="auto"/>
                      <w:szCs w:val="21"/>
                    </w:rPr>
                  </w:pPr>
                  <w:r>
                    <w:rPr>
                      <w:rFonts w:eastAsiaTheme="minorEastAsia"/>
                      <w:bCs/>
                      <w:color w:val="auto"/>
                      <w:szCs w:val="21"/>
                    </w:rPr>
                    <w:t>50.7</w:t>
                  </w:r>
                </w:p>
              </w:tc>
              <w:tc>
                <w:tcPr>
                  <w:tcW w:w="1701" w:type="dxa"/>
                  <w:vAlign w:val="center"/>
                </w:tcPr>
                <w:p>
                  <w:pPr>
                    <w:adjustRightInd w:val="0"/>
                    <w:snapToGrid w:val="0"/>
                    <w:jc w:val="center"/>
                    <w:rPr>
                      <w:rFonts w:eastAsiaTheme="minorEastAsia"/>
                      <w:bCs/>
                      <w:color w:val="auto"/>
                      <w:szCs w:val="21"/>
                    </w:rPr>
                  </w:pPr>
                  <w:r>
                    <w:rPr>
                      <w:rFonts w:eastAsiaTheme="minorEastAsia"/>
                      <w:bCs/>
                      <w:color w:val="auto"/>
                      <w:szCs w:val="21"/>
                    </w:rPr>
                    <w:t>41.5</w:t>
                  </w:r>
                </w:p>
              </w:tc>
              <w:tc>
                <w:tcPr>
                  <w:tcW w:w="1559" w:type="dxa"/>
                  <w:vAlign w:val="center"/>
                </w:tcPr>
                <w:p>
                  <w:pPr>
                    <w:adjustRightInd w:val="0"/>
                    <w:snapToGrid w:val="0"/>
                    <w:jc w:val="center"/>
                    <w:rPr>
                      <w:rFonts w:eastAsiaTheme="minorEastAsia"/>
                      <w:bCs/>
                      <w:color w:val="auto"/>
                      <w:szCs w:val="21"/>
                    </w:rPr>
                  </w:pPr>
                  <w:r>
                    <w:rPr>
                      <w:rFonts w:eastAsiaTheme="minorEastAsia"/>
                      <w:bCs/>
                      <w:color w:val="auto"/>
                      <w:szCs w:val="21"/>
                    </w:rPr>
                    <w:t>50.1</w:t>
                  </w:r>
                </w:p>
              </w:tc>
              <w:tc>
                <w:tcPr>
                  <w:tcW w:w="1607" w:type="dxa"/>
                  <w:vAlign w:val="center"/>
                </w:tcPr>
                <w:p>
                  <w:pPr>
                    <w:adjustRightInd w:val="0"/>
                    <w:snapToGrid w:val="0"/>
                    <w:jc w:val="center"/>
                    <w:rPr>
                      <w:rFonts w:eastAsiaTheme="minorEastAsia"/>
                      <w:bCs/>
                      <w:color w:val="auto"/>
                      <w:szCs w:val="21"/>
                    </w:rPr>
                  </w:pPr>
                  <w:r>
                    <w:rPr>
                      <w:rFonts w:eastAsiaTheme="minorEastAsia"/>
                      <w:bCs/>
                      <w:color w:val="auto"/>
                      <w:szCs w:val="21"/>
                    </w:rPr>
                    <w:t>41.2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1950" w:type="dxa"/>
                  <w:vAlign w:val="center"/>
                </w:tcPr>
                <w:p>
                  <w:pPr>
                    <w:adjustRightInd w:val="0"/>
                    <w:snapToGrid w:val="0"/>
                    <w:jc w:val="center"/>
                    <w:rPr>
                      <w:rFonts w:eastAsiaTheme="minorEastAsia"/>
                      <w:color w:val="auto"/>
                      <w:szCs w:val="21"/>
                    </w:rPr>
                  </w:pPr>
                  <w:r>
                    <w:rPr>
                      <w:rFonts w:eastAsiaTheme="minorEastAsia"/>
                      <w:color w:val="auto"/>
                      <w:szCs w:val="21"/>
                    </w:rPr>
                    <w:t>4#厂界北侧</w:t>
                  </w:r>
                </w:p>
              </w:tc>
              <w:tc>
                <w:tcPr>
                  <w:tcW w:w="1843" w:type="dxa"/>
                  <w:vAlign w:val="center"/>
                </w:tcPr>
                <w:p>
                  <w:pPr>
                    <w:adjustRightInd w:val="0"/>
                    <w:snapToGrid w:val="0"/>
                    <w:jc w:val="center"/>
                    <w:rPr>
                      <w:rFonts w:eastAsiaTheme="minorEastAsia"/>
                      <w:bCs/>
                      <w:color w:val="auto"/>
                      <w:szCs w:val="21"/>
                    </w:rPr>
                  </w:pPr>
                  <w:r>
                    <w:rPr>
                      <w:rFonts w:eastAsiaTheme="minorEastAsia"/>
                      <w:bCs/>
                      <w:color w:val="auto"/>
                      <w:szCs w:val="21"/>
                    </w:rPr>
                    <w:t>50.9</w:t>
                  </w:r>
                </w:p>
              </w:tc>
              <w:tc>
                <w:tcPr>
                  <w:tcW w:w="1701" w:type="dxa"/>
                  <w:vAlign w:val="center"/>
                </w:tcPr>
                <w:p>
                  <w:pPr>
                    <w:adjustRightInd w:val="0"/>
                    <w:snapToGrid w:val="0"/>
                    <w:jc w:val="center"/>
                    <w:rPr>
                      <w:rFonts w:eastAsiaTheme="minorEastAsia"/>
                      <w:bCs/>
                      <w:color w:val="auto"/>
                      <w:szCs w:val="21"/>
                    </w:rPr>
                  </w:pPr>
                  <w:r>
                    <w:rPr>
                      <w:rFonts w:eastAsiaTheme="minorEastAsia"/>
                      <w:bCs/>
                      <w:color w:val="auto"/>
                      <w:szCs w:val="21"/>
                    </w:rPr>
                    <w:t>41.1</w:t>
                  </w:r>
                </w:p>
              </w:tc>
              <w:tc>
                <w:tcPr>
                  <w:tcW w:w="1559" w:type="dxa"/>
                  <w:vAlign w:val="center"/>
                </w:tcPr>
                <w:p>
                  <w:pPr>
                    <w:adjustRightInd w:val="0"/>
                    <w:snapToGrid w:val="0"/>
                    <w:jc w:val="center"/>
                    <w:rPr>
                      <w:rFonts w:eastAsiaTheme="minorEastAsia"/>
                      <w:bCs/>
                      <w:color w:val="auto"/>
                      <w:szCs w:val="21"/>
                    </w:rPr>
                  </w:pPr>
                  <w:r>
                    <w:rPr>
                      <w:rFonts w:eastAsiaTheme="minorEastAsia"/>
                      <w:bCs/>
                      <w:color w:val="auto"/>
                      <w:szCs w:val="21"/>
                    </w:rPr>
                    <w:t>50.3</w:t>
                  </w:r>
                </w:p>
              </w:tc>
              <w:tc>
                <w:tcPr>
                  <w:tcW w:w="1607" w:type="dxa"/>
                  <w:vAlign w:val="center"/>
                </w:tcPr>
                <w:p>
                  <w:pPr>
                    <w:adjustRightInd w:val="0"/>
                    <w:snapToGrid w:val="0"/>
                    <w:jc w:val="center"/>
                    <w:rPr>
                      <w:rFonts w:eastAsiaTheme="minorEastAsia"/>
                      <w:bCs/>
                      <w:color w:val="auto"/>
                      <w:szCs w:val="21"/>
                    </w:rPr>
                  </w:pPr>
                  <w:r>
                    <w:rPr>
                      <w:rFonts w:eastAsiaTheme="minorEastAsia"/>
                      <w:bCs/>
                      <w:color w:val="auto"/>
                      <w:szCs w:val="21"/>
                    </w:rPr>
                    <w:t>41.4</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1950" w:type="dxa"/>
                  <w:vAlign w:val="center"/>
                </w:tcPr>
                <w:p>
                  <w:pPr>
                    <w:snapToGrid w:val="0"/>
                    <w:jc w:val="center"/>
                    <w:rPr>
                      <w:rFonts w:eastAsiaTheme="minorEastAsia"/>
                      <w:color w:val="auto"/>
                      <w:szCs w:val="21"/>
                    </w:rPr>
                  </w:pPr>
                  <w:r>
                    <w:rPr>
                      <w:rFonts w:eastAsiaTheme="minorEastAsia"/>
                      <w:color w:val="auto"/>
                      <w:szCs w:val="21"/>
                    </w:rPr>
                    <w:t>5#金村乡卫生院</w:t>
                  </w:r>
                </w:p>
              </w:tc>
              <w:tc>
                <w:tcPr>
                  <w:tcW w:w="1843" w:type="dxa"/>
                  <w:vAlign w:val="center"/>
                </w:tcPr>
                <w:p>
                  <w:pPr>
                    <w:adjustRightInd w:val="0"/>
                    <w:snapToGrid w:val="0"/>
                    <w:jc w:val="center"/>
                    <w:rPr>
                      <w:rFonts w:eastAsiaTheme="minorEastAsia"/>
                      <w:color w:val="auto"/>
                      <w:szCs w:val="21"/>
                    </w:rPr>
                  </w:pPr>
                  <w:r>
                    <w:rPr>
                      <w:rFonts w:eastAsiaTheme="minorEastAsia"/>
                      <w:color w:val="auto"/>
                      <w:szCs w:val="21"/>
                    </w:rPr>
                    <w:t>49.8</w:t>
                  </w:r>
                </w:p>
              </w:tc>
              <w:tc>
                <w:tcPr>
                  <w:tcW w:w="1701" w:type="dxa"/>
                  <w:vAlign w:val="center"/>
                </w:tcPr>
                <w:p>
                  <w:pPr>
                    <w:adjustRightInd w:val="0"/>
                    <w:snapToGrid w:val="0"/>
                    <w:jc w:val="center"/>
                    <w:rPr>
                      <w:rFonts w:eastAsiaTheme="minorEastAsia"/>
                      <w:bCs/>
                      <w:color w:val="auto"/>
                      <w:szCs w:val="21"/>
                    </w:rPr>
                  </w:pPr>
                  <w:r>
                    <w:rPr>
                      <w:rFonts w:eastAsiaTheme="minorEastAsia"/>
                      <w:bCs/>
                      <w:color w:val="auto"/>
                      <w:szCs w:val="21"/>
                    </w:rPr>
                    <w:t>41.4</w:t>
                  </w:r>
                </w:p>
              </w:tc>
              <w:tc>
                <w:tcPr>
                  <w:tcW w:w="1559" w:type="dxa"/>
                  <w:vAlign w:val="center"/>
                </w:tcPr>
                <w:p>
                  <w:pPr>
                    <w:adjustRightInd w:val="0"/>
                    <w:snapToGrid w:val="0"/>
                    <w:jc w:val="center"/>
                    <w:rPr>
                      <w:rFonts w:eastAsiaTheme="minorEastAsia"/>
                      <w:bCs/>
                      <w:color w:val="auto"/>
                      <w:szCs w:val="21"/>
                    </w:rPr>
                  </w:pPr>
                  <w:r>
                    <w:rPr>
                      <w:rFonts w:eastAsiaTheme="minorEastAsia"/>
                      <w:bCs/>
                      <w:color w:val="auto"/>
                      <w:szCs w:val="21"/>
                    </w:rPr>
                    <w:t>49.7</w:t>
                  </w:r>
                </w:p>
              </w:tc>
              <w:tc>
                <w:tcPr>
                  <w:tcW w:w="1607" w:type="dxa"/>
                  <w:vAlign w:val="center"/>
                </w:tcPr>
                <w:p>
                  <w:pPr>
                    <w:adjustRightInd w:val="0"/>
                    <w:snapToGrid w:val="0"/>
                    <w:jc w:val="center"/>
                    <w:rPr>
                      <w:rFonts w:eastAsiaTheme="minorEastAsia"/>
                      <w:bCs/>
                      <w:color w:val="auto"/>
                      <w:szCs w:val="21"/>
                    </w:rPr>
                  </w:pPr>
                  <w:r>
                    <w:rPr>
                      <w:rFonts w:eastAsiaTheme="minorEastAsia"/>
                      <w:bCs/>
                      <w:color w:val="auto"/>
                      <w:szCs w:val="21"/>
                    </w:rPr>
                    <w:t>41.9</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5" w:hRule="atLeast"/>
                <w:jc w:val="center"/>
              </w:trPr>
              <w:tc>
                <w:tcPr>
                  <w:tcW w:w="1950" w:type="dxa"/>
                  <w:vAlign w:val="center"/>
                </w:tcPr>
                <w:p>
                  <w:pPr>
                    <w:snapToGrid w:val="0"/>
                    <w:jc w:val="center"/>
                    <w:rPr>
                      <w:rFonts w:eastAsiaTheme="minorEastAsia"/>
                      <w:color w:val="auto"/>
                      <w:szCs w:val="21"/>
                    </w:rPr>
                  </w:pPr>
                  <w:r>
                    <w:rPr>
                      <w:rFonts w:eastAsiaTheme="minorEastAsia"/>
                      <w:color w:val="auto"/>
                      <w:szCs w:val="21"/>
                    </w:rPr>
                    <w:t>6#金村乡初级中学</w:t>
                  </w:r>
                </w:p>
              </w:tc>
              <w:tc>
                <w:tcPr>
                  <w:tcW w:w="1843" w:type="dxa"/>
                  <w:vAlign w:val="center"/>
                </w:tcPr>
                <w:p>
                  <w:pPr>
                    <w:adjustRightInd w:val="0"/>
                    <w:snapToGrid w:val="0"/>
                    <w:jc w:val="center"/>
                    <w:rPr>
                      <w:rFonts w:eastAsiaTheme="minorEastAsia"/>
                      <w:color w:val="auto"/>
                      <w:szCs w:val="21"/>
                    </w:rPr>
                  </w:pPr>
                  <w:r>
                    <w:rPr>
                      <w:rFonts w:eastAsiaTheme="minorEastAsia"/>
                      <w:color w:val="auto"/>
                      <w:szCs w:val="21"/>
                    </w:rPr>
                    <w:t>49.4</w:t>
                  </w:r>
                </w:p>
              </w:tc>
              <w:tc>
                <w:tcPr>
                  <w:tcW w:w="1701" w:type="dxa"/>
                  <w:vAlign w:val="center"/>
                </w:tcPr>
                <w:p>
                  <w:pPr>
                    <w:adjustRightInd w:val="0"/>
                    <w:snapToGrid w:val="0"/>
                    <w:jc w:val="center"/>
                    <w:rPr>
                      <w:rFonts w:eastAsiaTheme="minorEastAsia"/>
                      <w:bCs/>
                      <w:color w:val="auto"/>
                      <w:szCs w:val="21"/>
                    </w:rPr>
                  </w:pPr>
                  <w:r>
                    <w:rPr>
                      <w:rFonts w:eastAsiaTheme="minorEastAsia"/>
                      <w:bCs/>
                      <w:color w:val="auto"/>
                      <w:szCs w:val="21"/>
                    </w:rPr>
                    <w:t>41.8</w:t>
                  </w:r>
                </w:p>
              </w:tc>
              <w:tc>
                <w:tcPr>
                  <w:tcW w:w="1559" w:type="dxa"/>
                  <w:vAlign w:val="center"/>
                </w:tcPr>
                <w:p>
                  <w:pPr>
                    <w:adjustRightInd w:val="0"/>
                    <w:snapToGrid w:val="0"/>
                    <w:jc w:val="center"/>
                    <w:rPr>
                      <w:rFonts w:eastAsiaTheme="minorEastAsia"/>
                      <w:bCs/>
                      <w:color w:val="auto"/>
                      <w:szCs w:val="21"/>
                    </w:rPr>
                  </w:pPr>
                  <w:r>
                    <w:rPr>
                      <w:rFonts w:eastAsiaTheme="minorEastAsia"/>
                      <w:bCs/>
                      <w:color w:val="auto"/>
                      <w:szCs w:val="21"/>
                    </w:rPr>
                    <w:t>49.5</w:t>
                  </w:r>
                </w:p>
              </w:tc>
              <w:tc>
                <w:tcPr>
                  <w:tcW w:w="1607" w:type="dxa"/>
                  <w:vAlign w:val="center"/>
                </w:tcPr>
                <w:p>
                  <w:pPr>
                    <w:adjustRightInd w:val="0"/>
                    <w:snapToGrid w:val="0"/>
                    <w:jc w:val="center"/>
                    <w:rPr>
                      <w:rFonts w:eastAsiaTheme="minorEastAsia"/>
                      <w:bCs/>
                      <w:color w:val="auto"/>
                      <w:szCs w:val="21"/>
                    </w:rPr>
                  </w:pPr>
                  <w:r>
                    <w:rPr>
                      <w:rFonts w:eastAsiaTheme="minorEastAsia"/>
                      <w:bCs/>
                      <w:color w:val="auto"/>
                      <w:szCs w:val="21"/>
                    </w:rPr>
                    <w:t>41.6</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8660" w:type="dxa"/>
                  <w:gridSpan w:val="5"/>
                  <w:vAlign w:val="center"/>
                </w:tcPr>
                <w:p>
                  <w:pPr>
                    <w:adjustRightInd w:val="0"/>
                    <w:snapToGrid w:val="0"/>
                    <w:jc w:val="center"/>
                    <w:rPr>
                      <w:rFonts w:eastAsiaTheme="minorEastAsia"/>
                      <w:color w:val="auto"/>
                      <w:szCs w:val="21"/>
                    </w:rPr>
                  </w:pPr>
                  <w:r>
                    <w:rPr>
                      <w:rFonts w:eastAsiaTheme="minorEastAsia"/>
                      <w:color w:val="auto"/>
                      <w:sz w:val="24"/>
                    </w:rPr>
                    <w:t>执行《声环境质量标准》（</w:t>
                  </w:r>
                  <w:r>
                    <w:rPr>
                      <w:rFonts w:eastAsiaTheme="minorEastAsia"/>
                      <w:color w:val="auto"/>
                      <w:szCs w:val="21"/>
                    </w:rPr>
                    <w:t>GB3096-2008）2类标准值，昼间≤60dB（A），夜间≤50dB（A）</w:t>
                  </w:r>
                </w:p>
              </w:tc>
            </w:tr>
          </w:tbl>
          <w:p>
            <w:pPr>
              <w:adjustRightInd w:val="0"/>
              <w:snapToGrid w:val="0"/>
              <w:spacing w:line="360" w:lineRule="auto"/>
              <w:ind w:firstLine="480" w:firstLineChars="200"/>
              <w:jc w:val="left"/>
              <w:rPr>
                <w:rFonts w:eastAsiaTheme="minorEastAsia"/>
                <w:color w:val="auto"/>
                <w:sz w:val="24"/>
              </w:rPr>
            </w:pPr>
            <w:r>
              <w:rPr>
                <w:rFonts w:eastAsiaTheme="minorEastAsia"/>
                <w:color w:val="auto"/>
                <w:sz w:val="24"/>
              </w:rPr>
              <w:t>项目所在区域声环境均符合《声环境质量标准》（GB3096-2008）中的2类标准限值，项目区声环境质量较好。</w:t>
            </w:r>
          </w:p>
          <w:p>
            <w:pPr>
              <w:adjustRightInd w:val="0"/>
              <w:snapToGrid w:val="0"/>
              <w:spacing w:line="360" w:lineRule="auto"/>
              <w:ind w:firstLine="482" w:firstLineChars="200"/>
              <w:jc w:val="left"/>
              <w:rPr>
                <w:rFonts w:eastAsiaTheme="minorEastAsia"/>
                <w:b/>
                <w:bCs/>
                <w:color w:val="auto"/>
                <w:sz w:val="24"/>
              </w:rPr>
            </w:pPr>
            <w:r>
              <w:rPr>
                <w:rFonts w:eastAsiaTheme="minorEastAsia"/>
                <w:b/>
                <w:bCs/>
                <w:color w:val="auto"/>
                <w:sz w:val="24"/>
              </w:rPr>
              <w:t>与本项目有关的原有污染情况及主要环境问题</w:t>
            </w:r>
          </w:p>
          <w:p>
            <w:pPr>
              <w:adjustRightInd w:val="0"/>
              <w:snapToGrid w:val="0"/>
              <w:spacing w:line="360" w:lineRule="auto"/>
              <w:ind w:firstLine="480" w:firstLineChars="200"/>
              <w:jc w:val="left"/>
              <w:rPr>
                <w:rFonts w:eastAsiaTheme="minorEastAsia"/>
                <w:color w:val="auto"/>
                <w:sz w:val="24"/>
              </w:rPr>
            </w:pPr>
            <w:r>
              <w:rPr>
                <w:rFonts w:hint="eastAsia" w:ascii="宋体" w:hAnsi="宋体" w:cs="宋体"/>
                <w:color w:val="auto"/>
                <w:sz w:val="24"/>
              </w:rPr>
              <w:t>⑴</w:t>
            </w:r>
            <w:r>
              <w:rPr>
                <w:rFonts w:eastAsiaTheme="minorEastAsia"/>
                <w:color w:val="auto"/>
                <w:sz w:val="24"/>
              </w:rPr>
              <w:t>现存环境问题</w:t>
            </w:r>
          </w:p>
          <w:p>
            <w:pPr>
              <w:adjustRightInd w:val="0"/>
              <w:snapToGrid w:val="0"/>
              <w:spacing w:line="360" w:lineRule="auto"/>
              <w:ind w:firstLine="480" w:firstLineChars="200"/>
              <w:jc w:val="left"/>
              <w:rPr>
                <w:rFonts w:eastAsiaTheme="minorEastAsia"/>
                <w:color w:val="auto"/>
                <w:sz w:val="24"/>
              </w:rPr>
            </w:pPr>
            <w:r>
              <w:rPr>
                <w:rFonts w:eastAsiaTheme="minorEastAsia"/>
                <w:color w:val="auto"/>
                <w:sz w:val="24"/>
              </w:rPr>
              <w:t>目前金村村排水主干管已修建，采用雨污合流制，但目前污水收集管网尚不完善、并且无污水处理设施，金村村污水经收集后排至沟道，污水仅靠自然蒸发和下渗处理，造成周围环境严重污染，给周边居民的生活带来严重困扰。</w:t>
            </w:r>
          </w:p>
          <w:p>
            <w:pPr>
              <w:adjustRightInd w:val="0"/>
              <w:snapToGrid w:val="0"/>
              <w:spacing w:line="360" w:lineRule="auto"/>
              <w:ind w:firstLine="480" w:firstLineChars="200"/>
              <w:jc w:val="left"/>
              <w:rPr>
                <w:rFonts w:eastAsiaTheme="minorEastAsia"/>
                <w:color w:val="auto"/>
                <w:sz w:val="24"/>
              </w:rPr>
            </w:pPr>
            <w:r>
              <w:rPr>
                <w:rFonts w:hint="eastAsia" w:ascii="宋体" w:hAnsi="宋体" w:cs="宋体"/>
                <w:color w:val="auto"/>
                <w:sz w:val="24"/>
              </w:rPr>
              <w:t>⑵</w:t>
            </w:r>
            <w:r>
              <w:rPr>
                <w:rFonts w:eastAsiaTheme="minorEastAsia"/>
                <w:color w:val="auto"/>
                <w:sz w:val="24"/>
              </w:rPr>
              <w:t>措施</w:t>
            </w:r>
          </w:p>
          <w:p>
            <w:pPr>
              <w:adjustRightInd w:val="0"/>
              <w:snapToGrid w:val="0"/>
              <w:spacing w:line="360" w:lineRule="auto"/>
              <w:ind w:firstLine="480" w:firstLineChars="200"/>
              <w:jc w:val="left"/>
              <w:rPr>
                <w:rFonts w:eastAsiaTheme="minorEastAsia"/>
                <w:color w:val="auto"/>
                <w:sz w:val="24"/>
              </w:rPr>
            </w:pPr>
            <w:r>
              <w:rPr>
                <w:rFonts w:eastAsiaTheme="minorEastAsia"/>
                <w:color w:val="auto"/>
                <w:sz w:val="24"/>
              </w:rPr>
              <w:t>本项目的排水采用雨污分流制。雨水经厂区内雨水管网收集后集中排入厂外沟道内；厂区生活污水进入厂内污水处理处理系统进行处理，不向外排。本工程采用A</w:t>
            </w:r>
            <w:r>
              <w:rPr>
                <w:rFonts w:eastAsiaTheme="minorEastAsia"/>
                <w:color w:val="auto"/>
                <w:sz w:val="24"/>
                <w:vertAlign w:val="superscript"/>
              </w:rPr>
              <w:t>2</w:t>
            </w:r>
            <w:r>
              <w:rPr>
                <w:rFonts w:eastAsiaTheme="minorEastAsia"/>
                <w:color w:val="auto"/>
                <w:sz w:val="24"/>
              </w:rPr>
              <w:t>/O+MBR处理工艺，出水水质保证《城镇污水处理厂污染物排放标准》（GB18918-2002）的一级A标准。污水处理厂建成后每天将减少大量的污染物排放，可对周围环境及水体环境起到良好的保护作用。</w:t>
            </w:r>
          </w:p>
          <w:p>
            <w:pPr>
              <w:pStyle w:val="16"/>
              <w:adjustRightInd w:val="0"/>
              <w:snapToGrid w:val="0"/>
              <w:spacing w:line="360" w:lineRule="auto"/>
              <w:ind w:firstLine="482" w:firstLineChars="200"/>
              <w:rPr>
                <w:rFonts w:eastAsiaTheme="minorEastAsia"/>
                <w:color w:val="auto"/>
                <w:sz w:val="24"/>
              </w:rPr>
            </w:pPr>
            <w:r>
              <w:rPr>
                <w:rFonts w:eastAsiaTheme="minorEastAsia"/>
                <w:color w:val="auto"/>
                <w:sz w:val="24"/>
              </w:rPr>
              <w:t>主要环境保护目标：</w:t>
            </w:r>
          </w:p>
          <w:p>
            <w:pPr>
              <w:pStyle w:val="17"/>
              <w:adjustRightInd w:val="0"/>
              <w:snapToGrid w:val="0"/>
              <w:spacing w:line="360" w:lineRule="auto"/>
              <w:ind w:firstLine="461"/>
              <w:rPr>
                <w:rFonts w:eastAsiaTheme="minorEastAsia"/>
                <w:color w:val="auto"/>
                <w:sz w:val="24"/>
                <w:szCs w:val="24"/>
              </w:rPr>
            </w:pPr>
            <w:r>
              <w:rPr>
                <w:rFonts w:eastAsiaTheme="minorEastAsia"/>
                <w:color w:val="auto"/>
                <w:sz w:val="24"/>
                <w:szCs w:val="24"/>
              </w:rPr>
              <w:t>根据项目建设所处地理位置和当地的自然环境、社会环境功能以及本区域环境污染特征，其主要环境保护目标为：</w:t>
            </w:r>
          </w:p>
          <w:p>
            <w:pPr>
              <w:adjustRightInd w:val="0"/>
              <w:snapToGrid w:val="0"/>
              <w:spacing w:line="360" w:lineRule="auto"/>
              <w:ind w:firstLine="480" w:firstLineChars="200"/>
              <w:rPr>
                <w:rFonts w:eastAsiaTheme="minorEastAsia"/>
                <w:b/>
                <w:color w:val="auto"/>
                <w:sz w:val="24"/>
              </w:rPr>
            </w:pPr>
            <w:r>
              <w:rPr>
                <w:rFonts w:eastAsiaTheme="minorEastAsia"/>
                <w:color w:val="auto"/>
                <w:sz w:val="24"/>
              </w:rPr>
              <w:t>1、空气：保护目标为该区域的空气环境质量，根据《环境空气质量标准》(GB3095-2012)中二级标准要求。</w:t>
            </w:r>
          </w:p>
          <w:p>
            <w:pPr>
              <w:adjustRightInd w:val="0"/>
              <w:snapToGrid w:val="0"/>
              <w:spacing w:line="360" w:lineRule="auto"/>
              <w:ind w:firstLine="480" w:firstLineChars="200"/>
              <w:rPr>
                <w:rFonts w:eastAsiaTheme="minorEastAsia"/>
                <w:b/>
                <w:color w:val="auto"/>
                <w:sz w:val="24"/>
              </w:rPr>
            </w:pPr>
            <w:r>
              <w:rPr>
                <w:rFonts w:eastAsiaTheme="minorEastAsia"/>
                <w:bCs/>
                <w:color w:val="auto"/>
                <w:sz w:val="24"/>
              </w:rPr>
              <w:t>2、声环境：</w:t>
            </w:r>
            <w:r>
              <w:rPr>
                <w:rFonts w:eastAsiaTheme="minorEastAsia"/>
                <w:color w:val="auto"/>
                <w:sz w:val="24"/>
              </w:rPr>
              <w:t>保护目标为该区域的声环境质量，保护级别为《声环境质量标准</w:t>
            </w:r>
            <w:r>
              <w:rPr>
                <w:rFonts w:eastAsiaTheme="minorEastAsia"/>
                <w:color w:val="auto"/>
                <w:spacing w:val="-40"/>
                <w:sz w:val="24"/>
              </w:rPr>
              <w:t>》（</w:t>
            </w:r>
            <w:r>
              <w:rPr>
                <w:rFonts w:eastAsiaTheme="minorEastAsia"/>
                <w:color w:val="auto"/>
                <w:sz w:val="24"/>
              </w:rPr>
              <w:t>GB3096-2008）中2类相应标准。</w:t>
            </w:r>
          </w:p>
          <w:p>
            <w:pPr>
              <w:pStyle w:val="20"/>
              <w:adjustRightInd w:val="0"/>
              <w:snapToGrid w:val="0"/>
              <w:spacing w:line="360" w:lineRule="auto"/>
              <w:ind w:left="0" w:leftChars="0" w:firstLine="470" w:firstLineChars="196"/>
              <w:rPr>
                <w:rFonts w:eastAsiaTheme="minorEastAsia"/>
                <w:color w:val="auto"/>
                <w:sz w:val="24"/>
              </w:rPr>
            </w:pPr>
            <w:r>
              <w:rPr>
                <w:rFonts w:eastAsiaTheme="minorEastAsia"/>
                <w:bCs/>
                <w:color w:val="auto"/>
                <w:sz w:val="24"/>
              </w:rPr>
              <w:t>3、水环境：</w:t>
            </w:r>
            <w:r>
              <w:rPr>
                <w:rFonts w:eastAsiaTheme="minorEastAsia"/>
                <w:color w:val="auto"/>
                <w:sz w:val="24"/>
              </w:rPr>
              <w:t>项目附近地表水满足《地表水环境质量标准》（GB3838－2002）中的</w:t>
            </w:r>
            <w:r>
              <w:rPr>
                <w:rFonts w:eastAsiaTheme="minorEastAsia"/>
                <w:color w:val="auto"/>
                <w:sz w:val="24"/>
              </w:rPr>
              <w:fldChar w:fldCharType="begin"/>
            </w:r>
            <w:r>
              <w:rPr>
                <w:rFonts w:eastAsiaTheme="minorEastAsia"/>
                <w:color w:val="auto"/>
                <w:sz w:val="24"/>
              </w:rPr>
              <w:instrText xml:space="preserve"> = 3 \* ROMAN </w:instrText>
            </w:r>
            <w:r>
              <w:rPr>
                <w:rFonts w:eastAsiaTheme="minorEastAsia"/>
                <w:color w:val="auto"/>
                <w:sz w:val="24"/>
              </w:rPr>
              <w:fldChar w:fldCharType="separate"/>
            </w:r>
            <w:r>
              <w:rPr>
                <w:rFonts w:eastAsiaTheme="minorEastAsia"/>
                <w:color w:val="auto"/>
                <w:sz w:val="24"/>
              </w:rPr>
              <w:t>IV</w:t>
            </w:r>
            <w:r>
              <w:rPr>
                <w:rFonts w:eastAsiaTheme="minorEastAsia"/>
                <w:color w:val="auto"/>
                <w:sz w:val="24"/>
              </w:rPr>
              <w:fldChar w:fldCharType="end"/>
            </w:r>
            <w:r>
              <w:rPr>
                <w:rFonts w:eastAsiaTheme="minorEastAsia"/>
                <w:color w:val="auto"/>
                <w:sz w:val="24"/>
              </w:rPr>
              <w:t>类水域标准的要求；项目附近地下水满足《地下水质量标准》（GB/T14848-2017）中的</w:t>
            </w:r>
            <w:r>
              <w:rPr>
                <w:rFonts w:eastAsiaTheme="minorEastAsia"/>
                <w:color w:val="auto"/>
                <w:sz w:val="24"/>
              </w:rPr>
              <w:fldChar w:fldCharType="begin"/>
            </w:r>
            <w:r>
              <w:rPr>
                <w:rFonts w:eastAsiaTheme="minorEastAsia"/>
                <w:color w:val="auto"/>
                <w:sz w:val="24"/>
              </w:rPr>
              <w:instrText xml:space="preserve"> = 3 \* ROMAN </w:instrText>
            </w:r>
            <w:r>
              <w:rPr>
                <w:rFonts w:eastAsiaTheme="minorEastAsia"/>
                <w:color w:val="auto"/>
                <w:sz w:val="24"/>
              </w:rPr>
              <w:fldChar w:fldCharType="separate"/>
            </w:r>
            <w:r>
              <w:rPr>
                <w:rFonts w:eastAsiaTheme="minorEastAsia"/>
                <w:color w:val="auto"/>
                <w:sz w:val="24"/>
              </w:rPr>
              <w:t>III</w:t>
            </w:r>
            <w:r>
              <w:rPr>
                <w:rFonts w:eastAsiaTheme="minorEastAsia"/>
                <w:color w:val="auto"/>
                <w:sz w:val="24"/>
              </w:rPr>
              <w:fldChar w:fldCharType="end"/>
            </w:r>
            <w:r>
              <w:rPr>
                <w:rFonts w:eastAsiaTheme="minorEastAsia"/>
                <w:color w:val="auto"/>
                <w:sz w:val="24"/>
              </w:rPr>
              <w:t>类标准要求。</w:t>
            </w:r>
          </w:p>
          <w:p>
            <w:pPr>
              <w:pStyle w:val="20"/>
              <w:adjustRightInd w:val="0"/>
              <w:snapToGrid w:val="0"/>
              <w:spacing w:line="360" w:lineRule="auto"/>
              <w:ind w:left="0" w:leftChars="0" w:firstLine="470" w:firstLineChars="196"/>
              <w:rPr>
                <w:rFonts w:eastAsiaTheme="minorEastAsia"/>
                <w:b/>
                <w:color w:val="auto"/>
                <w:sz w:val="24"/>
              </w:rPr>
            </w:pPr>
            <w:r>
              <w:rPr>
                <w:rFonts w:eastAsiaTheme="minorEastAsia"/>
                <w:color w:val="auto"/>
                <w:sz w:val="24"/>
              </w:rPr>
              <w:t>根据项目的工艺特点</w:t>
            </w:r>
            <w:r>
              <w:rPr>
                <w:rFonts w:eastAsiaTheme="minorEastAsia"/>
                <w:color w:val="auto"/>
                <w:sz w:val="24"/>
                <w:lang w:val="zh-CN"/>
              </w:rPr>
              <w:t>及周围的环境现状，确定本项目周围环境敏感点分布，具体见表34及图15。</w:t>
            </w:r>
          </w:p>
          <w:p>
            <w:pPr>
              <w:adjustRightInd w:val="0"/>
              <w:snapToGrid w:val="0"/>
              <w:spacing w:line="360" w:lineRule="auto"/>
              <w:ind w:firstLine="482" w:firstLineChars="200"/>
              <w:jc w:val="center"/>
              <w:rPr>
                <w:rFonts w:eastAsiaTheme="minorEastAsia"/>
                <w:b/>
                <w:color w:val="auto"/>
                <w:sz w:val="24"/>
              </w:rPr>
            </w:pPr>
            <w:r>
              <w:rPr>
                <w:rFonts w:eastAsiaTheme="minorEastAsia"/>
                <w:b/>
                <w:color w:val="auto"/>
                <w:sz w:val="24"/>
              </w:rPr>
              <w:t>表34项目主要环境保护目标一览表</w:t>
            </w:r>
          </w:p>
          <w:tbl>
            <w:tblPr>
              <w:tblStyle w:val="38"/>
              <w:tblW w:w="8730"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60"/>
              <w:gridCol w:w="838"/>
              <w:gridCol w:w="1004"/>
              <w:gridCol w:w="851"/>
              <w:gridCol w:w="709"/>
              <w:gridCol w:w="1842"/>
              <w:gridCol w:w="930"/>
              <w:gridCol w:w="996"/>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21" w:hRule="atLeast"/>
                <w:jc w:val="center"/>
              </w:trPr>
              <w:tc>
                <w:tcPr>
                  <w:tcW w:w="1560" w:type="dxa"/>
                  <w:vMerge w:val="restart"/>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名称</w:t>
                  </w:r>
                </w:p>
              </w:tc>
              <w:tc>
                <w:tcPr>
                  <w:tcW w:w="1842" w:type="dxa"/>
                  <w:gridSpan w:val="2"/>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坐标</w:t>
                  </w:r>
                </w:p>
              </w:tc>
              <w:tc>
                <w:tcPr>
                  <w:tcW w:w="851" w:type="dxa"/>
                  <w:vMerge w:val="restart"/>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保护</w:t>
                  </w:r>
                </w:p>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对象</w:t>
                  </w:r>
                </w:p>
              </w:tc>
              <w:tc>
                <w:tcPr>
                  <w:tcW w:w="709" w:type="dxa"/>
                  <w:vMerge w:val="restart"/>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保护内容</w:t>
                  </w:r>
                </w:p>
              </w:tc>
              <w:tc>
                <w:tcPr>
                  <w:tcW w:w="1842" w:type="dxa"/>
                  <w:vMerge w:val="restart"/>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环境功能区</w:t>
                  </w:r>
                </w:p>
              </w:tc>
              <w:tc>
                <w:tcPr>
                  <w:tcW w:w="930" w:type="dxa"/>
                  <w:vMerge w:val="restart"/>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相对厂址方位</w:t>
                  </w:r>
                </w:p>
              </w:tc>
              <w:tc>
                <w:tcPr>
                  <w:tcW w:w="996" w:type="dxa"/>
                  <w:vMerge w:val="restart"/>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相对厂界距离</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0" w:hRule="atLeast"/>
                <w:jc w:val="center"/>
              </w:trPr>
              <w:tc>
                <w:tcPr>
                  <w:tcW w:w="1560" w:type="dxa"/>
                  <w:vMerge w:val="continue"/>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p>
              </w:tc>
              <w:tc>
                <w:tcPr>
                  <w:tcW w:w="838"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X</w:t>
                  </w:r>
                </w:p>
              </w:tc>
              <w:tc>
                <w:tcPr>
                  <w:tcW w:w="1004"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Y</w:t>
                  </w:r>
                </w:p>
              </w:tc>
              <w:tc>
                <w:tcPr>
                  <w:tcW w:w="851" w:type="dxa"/>
                  <w:vMerge w:val="continue"/>
                  <w:vAlign w:val="center"/>
                </w:tcPr>
                <w:p>
                  <w:pPr>
                    <w:autoSpaceDE w:val="0"/>
                    <w:autoSpaceDN w:val="0"/>
                    <w:adjustRightInd w:val="0"/>
                    <w:spacing w:line="0" w:lineRule="atLeast"/>
                    <w:jc w:val="center"/>
                    <w:rPr>
                      <w:rFonts w:eastAsiaTheme="minorEastAsia"/>
                      <w:color w:val="auto"/>
                      <w:szCs w:val="21"/>
                      <w:lang w:val="zh-CN"/>
                    </w:rPr>
                  </w:pPr>
                </w:p>
              </w:tc>
              <w:tc>
                <w:tcPr>
                  <w:tcW w:w="709" w:type="dxa"/>
                  <w:vMerge w:val="continue"/>
                  <w:vAlign w:val="center"/>
                </w:tcPr>
                <w:p>
                  <w:pPr>
                    <w:autoSpaceDE w:val="0"/>
                    <w:autoSpaceDN w:val="0"/>
                    <w:adjustRightInd w:val="0"/>
                    <w:spacing w:line="0" w:lineRule="atLeast"/>
                    <w:jc w:val="center"/>
                    <w:rPr>
                      <w:rFonts w:eastAsiaTheme="minorEastAsia"/>
                      <w:color w:val="auto"/>
                      <w:szCs w:val="21"/>
                      <w:lang w:val="zh-CN"/>
                    </w:rPr>
                  </w:pPr>
                </w:p>
              </w:tc>
              <w:tc>
                <w:tcPr>
                  <w:tcW w:w="1842" w:type="dxa"/>
                  <w:vMerge w:val="continue"/>
                  <w:vAlign w:val="center"/>
                </w:tcPr>
                <w:p>
                  <w:pPr>
                    <w:autoSpaceDE w:val="0"/>
                    <w:autoSpaceDN w:val="0"/>
                    <w:adjustRightInd w:val="0"/>
                    <w:spacing w:line="0" w:lineRule="atLeast"/>
                    <w:jc w:val="center"/>
                    <w:rPr>
                      <w:rFonts w:eastAsiaTheme="minorEastAsia"/>
                      <w:color w:val="auto"/>
                      <w:szCs w:val="21"/>
                      <w:lang w:val="zh-CN"/>
                    </w:rPr>
                  </w:pPr>
                </w:p>
              </w:tc>
              <w:tc>
                <w:tcPr>
                  <w:tcW w:w="930" w:type="dxa"/>
                  <w:vMerge w:val="continue"/>
                  <w:vAlign w:val="center"/>
                </w:tcPr>
                <w:p>
                  <w:pPr>
                    <w:autoSpaceDE w:val="0"/>
                    <w:autoSpaceDN w:val="0"/>
                    <w:adjustRightInd w:val="0"/>
                    <w:spacing w:line="0" w:lineRule="atLeast"/>
                    <w:jc w:val="center"/>
                    <w:rPr>
                      <w:rFonts w:eastAsiaTheme="minorEastAsia"/>
                      <w:color w:val="auto"/>
                      <w:szCs w:val="21"/>
                      <w:lang w:val="zh-CN"/>
                    </w:rPr>
                  </w:pPr>
                </w:p>
              </w:tc>
              <w:tc>
                <w:tcPr>
                  <w:tcW w:w="996" w:type="dxa"/>
                  <w:vMerge w:val="continue"/>
                  <w:vAlign w:val="center"/>
                </w:tcPr>
                <w:p>
                  <w:pPr>
                    <w:autoSpaceDE w:val="0"/>
                    <w:autoSpaceDN w:val="0"/>
                    <w:adjustRightInd w:val="0"/>
                    <w:spacing w:line="0" w:lineRule="atLeast"/>
                    <w:jc w:val="center"/>
                    <w:rPr>
                      <w:rFonts w:eastAsiaTheme="minorEastAsia"/>
                      <w:color w:val="auto"/>
                      <w:szCs w:val="21"/>
                      <w:lang w:val="zh-CN"/>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1560"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新堡子</w:t>
                  </w:r>
                </w:p>
              </w:tc>
              <w:tc>
                <w:tcPr>
                  <w:tcW w:w="838"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35.6406</w:t>
                  </w:r>
                </w:p>
              </w:tc>
              <w:tc>
                <w:tcPr>
                  <w:tcW w:w="1004"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108.2852</w:t>
                  </w:r>
                </w:p>
              </w:tc>
              <w:tc>
                <w:tcPr>
                  <w:tcW w:w="851"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居住区</w:t>
                  </w:r>
                </w:p>
              </w:tc>
              <w:tc>
                <w:tcPr>
                  <w:tcW w:w="709"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人群</w:t>
                  </w:r>
                </w:p>
              </w:tc>
              <w:tc>
                <w:tcPr>
                  <w:tcW w:w="1842" w:type="dxa"/>
                  <w:vMerge w:val="restart"/>
                  <w:vAlign w:val="center"/>
                </w:tcPr>
                <w:p>
                  <w:pPr>
                    <w:adjustRightInd w:val="0"/>
                    <w:snapToGrid w:val="0"/>
                    <w:spacing w:line="0" w:lineRule="atLeast"/>
                    <w:jc w:val="center"/>
                    <w:rPr>
                      <w:rFonts w:eastAsiaTheme="minorEastAsia"/>
                      <w:b/>
                      <w:color w:val="auto"/>
                      <w:szCs w:val="21"/>
                    </w:rPr>
                  </w:pPr>
                  <w:r>
                    <w:rPr>
                      <w:rFonts w:eastAsiaTheme="minorEastAsia"/>
                      <w:color w:val="auto"/>
                      <w:szCs w:val="21"/>
                    </w:rPr>
                    <w:t>《环境空气质量标准》(GB3095-2012)二级标准</w:t>
                  </w:r>
                </w:p>
              </w:tc>
              <w:tc>
                <w:tcPr>
                  <w:tcW w:w="930"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SW</w:t>
                  </w:r>
                </w:p>
              </w:tc>
              <w:tc>
                <w:tcPr>
                  <w:tcW w:w="996"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1226m</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60"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李家沟</w:t>
                  </w:r>
                </w:p>
              </w:tc>
              <w:tc>
                <w:tcPr>
                  <w:tcW w:w="838"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35.6412</w:t>
                  </w:r>
                </w:p>
              </w:tc>
              <w:tc>
                <w:tcPr>
                  <w:tcW w:w="1004"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108.2913</w:t>
                  </w:r>
                </w:p>
              </w:tc>
              <w:tc>
                <w:tcPr>
                  <w:tcW w:w="851" w:type="dxa"/>
                  <w:vAlign w:val="center"/>
                </w:tcPr>
                <w:p>
                  <w:pPr>
                    <w:spacing w:line="0" w:lineRule="atLeast"/>
                    <w:jc w:val="center"/>
                    <w:rPr>
                      <w:rFonts w:eastAsiaTheme="minorEastAsia"/>
                      <w:color w:val="auto"/>
                      <w:szCs w:val="21"/>
                    </w:rPr>
                  </w:pPr>
                  <w:r>
                    <w:rPr>
                      <w:rFonts w:eastAsiaTheme="minorEastAsia"/>
                      <w:color w:val="auto"/>
                      <w:szCs w:val="21"/>
                      <w:lang w:val="zh-CN"/>
                    </w:rPr>
                    <w:t>居住区</w:t>
                  </w:r>
                </w:p>
              </w:tc>
              <w:tc>
                <w:tcPr>
                  <w:tcW w:w="709" w:type="dxa"/>
                  <w:vAlign w:val="center"/>
                </w:tcPr>
                <w:p>
                  <w:pPr>
                    <w:spacing w:line="0" w:lineRule="atLeast"/>
                    <w:jc w:val="center"/>
                    <w:rPr>
                      <w:rFonts w:eastAsiaTheme="minorEastAsia"/>
                      <w:color w:val="auto"/>
                      <w:szCs w:val="21"/>
                    </w:rPr>
                  </w:pPr>
                  <w:r>
                    <w:rPr>
                      <w:rFonts w:eastAsiaTheme="minorEastAsia"/>
                      <w:color w:val="auto"/>
                      <w:szCs w:val="21"/>
                      <w:lang w:val="zh-CN"/>
                    </w:rPr>
                    <w:t>人群</w:t>
                  </w:r>
                </w:p>
              </w:tc>
              <w:tc>
                <w:tcPr>
                  <w:tcW w:w="1842" w:type="dxa"/>
                  <w:vMerge w:val="continue"/>
                  <w:vAlign w:val="center"/>
                </w:tcPr>
                <w:p>
                  <w:pPr>
                    <w:adjustRightInd w:val="0"/>
                    <w:snapToGrid w:val="0"/>
                    <w:spacing w:line="0" w:lineRule="atLeast"/>
                    <w:jc w:val="center"/>
                    <w:rPr>
                      <w:rFonts w:eastAsiaTheme="minorEastAsia"/>
                      <w:color w:val="auto"/>
                      <w:szCs w:val="21"/>
                    </w:rPr>
                  </w:pPr>
                </w:p>
              </w:tc>
              <w:tc>
                <w:tcPr>
                  <w:tcW w:w="930"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S</w:t>
                  </w:r>
                </w:p>
              </w:tc>
              <w:tc>
                <w:tcPr>
                  <w:tcW w:w="996"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1032m</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4" w:hRule="atLeast"/>
                <w:jc w:val="center"/>
              </w:trPr>
              <w:tc>
                <w:tcPr>
                  <w:tcW w:w="1560"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塬乐</w:t>
                  </w:r>
                </w:p>
              </w:tc>
              <w:tc>
                <w:tcPr>
                  <w:tcW w:w="838"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35.6467</w:t>
                  </w:r>
                </w:p>
              </w:tc>
              <w:tc>
                <w:tcPr>
                  <w:tcW w:w="1004"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108.3039</w:t>
                  </w:r>
                </w:p>
              </w:tc>
              <w:tc>
                <w:tcPr>
                  <w:tcW w:w="851" w:type="dxa"/>
                  <w:vAlign w:val="center"/>
                </w:tcPr>
                <w:p>
                  <w:pPr>
                    <w:spacing w:line="0" w:lineRule="atLeast"/>
                    <w:jc w:val="center"/>
                    <w:rPr>
                      <w:rFonts w:eastAsiaTheme="minorEastAsia"/>
                      <w:color w:val="auto"/>
                      <w:szCs w:val="21"/>
                    </w:rPr>
                  </w:pPr>
                  <w:r>
                    <w:rPr>
                      <w:rFonts w:eastAsiaTheme="minorEastAsia"/>
                      <w:color w:val="auto"/>
                      <w:szCs w:val="21"/>
                      <w:lang w:val="zh-CN"/>
                    </w:rPr>
                    <w:t>居住区</w:t>
                  </w:r>
                </w:p>
              </w:tc>
              <w:tc>
                <w:tcPr>
                  <w:tcW w:w="709" w:type="dxa"/>
                  <w:vAlign w:val="center"/>
                </w:tcPr>
                <w:p>
                  <w:pPr>
                    <w:spacing w:line="0" w:lineRule="atLeast"/>
                    <w:jc w:val="center"/>
                    <w:rPr>
                      <w:rFonts w:eastAsiaTheme="minorEastAsia"/>
                      <w:color w:val="auto"/>
                      <w:szCs w:val="21"/>
                    </w:rPr>
                  </w:pPr>
                  <w:r>
                    <w:rPr>
                      <w:rFonts w:eastAsiaTheme="minorEastAsia"/>
                      <w:color w:val="auto"/>
                      <w:szCs w:val="21"/>
                      <w:lang w:val="zh-CN"/>
                    </w:rPr>
                    <w:t>人群</w:t>
                  </w:r>
                </w:p>
              </w:tc>
              <w:tc>
                <w:tcPr>
                  <w:tcW w:w="1842" w:type="dxa"/>
                  <w:vMerge w:val="continue"/>
                  <w:vAlign w:val="center"/>
                </w:tcPr>
                <w:p>
                  <w:pPr>
                    <w:adjustRightInd w:val="0"/>
                    <w:snapToGrid w:val="0"/>
                    <w:spacing w:line="0" w:lineRule="atLeast"/>
                    <w:jc w:val="center"/>
                    <w:rPr>
                      <w:rFonts w:eastAsiaTheme="minorEastAsia"/>
                      <w:color w:val="auto"/>
                      <w:szCs w:val="21"/>
                    </w:rPr>
                  </w:pPr>
                </w:p>
              </w:tc>
              <w:tc>
                <w:tcPr>
                  <w:tcW w:w="930"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SE</w:t>
                  </w:r>
                </w:p>
              </w:tc>
              <w:tc>
                <w:tcPr>
                  <w:tcW w:w="996"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1234m</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8" w:hRule="atLeast"/>
                <w:jc w:val="center"/>
              </w:trPr>
              <w:tc>
                <w:tcPr>
                  <w:tcW w:w="1560"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牌楼</w:t>
                  </w:r>
                </w:p>
              </w:tc>
              <w:tc>
                <w:tcPr>
                  <w:tcW w:w="838"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35.6565</w:t>
                  </w:r>
                </w:p>
              </w:tc>
              <w:tc>
                <w:tcPr>
                  <w:tcW w:w="1004"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108.3092</w:t>
                  </w:r>
                </w:p>
              </w:tc>
              <w:tc>
                <w:tcPr>
                  <w:tcW w:w="851" w:type="dxa"/>
                  <w:vAlign w:val="center"/>
                </w:tcPr>
                <w:p>
                  <w:pPr>
                    <w:spacing w:line="0" w:lineRule="atLeast"/>
                    <w:jc w:val="center"/>
                    <w:rPr>
                      <w:rFonts w:eastAsiaTheme="minorEastAsia"/>
                      <w:color w:val="auto"/>
                      <w:szCs w:val="21"/>
                    </w:rPr>
                  </w:pPr>
                  <w:r>
                    <w:rPr>
                      <w:rFonts w:eastAsiaTheme="minorEastAsia"/>
                      <w:color w:val="auto"/>
                      <w:szCs w:val="21"/>
                      <w:lang w:val="zh-CN"/>
                    </w:rPr>
                    <w:t>居住区</w:t>
                  </w:r>
                </w:p>
              </w:tc>
              <w:tc>
                <w:tcPr>
                  <w:tcW w:w="709" w:type="dxa"/>
                  <w:vAlign w:val="center"/>
                </w:tcPr>
                <w:p>
                  <w:pPr>
                    <w:spacing w:line="0" w:lineRule="atLeast"/>
                    <w:jc w:val="center"/>
                    <w:rPr>
                      <w:rFonts w:eastAsiaTheme="minorEastAsia"/>
                      <w:color w:val="auto"/>
                      <w:szCs w:val="21"/>
                    </w:rPr>
                  </w:pPr>
                  <w:r>
                    <w:rPr>
                      <w:rFonts w:eastAsiaTheme="minorEastAsia"/>
                      <w:color w:val="auto"/>
                      <w:szCs w:val="21"/>
                      <w:lang w:val="zh-CN"/>
                    </w:rPr>
                    <w:t>人群</w:t>
                  </w:r>
                </w:p>
              </w:tc>
              <w:tc>
                <w:tcPr>
                  <w:tcW w:w="1842" w:type="dxa"/>
                  <w:vMerge w:val="continue"/>
                  <w:vAlign w:val="center"/>
                </w:tcPr>
                <w:p>
                  <w:pPr>
                    <w:adjustRightInd w:val="0"/>
                    <w:snapToGrid w:val="0"/>
                    <w:spacing w:line="0" w:lineRule="atLeast"/>
                    <w:jc w:val="center"/>
                    <w:rPr>
                      <w:rFonts w:eastAsiaTheme="minorEastAsia"/>
                      <w:color w:val="auto"/>
                      <w:szCs w:val="21"/>
                    </w:rPr>
                  </w:pPr>
                </w:p>
              </w:tc>
              <w:tc>
                <w:tcPr>
                  <w:tcW w:w="930"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NE</w:t>
                  </w:r>
                </w:p>
              </w:tc>
              <w:tc>
                <w:tcPr>
                  <w:tcW w:w="996"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1771m</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62" w:hRule="atLeast"/>
                <w:jc w:val="center"/>
              </w:trPr>
              <w:tc>
                <w:tcPr>
                  <w:tcW w:w="1560"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北庄</w:t>
                  </w:r>
                </w:p>
              </w:tc>
              <w:tc>
                <w:tcPr>
                  <w:tcW w:w="838"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35.6567</w:t>
                  </w:r>
                </w:p>
              </w:tc>
              <w:tc>
                <w:tcPr>
                  <w:tcW w:w="1004"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108.2953</w:t>
                  </w:r>
                </w:p>
              </w:tc>
              <w:tc>
                <w:tcPr>
                  <w:tcW w:w="851" w:type="dxa"/>
                  <w:vAlign w:val="center"/>
                </w:tcPr>
                <w:p>
                  <w:pPr>
                    <w:spacing w:line="0" w:lineRule="atLeast"/>
                    <w:jc w:val="center"/>
                    <w:rPr>
                      <w:rFonts w:eastAsiaTheme="minorEastAsia"/>
                      <w:color w:val="auto"/>
                      <w:szCs w:val="21"/>
                    </w:rPr>
                  </w:pPr>
                  <w:r>
                    <w:rPr>
                      <w:rFonts w:eastAsiaTheme="minorEastAsia"/>
                      <w:color w:val="auto"/>
                      <w:szCs w:val="21"/>
                      <w:lang w:val="zh-CN"/>
                    </w:rPr>
                    <w:t>居住区</w:t>
                  </w:r>
                </w:p>
              </w:tc>
              <w:tc>
                <w:tcPr>
                  <w:tcW w:w="709" w:type="dxa"/>
                  <w:vAlign w:val="center"/>
                </w:tcPr>
                <w:p>
                  <w:pPr>
                    <w:spacing w:line="0" w:lineRule="atLeast"/>
                    <w:jc w:val="center"/>
                    <w:rPr>
                      <w:rFonts w:eastAsiaTheme="minorEastAsia"/>
                      <w:color w:val="auto"/>
                      <w:szCs w:val="21"/>
                    </w:rPr>
                  </w:pPr>
                  <w:r>
                    <w:rPr>
                      <w:rFonts w:eastAsiaTheme="minorEastAsia"/>
                      <w:color w:val="auto"/>
                      <w:szCs w:val="21"/>
                      <w:lang w:val="zh-CN"/>
                    </w:rPr>
                    <w:t>人群</w:t>
                  </w:r>
                </w:p>
              </w:tc>
              <w:tc>
                <w:tcPr>
                  <w:tcW w:w="1842" w:type="dxa"/>
                  <w:vMerge w:val="continue"/>
                  <w:vAlign w:val="center"/>
                </w:tcPr>
                <w:p>
                  <w:pPr>
                    <w:adjustRightInd w:val="0"/>
                    <w:snapToGrid w:val="0"/>
                    <w:spacing w:line="0" w:lineRule="atLeast"/>
                    <w:jc w:val="center"/>
                    <w:rPr>
                      <w:rFonts w:eastAsiaTheme="minorEastAsia"/>
                      <w:color w:val="auto"/>
                      <w:szCs w:val="21"/>
                    </w:rPr>
                  </w:pPr>
                </w:p>
              </w:tc>
              <w:tc>
                <w:tcPr>
                  <w:tcW w:w="930"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NE</w:t>
                  </w:r>
                </w:p>
              </w:tc>
              <w:tc>
                <w:tcPr>
                  <w:tcW w:w="996"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780.6m</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8" w:hRule="atLeast"/>
                <w:jc w:val="center"/>
              </w:trPr>
              <w:tc>
                <w:tcPr>
                  <w:tcW w:w="1560"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鲁家源</w:t>
                  </w:r>
                </w:p>
              </w:tc>
              <w:tc>
                <w:tcPr>
                  <w:tcW w:w="838"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35.6282</w:t>
                  </w:r>
                </w:p>
              </w:tc>
              <w:tc>
                <w:tcPr>
                  <w:tcW w:w="1004"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108.2745</w:t>
                  </w:r>
                </w:p>
              </w:tc>
              <w:tc>
                <w:tcPr>
                  <w:tcW w:w="851" w:type="dxa"/>
                  <w:vAlign w:val="center"/>
                </w:tcPr>
                <w:p>
                  <w:pPr>
                    <w:spacing w:line="0" w:lineRule="atLeast"/>
                    <w:jc w:val="center"/>
                    <w:rPr>
                      <w:rFonts w:eastAsiaTheme="minorEastAsia"/>
                      <w:color w:val="auto"/>
                      <w:szCs w:val="21"/>
                    </w:rPr>
                  </w:pPr>
                  <w:r>
                    <w:rPr>
                      <w:rFonts w:eastAsiaTheme="minorEastAsia"/>
                      <w:color w:val="auto"/>
                      <w:szCs w:val="21"/>
                      <w:lang w:val="zh-CN"/>
                    </w:rPr>
                    <w:t>居住区</w:t>
                  </w:r>
                </w:p>
              </w:tc>
              <w:tc>
                <w:tcPr>
                  <w:tcW w:w="709" w:type="dxa"/>
                  <w:vAlign w:val="center"/>
                </w:tcPr>
                <w:p>
                  <w:pPr>
                    <w:spacing w:line="0" w:lineRule="atLeast"/>
                    <w:jc w:val="center"/>
                    <w:rPr>
                      <w:rFonts w:eastAsiaTheme="minorEastAsia"/>
                      <w:color w:val="auto"/>
                      <w:szCs w:val="21"/>
                    </w:rPr>
                  </w:pPr>
                  <w:r>
                    <w:rPr>
                      <w:rFonts w:eastAsiaTheme="minorEastAsia"/>
                      <w:color w:val="auto"/>
                      <w:szCs w:val="21"/>
                      <w:lang w:val="zh-CN"/>
                    </w:rPr>
                    <w:t>人群</w:t>
                  </w:r>
                </w:p>
              </w:tc>
              <w:tc>
                <w:tcPr>
                  <w:tcW w:w="1842" w:type="dxa"/>
                  <w:vMerge w:val="continue"/>
                  <w:vAlign w:val="center"/>
                </w:tcPr>
                <w:p>
                  <w:pPr>
                    <w:adjustRightInd w:val="0"/>
                    <w:snapToGrid w:val="0"/>
                    <w:spacing w:line="0" w:lineRule="atLeast"/>
                    <w:jc w:val="center"/>
                    <w:rPr>
                      <w:rFonts w:eastAsiaTheme="minorEastAsia"/>
                      <w:color w:val="auto"/>
                      <w:szCs w:val="21"/>
                    </w:rPr>
                  </w:pPr>
                </w:p>
              </w:tc>
              <w:tc>
                <w:tcPr>
                  <w:tcW w:w="930"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SW</w:t>
                  </w:r>
                </w:p>
              </w:tc>
              <w:tc>
                <w:tcPr>
                  <w:tcW w:w="996"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2901m</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42" w:hRule="atLeast"/>
                <w:jc w:val="center"/>
              </w:trPr>
              <w:tc>
                <w:tcPr>
                  <w:tcW w:w="1560"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金村乡初级中学</w:t>
                  </w:r>
                </w:p>
              </w:tc>
              <w:tc>
                <w:tcPr>
                  <w:tcW w:w="838"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35.6503</w:t>
                  </w:r>
                </w:p>
              </w:tc>
              <w:tc>
                <w:tcPr>
                  <w:tcW w:w="1004"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108.2955</w:t>
                  </w:r>
                </w:p>
              </w:tc>
              <w:tc>
                <w:tcPr>
                  <w:tcW w:w="851"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学校</w:t>
                  </w:r>
                </w:p>
              </w:tc>
              <w:tc>
                <w:tcPr>
                  <w:tcW w:w="709" w:type="dxa"/>
                  <w:vAlign w:val="center"/>
                </w:tcPr>
                <w:p>
                  <w:pPr>
                    <w:spacing w:line="0" w:lineRule="atLeast"/>
                    <w:jc w:val="center"/>
                    <w:rPr>
                      <w:rFonts w:eastAsiaTheme="minorEastAsia"/>
                      <w:color w:val="auto"/>
                      <w:szCs w:val="21"/>
                    </w:rPr>
                  </w:pPr>
                  <w:r>
                    <w:rPr>
                      <w:rFonts w:eastAsiaTheme="minorEastAsia"/>
                      <w:color w:val="auto"/>
                      <w:szCs w:val="21"/>
                      <w:lang w:val="zh-CN"/>
                    </w:rPr>
                    <w:t>人群</w:t>
                  </w:r>
                </w:p>
              </w:tc>
              <w:tc>
                <w:tcPr>
                  <w:tcW w:w="1842" w:type="dxa"/>
                  <w:vMerge w:val="restart"/>
                  <w:vAlign w:val="center"/>
                </w:tcPr>
                <w:p>
                  <w:pPr>
                    <w:adjustRightInd w:val="0"/>
                    <w:snapToGrid w:val="0"/>
                    <w:spacing w:line="0" w:lineRule="atLeast"/>
                    <w:jc w:val="center"/>
                    <w:rPr>
                      <w:rFonts w:eastAsiaTheme="minorEastAsia"/>
                      <w:color w:val="auto"/>
                      <w:szCs w:val="21"/>
                    </w:rPr>
                  </w:pPr>
                  <w:r>
                    <w:rPr>
                      <w:rFonts w:eastAsiaTheme="minorEastAsia"/>
                      <w:color w:val="auto"/>
                      <w:szCs w:val="21"/>
                    </w:rPr>
                    <w:t>声环境质量标准</w:t>
                  </w:r>
                  <w:r>
                    <w:rPr>
                      <w:rFonts w:eastAsiaTheme="minorEastAsia"/>
                      <w:color w:val="auto"/>
                      <w:spacing w:val="-40"/>
                      <w:szCs w:val="21"/>
                    </w:rPr>
                    <w:t>》（</w:t>
                  </w:r>
                  <w:r>
                    <w:rPr>
                      <w:rFonts w:eastAsiaTheme="minorEastAsia"/>
                      <w:color w:val="auto"/>
                      <w:szCs w:val="21"/>
                    </w:rPr>
                    <w:t>GB3096-2008）中1类</w:t>
                  </w:r>
                </w:p>
              </w:tc>
              <w:tc>
                <w:tcPr>
                  <w:tcW w:w="930"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E</w:t>
                  </w:r>
                </w:p>
              </w:tc>
              <w:tc>
                <w:tcPr>
                  <w:tcW w:w="996"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370.8m</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46" w:hRule="atLeast"/>
                <w:jc w:val="center"/>
              </w:trPr>
              <w:tc>
                <w:tcPr>
                  <w:tcW w:w="1560"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金村乡小学</w:t>
                  </w:r>
                </w:p>
              </w:tc>
              <w:tc>
                <w:tcPr>
                  <w:tcW w:w="838"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35.6512</w:t>
                  </w:r>
                </w:p>
              </w:tc>
              <w:tc>
                <w:tcPr>
                  <w:tcW w:w="1004"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108.2969</w:t>
                  </w:r>
                </w:p>
              </w:tc>
              <w:tc>
                <w:tcPr>
                  <w:tcW w:w="851"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学校</w:t>
                  </w:r>
                </w:p>
              </w:tc>
              <w:tc>
                <w:tcPr>
                  <w:tcW w:w="709" w:type="dxa"/>
                  <w:vAlign w:val="center"/>
                </w:tcPr>
                <w:p>
                  <w:pPr>
                    <w:spacing w:line="0" w:lineRule="atLeast"/>
                    <w:jc w:val="center"/>
                    <w:rPr>
                      <w:rFonts w:eastAsiaTheme="minorEastAsia"/>
                      <w:color w:val="auto"/>
                      <w:szCs w:val="21"/>
                    </w:rPr>
                  </w:pPr>
                  <w:r>
                    <w:rPr>
                      <w:rFonts w:eastAsiaTheme="minorEastAsia"/>
                      <w:color w:val="auto"/>
                      <w:szCs w:val="21"/>
                      <w:lang w:val="zh-CN"/>
                    </w:rPr>
                    <w:t>人群</w:t>
                  </w:r>
                </w:p>
              </w:tc>
              <w:tc>
                <w:tcPr>
                  <w:tcW w:w="1842" w:type="dxa"/>
                  <w:vMerge w:val="continue"/>
                  <w:vAlign w:val="center"/>
                </w:tcPr>
                <w:p>
                  <w:pPr>
                    <w:adjustRightInd w:val="0"/>
                    <w:snapToGrid w:val="0"/>
                    <w:spacing w:line="0" w:lineRule="atLeast"/>
                    <w:jc w:val="center"/>
                    <w:rPr>
                      <w:rFonts w:eastAsiaTheme="minorEastAsia"/>
                      <w:color w:val="auto"/>
                      <w:szCs w:val="21"/>
                    </w:rPr>
                  </w:pPr>
                </w:p>
              </w:tc>
              <w:tc>
                <w:tcPr>
                  <w:tcW w:w="930"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E</w:t>
                  </w:r>
                </w:p>
              </w:tc>
              <w:tc>
                <w:tcPr>
                  <w:tcW w:w="996"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523.7m</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80" w:hRule="atLeast"/>
                <w:jc w:val="center"/>
              </w:trPr>
              <w:tc>
                <w:tcPr>
                  <w:tcW w:w="1560"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金村乡卫生院</w:t>
                  </w:r>
                </w:p>
              </w:tc>
              <w:tc>
                <w:tcPr>
                  <w:tcW w:w="838"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35.6501</w:t>
                  </w:r>
                </w:p>
              </w:tc>
              <w:tc>
                <w:tcPr>
                  <w:tcW w:w="1004"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108.2935</w:t>
                  </w:r>
                </w:p>
              </w:tc>
              <w:tc>
                <w:tcPr>
                  <w:tcW w:w="851"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医院</w:t>
                  </w:r>
                </w:p>
              </w:tc>
              <w:tc>
                <w:tcPr>
                  <w:tcW w:w="709" w:type="dxa"/>
                  <w:vAlign w:val="center"/>
                </w:tcPr>
                <w:p>
                  <w:pPr>
                    <w:spacing w:line="0" w:lineRule="atLeast"/>
                    <w:jc w:val="center"/>
                    <w:rPr>
                      <w:rFonts w:eastAsiaTheme="minorEastAsia"/>
                      <w:color w:val="auto"/>
                      <w:szCs w:val="21"/>
                    </w:rPr>
                  </w:pPr>
                  <w:r>
                    <w:rPr>
                      <w:rFonts w:eastAsiaTheme="minorEastAsia"/>
                      <w:color w:val="auto"/>
                      <w:szCs w:val="21"/>
                      <w:lang w:val="zh-CN"/>
                    </w:rPr>
                    <w:t>人群</w:t>
                  </w:r>
                </w:p>
              </w:tc>
              <w:tc>
                <w:tcPr>
                  <w:tcW w:w="1842" w:type="dxa"/>
                  <w:vMerge w:val="continue"/>
                  <w:vAlign w:val="center"/>
                </w:tcPr>
                <w:p>
                  <w:pPr>
                    <w:adjustRightInd w:val="0"/>
                    <w:snapToGrid w:val="0"/>
                    <w:spacing w:line="0" w:lineRule="atLeast"/>
                    <w:jc w:val="center"/>
                    <w:rPr>
                      <w:rFonts w:eastAsiaTheme="minorEastAsia"/>
                      <w:color w:val="auto"/>
                      <w:szCs w:val="21"/>
                    </w:rPr>
                  </w:pPr>
                </w:p>
              </w:tc>
              <w:tc>
                <w:tcPr>
                  <w:tcW w:w="930"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E</w:t>
                  </w:r>
                </w:p>
              </w:tc>
              <w:tc>
                <w:tcPr>
                  <w:tcW w:w="996"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250.3m</w:t>
                  </w:r>
                </w:p>
              </w:tc>
            </w:tr>
          </w:tbl>
          <w:p>
            <w:pPr>
              <w:adjustRightInd w:val="0"/>
              <w:snapToGrid w:val="0"/>
              <w:spacing w:line="360" w:lineRule="auto"/>
              <w:ind w:firstLine="480" w:firstLineChars="200"/>
              <w:rPr>
                <w:rFonts w:eastAsiaTheme="minorEastAsia"/>
                <w:color w:val="auto"/>
                <w:sz w:val="24"/>
              </w:rPr>
            </w:pPr>
            <w:r>
              <w:rPr>
                <w:rFonts w:eastAsiaTheme="minorEastAsia"/>
                <w:color w:val="auto"/>
                <w:sz w:val="24"/>
              </w:rPr>
              <w:t>本项目在施工期敷设管线会对周围环境造成一定的影响，管线周围环境敏感点见下表35，续图15。</w:t>
            </w:r>
          </w:p>
          <w:p>
            <w:pPr>
              <w:adjustRightInd w:val="0"/>
              <w:snapToGrid w:val="0"/>
              <w:spacing w:line="360" w:lineRule="auto"/>
              <w:ind w:firstLine="482" w:firstLineChars="200"/>
              <w:jc w:val="center"/>
              <w:rPr>
                <w:rFonts w:eastAsiaTheme="minorEastAsia"/>
                <w:b/>
                <w:color w:val="auto"/>
                <w:sz w:val="24"/>
              </w:rPr>
            </w:pPr>
            <w:r>
              <w:rPr>
                <w:rFonts w:eastAsiaTheme="minorEastAsia"/>
                <w:b/>
                <w:color w:val="auto"/>
                <w:sz w:val="24"/>
              </w:rPr>
              <w:t>表35管线周围主要环境保护目标一览表</w:t>
            </w:r>
          </w:p>
          <w:tbl>
            <w:tblPr>
              <w:tblStyle w:val="38"/>
              <w:tblW w:w="8730"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60"/>
              <w:gridCol w:w="838"/>
              <w:gridCol w:w="1004"/>
              <w:gridCol w:w="851"/>
              <w:gridCol w:w="709"/>
              <w:gridCol w:w="1842"/>
              <w:gridCol w:w="930"/>
              <w:gridCol w:w="996"/>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21" w:hRule="atLeast"/>
                <w:jc w:val="center"/>
              </w:trPr>
              <w:tc>
                <w:tcPr>
                  <w:tcW w:w="1560" w:type="dxa"/>
                  <w:vMerge w:val="restart"/>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名称</w:t>
                  </w:r>
                </w:p>
              </w:tc>
              <w:tc>
                <w:tcPr>
                  <w:tcW w:w="1842" w:type="dxa"/>
                  <w:gridSpan w:val="2"/>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坐标</w:t>
                  </w:r>
                </w:p>
              </w:tc>
              <w:tc>
                <w:tcPr>
                  <w:tcW w:w="851" w:type="dxa"/>
                  <w:vMerge w:val="restart"/>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保护</w:t>
                  </w:r>
                </w:p>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对象</w:t>
                  </w:r>
                </w:p>
              </w:tc>
              <w:tc>
                <w:tcPr>
                  <w:tcW w:w="709" w:type="dxa"/>
                  <w:vMerge w:val="restart"/>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保护内容</w:t>
                  </w:r>
                </w:p>
              </w:tc>
              <w:tc>
                <w:tcPr>
                  <w:tcW w:w="1842" w:type="dxa"/>
                  <w:vMerge w:val="restart"/>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环境功能区</w:t>
                  </w:r>
                </w:p>
              </w:tc>
              <w:tc>
                <w:tcPr>
                  <w:tcW w:w="930" w:type="dxa"/>
                  <w:vMerge w:val="restart"/>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相对厂址方位</w:t>
                  </w:r>
                </w:p>
              </w:tc>
              <w:tc>
                <w:tcPr>
                  <w:tcW w:w="996" w:type="dxa"/>
                  <w:vMerge w:val="restart"/>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相对厂界距离</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0" w:hRule="atLeast"/>
                <w:jc w:val="center"/>
              </w:trPr>
              <w:tc>
                <w:tcPr>
                  <w:tcW w:w="1560" w:type="dxa"/>
                  <w:vMerge w:val="continue"/>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p>
              </w:tc>
              <w:tc>
                <w:tcPr>
                  <w:tcW w:w="838"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X</w:t>
                  </w:r>
                </w:p>
              </w:tc>
              <w:tc>
                <w:tcPr>
                  <w:tcW w:w="1004"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Y</w:t>
                  </w:r>
                </w:p>
              </w:tc>
              <w:tc>
                <w:tcPr>
                  <w:tcW w:w="851" w:type="dxa"/>
                  <w:vMerge w:val="continue"/>
                  <w:vAlign w:val="center"/>
                </w:tcPr>
                <w:p>
                  <w:pPr>
                    <w:autoSpaceDE w:val="0"/>
                    <w:autoSpaceDN w:val="0"/>
                    <w:adjustRightInd w:val="0"/>
                    <w:spacing w:line="0" w:lineRule="atLeast"/>
                    <w:jc w:val="center"/>
                    <w:rPr>
                      <w:rFonts w:eastAsiaTheme="minorEastAsia"/>
                      <w:color w:val="auto"/>
                      <w:szCs w:val="21"/>
                      <w:lang w:val="zh-CN"/>
                    </w:rPr>
                  </w:pPr>
                </w:p>
              </w:tc>
              <w:tc>
                <w:tcPr>
                  <w:tcW w:w="709" w:type="dxa"/>
                  <w:vMerge w:val="continue"/>
                  <w:vAlign w:val="center"/>
                </w:tcPr>
                <w:p>
                  <w:pPr>
                    <w:autoSpaceDE w:val="0"/>
                    <w:autoSpaceDN w:val="0"/>
                    <w:adjustRightInd w:val="0"/>
                    <w:spacing w:line="0" w:lineRule="atLeast"/>
                    <w:jc w:val="center"/>
                    <w:rPr>
                      <w:rFonts w:eastAsiaTheme="minorEastAsia"/>
                      <w:color w:val="auto"/>
                      <w:szCs w:val="21"/>
                      <w:lang w:val="zh-CN"/>
                    </w:rPr>
                  </w:pPr>
                </w:p>
              </w:tc>
              <w:tc>
                <w:tcPr>
                  <w:tcW w:w="1842" w:type="dxa"/>
                  <w:vMerge w:val="continue"/>
                  <w:vAlign w:val="center"/>
                </w:tcPr>
                <w:p>
                  <w:pPr>
                    <w:autoSpaceDE w:val="0"/>
                    <w:autoSpaceDN w:val="0"/>
                    <w:adjustRightInd w:val="0"/>
                    <w:spacing w:line="0" w:lineRule="atLeast"/>
                    <w:jc w:val="center"/>
                    <w:rPr>
                      <w:rFonts w:eastAsiaTheme="minorEastAsia"/>
                      <w:color w:val="auto"/>
                      <w:szCs w:val="21"/>
                      <w:lang w:val="zh-CN"/>
                    </w:rPr>
                  </w:pPr>
                </w:p>
              </w:tc>
              <w:tc>
                <w:tcPr>
                  <w:tcW w:w="930" w:type="dxa"/>
                  <w:vMerge w:val="continue"/>
                  <w:vAlign w:val="center"/>
                </w:tcPr>
                <w:p>
                  <w:pPr>
                    <w:autoSpaceDE w:val="0"/>
                    <w:autoSpaceDN w:val="0"/>
                    <w:adjustRightInd w:val="0"/>
                    <w:spacing w:line="0" w:lineRule="atLeast"/>
                    <w:jc w:val="center"/>
                    <w:rPr>
                      <w:rFonts w:eastAsiaTheme="minorEastAsia"/>
                      <w:color w:val="auto"/>
                      <w:szCs w:val="21"/>
                      <w:lang w:val="zh-CN"/>
                    </w:rPr>
                  </w:pPr>
                </w:p>
              </w:tc>
              <w:tc>
                <w:tcPr>
                  <w:tcW w:w="996" w:type="dxa"/>
                  <w:vMerge w:val="continue"/>
                  <w:vAlign w:val="center"/>
                </w:tcPr>
                <w:p>
                  <w:pPr>
                    <w:autoSpaceDE w:val="0"/>
                    <w:autoSpaceDN w:val="0"/>
                    <w:adjustRightInd w:val="0"/>
                    <w:spacing w:line="0" w:lineRule="atLeast"/>
                    <w:jc w:val="center"/>
                    <w:rPr>
                      <w:rFonts w:eastAsiaTheme="minorEastAsia"/>
                      <w:color w:val="auto"/>
                      <w:szCs w:val="21"/>
                      <w:lang w:val="zh-CN"/>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1560"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金村乡卫生院</w:t>
                  </w:r>
                </w:p>
              </w:tc>
              <w:tc>
                <w:tcPr>
                  <w:tcW w:w="838"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35.6501</w:t>
                  </w:r>
                </w:p>
              </w:tc>
              <w:tc>
                <w:tcPr>
                  <w:tcW w:w="1004"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108.2935</w:t>
                  </w:r>
                </w:p>
              </w:tc>
              <w:tc>
                <w:tcPr>
                  <w:tcW w:w="851"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医院</w:t>
                  </w:r>
                </w:p>
              </w:tc>
              <w:tc>
                <w:tcPr>
                  <w:tcW w:w="709" w:type="dxa"/>
                  <w:vAlign w:val="center"/>
                </w:tcPr>
                <w:p>
                  <w:pPr>
                    <w:spacing w:line="0" w:lineRule="atLeast"/>
                    <w:jc w:val="center"/>
                    <w:rPr>
                      <w:rFonts w:eastAsiaTheme="minorEastAsia"/>
                      <w:color w:val="auto"/>
                      <w:szCs w:val="21"/>
                    </w:rPr>
                  </w:pPr>
                  <w:r>
                    <w:rPr>
                      <w:rFonts w:eastAsiaTheme="minorEastAsia"/>
                      <w:color w:val="auto"/>
                      <w:szCs w:val="21"/>
                      <w:lang w:val="zh-CN"/>
                    </w:rPr>
                    <w:t>人群</w:t>
                  </w:r>
                </w:p>
              </w:tc>
              <w:tc>
                <w:tcPr>
                  <w:tcW w:w="1842" w:type="dxa"/>
                  <w:vMerge w:val="restart"/>
                  <w:vAlign w:val="center"/>
                </w:tcPr>
                <w:p>
                  <w:pPr>
                    <w:adjustRightInd w:val="0"/>
                    <w:snapToGrid w:val="0"/>
                    <w:spacing w:line="0" w:lineRule="atLeast"/>
                    <w:jc w:val="center"/>
                    <w:rPr>
                      <w:rFonts w:eastAsiaTheme="minorEastAsia"/>
                      <w:color w:val="auto"/>
                      <w:szCs w:val="21"/>
                    </w:rPr>
                  </w:pPr>
                  <w:r>
                    <w:rPr>
                      <w:rFonts w:eastAsiaTheme="minorEastAsia"/>
                      <w:color w:val="auto"/>
                      <w:szCs w:val="21"/>
                    </w:rPr>
                    <w:t>《环境空气质量标准》(GB3095-2012)二级标准</w:t>
                  </w:r>
                </w:p>
              </w:tc>
              <w:tc>
                <w:tcPr>
                  <w:tcW w:w="930"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E</w:t>
                  </w:r>
                </w:p>
              </w:tc>
              <w:tc>
                <w:tcPr>
                  <w:tcW w:w="996"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250.3m</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64" w:hRule="atLeast"/>
                <w:jc w:val="center"/>
              </w:trPr>
              <w:tc>
                <w:tcPr>
                  <w:tcW w:w="1560"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金村乡初级中学</w:t>
                  </w:r>
                </w:p>
              </w:tc>
              <w:tc>
                <w:tcPr>
                  <w:tcW w:w="838"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35.6503</w:t>
                  </w:r>
                </w:p>
              </w:tc>
              <w:tc>
                <w:tcPr>
                  <w:tcW w:w="1004"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108.2955</w:t>
                  </w:r>
                </w:p>
              </w:tc>
              <w:tc>
                <w:tcPr>
                  <w:tcW w:w="851"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学校</w:t>
                  </w:r>
                </w:p>
              </w:tc>
              <w:tc>
                <w:tcPr>
                  <w:tcW w:w="709" w:type="dxa"/>
                  <w:vAlign w:val="center"/>
                </w:tcPr>
                <w:p>
                  <w:pPr>
                    <w:spacing w:line="0" w:lineRule="atLeast"/>
                    <w:jc w:val="center"/>
                    <w:rPr>
                      <w:rFonts w:eastAsiaTheme="minorEastAsia"/>
                      <w:color w:val="auto"/>
                      <w:szCs w:val="21"/>
                    </w:rPr>
                  </w:pPr>
                  <w:r>
                    <w:rPr>
                      <w:rFonts w:eastAsiaTheme="minorEastAsia"/>
                      <w:color w:val="auto"/>
                      <w:szCs w:val="21"/>
                      <w:lang w:val="zh-CN"/>
                    </w:rPr>
                    <w:t>人群</w:t>
                  </w:r>
                </w:p>
              </w:tc>
              <w:tc>
                <w:tcPr>
                  <w:tcW w:w="1842" w:type="dxa"/>
                  <w:vMerge w:val="continue"/>
                  <w:vAlign w:val="center"/>
                </w:tcPr>
                <w:p>
                  <w:pPr>
                    <w:adjustRightInd w:val="0"/>
                    <w:snapToGrid w:val="0"/>
                    <w:spacing w:line="0" w:lineRule="atLeast"/>
                    <w:jc w:val="center"/>
                    <w:rPr>
                      <w:rFonts w:eastAsiaTheme="minorEastAsia"/>
                      <w:color w:val="auto"/>
                      <w:szCs w:val="21"/>
                    </w:rPr>
                  </w:pPr>
                </w:p>
              </w:tc>
              <w:tc>
                <w:tcPr>
                  <w:tcW w:w="930"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E</w:t>
                  </w:r>
                </w:p>
              </w:tc>
              <w:tc>
                <w:tcPr>
                  <w:tcW w:w="996"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370.8m</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4" w:hRule="atLeast"/>
                <w:jc w:val="center"/>
              </w:trPr>
              <w:tc>
                <w:tcPr>
                  <w:tcW w:w="1560"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金村乡人民政府</w:t>
                  </w:r>
                </w:p>
              </w:tc>
              <w:tc>
                <w:tcPr>
                  <w:tcW w:w="838"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35.6567</w:t>
                  </w:r>
                </w:p>
              </w:tc>
              <w:tc>
                <w:tcPr>
                  <w:tcW w:w="1004"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108.2939</w:t>
                  </w:r>
                </w:p>
              </w:tc>
              <w:tc>
                <w:tcPr>
                  <w:tcW w:w="851" w:type="dxa"/>
                  <w:vAlign w:val="center"/>
                </w:tcPr>
                <w:p>
                  <w:pPr>
                    <w:spacing w:line="0" w:lineRule="atLeast"/>
                    <w:jc w:val="center"/>
                    <w:rPr>
                      <w:rFonts w:eastAsiaTheme="minorEastAsia"/>
                      <w:color w:val="auto"/>
                      <w:szCs w:val="21"/>
                    </w:rPr>
                  </w:pPr>
                  <w:r>
                    <w:rPr>
                      <w:rFonts w:eastAsiaTheme="minorEastAsia"/>
                      <w:color w:val="auto"/>
                      <w:szCs w:val="21"/>
                    </w:rPr>
                    <w:t>单位</w:t>
                  </w:r>
                </w:p>
              </w:tc>
              <w:tc>
                <w:tcPr>
                  <w:tcW w:w="709" w:type="dxa"/>
                  <w:vAlign w:val="center"/>
                </w:tcPr>
                <w:p>
                  <w:pPr>
                    <w:spacing w:line="0" w:lineRule="atLeast"/>
                    <w:jc w:val="center"/>
                    <w:rPr>
                      <w:rFonts w:eastAsiaTheme="minorEastAsia"/>
                      <w:color w:val="auto"/>
                      <w:szCs w:val="21"/>
                    </w:rPr>
                  </w:pPr>
                  <w:r>
                    <w:rPr>
                      <w:rFonts w:eastAsiaTheme="minorEastAsia"/>
                      <w:color w:val="auto"/>
                      <w:szCs w:val="21"/>
                      <w:lang w:val="zh-CN"/>
                    </w:rPr>
                    <w:t>人群</w:t>
                  </w:r>
                </w:p>
              </w:tc>
              <w:tc>
                <w:tcPr>
                  <w:tcW w:w="1842" w:type="dxa"/>
                  <w:vMerge w:val="continue"/>
                  <w:vAlign w:val="center"/>
                </w:tcPr>
                <w:p>
                  <w:pPr>
                    <w:adjustRightInd w:val="0"/>
                    <w:snapToGrid w:val="0"/>
                    <w:spacing w:line="0" w:lineRule="atLeast"/>
                    <w:jc w:val="center"/>
                    <w:rPr>
                      <w:rFonts w:eastAsiaTheme="minorEastAsia"/>
                      <w:color w:val="auto"/>
                      <w:szCs w:val="21"/>
                    </w:rPr>
                  </w:pPr>
                </w:p>
              </w:tc>
              <w:tc>
                <w:tcPr>
                  <w:tcW w:w="930"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E</w:t>
                  </w:r>
                </w:p>
              </w:tc>
              <w:tc>
                <w:tcPr>
                  <w:tcW w:w="996"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441.8m</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8" w:hRule="atLeast"/>
                <w:jc w:val="center"/>
              </w:trPr>
              <w:tc>
                <w:tcPr>
                  <w:tcW w:w="1560"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宁县公安局金村派出所</w:t>
                  </w:r>
                </w:p>
              </w:tc>
              <w:tc>
                <w:tcPr>
                  <w:tcW w:w="838"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35.6565</w:t>
                  </w:r>
                </w:p>
              </w:tc>
              <w:tc>
                <w:tcPr>
                  <w:tcW w:w="1004"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108.2992</w:t>
                  </w:r>
                </w:p>
              </w:tc>
              <w:tc>
                <w:tcPr>
                  <w:tcW w:w="851" w:type="dxa"/>
                  <w:vAlign w:val="center"/>
                </w:tcPr>
                <w:p>
                  <w:pPr>
                    <w:spacing w:line="0" w:lineRule="atLeast"/>
                    <w:jc w:val="center"/>
                    <w:rPr>
                      <w:rFonts w:eastAsiaTheme="minorEastAsia"/>
                      <w:color w:val="auto"/>
                      <w:szCs w:val="21"/>
                    </w:rPr>
                  </w:pPr>
                  <w:r>
                    <w:rPr>
                      <w:rFonts w:eastAsiaTheme="minorEastAsia"/>
                      <w:color w:val="auto"/>
                      <w:szCs w:val="21"/>
                    </w:rPr>
                    <w:t>单位</w:t>
                  </w:r>
                </w:p>
              </w:tc>
              <w:tc>
                <w:tcPr>
                  <w:tcW w:w="709" w:type="dxa"/>
                  <w:vAlign w:val="center"/>
                </w:tcPr>
                <w:p>
                  <w:pPr>
                    <w:spacing w:line="0" w:lineRule="atLeast"/>
                    <w:jc w:val="center"/>
                    <w:rPr>
                      <w:rFonts w:eastAsiaTheme="minorEastAsia"/>
                      <w:color w:val="auto"/>
                      <w:szCs w:val="21"/>
                    </w:rPr>
                  </w:pPr>
                  <w:r>
                    <w:rPr>
                      <w:rFonts w:eastAsiaTheme="minorEastAsia"/>
                      <w:color w:val="auto"/>
                      <w:szCs w:val="21"/>
                      <w:lang w:val="zh-CN"/>
                    </w:rPr>
                    <w:t>人群</w:t>
                  </w:r>
                </w:p>
              </w:tc>
              <w:tc>
                <w:tcPr>
                  <w:tcW w:w="1842" w:type="dxa"/>
                  <w:vMerge w:val="continue"/>
                  <w:vAlign w:val="center"/>
                </w:tcPr>
                <w:p>
                  <w:pPr>
                    <w:adjustRightInd w:val="0"/>
                    <w:snapToGrid w:val="0"/>
                    <w:spacing w:line="0" w:lineRule="atLeast"/>
                    <w:jc w:val="center"/>
                    <w:rPr>
                      <w:rFonts w:eastAsiaTheme="minorEastAsia"/>
                      <w:color w:val="auto"/>
                      <w:szCs w:val="21"/>
                    </w:rPr>
                  </w:pPr>
                </w:p>
              </w:tc>
              <w:tc>
                <w:tcPr>
                  <w:tcW w:w="930"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E</w:t>
                  </w:r>
                </w:p>
              </w:tc>
              <w:tc>
                <w:tcPr>
                  <w:tcW w:w="996"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508.6m</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62" w:hRule="atLeast"/>
                <w:jc w:val="center"/>
              </w:trPr>
              <w:tc>
                <w:tcPr>
                  <w:tcW w:w="1560"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金村乡小学</w:t>
                  </w:r>
                </w:p>
              </w:tc>
              <w:tc>
                <w:tcPr>
                  <w:tcW w:w="838"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35.6512</w:t>
                  </w:r>
                </w:p>
              </w:tc>
              <w:tc>
                <w:tcPr>
                  <w:tcW w:w="1004"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108.2969</w:t>
                  </w:r>
                </w:p>
              </w:tc>
              <w:tc>
                <w:tcPr>
                  <w:tcW w:w="851"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学校</w:t>
                  </w:r>
                </w:p>
              </w:tc>
              <w:tc>
                <w:tcPr>
                  <w:tcW w:w="709" w:type="dxa"/>
                  <w:vAlign w:val="center"/>
                </w:tcPr>
                <w:p>
                  <w:pPr>
                    <w:spacing w:line="0" w:lineRule="atLeast"/>
                    <w:jc w:val="center"/>
                    <w:rPr>
                      <w:rFonts w:eastAsiaTheme="minorEastAsia"/>
                      <w:color w:val="auto"/>
                      <w:szCs w:val="21"/>
                    </w:rPr>
                  </w:pPr>
                  <w:r>
                    <w:rPr>
                      <w:rFonts w:eastAsiaTheme="minorEastAsia"/>
                      <w:color w:val="auto"/>
                      <w:szCs w:val="21"/>
                      <w:lang w:val="zh-CN"/>
                    </w:rPr>
                    <w:t>人群</w:t>
                  </w:r>
                </w:p>
              </w:tc>
              <w:tc>
                <w:tcPr>
                  <w:tcW w:w="1842" w:type="dxa"/>
                  <w:vMerge w:val="continue"/>
                  <w:vAlign w:val="center"/>
                </w:tcPr>
                <w:p>
                  <w:pPr>
                    <w:adjustRightInd w:val="0"/>
                    <w:snapToGrid w:val="0"/>
                    <w:spacing w:line="0" w:lineRule="atLeast"/>
                    <w:jc w:val="center"/>
                    <w:rPr>
                      <w:rFonts w:eastAsiaTheme="minorEastAsia"/>
                      <w:color w:val="auto"/>
                      <w:szCs w:val="21"/>
                    </w:rPr>
                  </w:pPr>
                </w:p>
              </w:tc>
              <w:tc>
                <w:tcPr>
                  <w:tcW w:w="930"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E</w:t>
                  </w:r>
                </w:p>
              </w:tc>
              <w:tc>
                <w:tcPr>
                  <w:tcW w:w="996"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523.7m</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62" w:hRule="atLeast"/>
                <w:jc w:val="center"/>
              </w:trPr>
              <w:tc>
                <w:tcPr>
                  <w:tcW w:w="1560"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村内机井</w:t>
                  </w:r>
                </w:p>
              </w:tc>
              <w:tc>
                <w:tcPr>
                  <w:tcW w:w="838"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p>
              </w:tc>
              <w:tc>
                <w:tcPr>
                  <w:tcW w:w="1004" w:type="dxa"/>
                  <w:vAlign w:val="center"/>
                </w:tcPr>
                <w:p>
                  <w:pPr>
                    <w:autoSpaceDE w:val="0"/>
                    <w:autoSpaceDN w:val="0"/>
                    <w:adjustRightInd w:val="0"/>
                    <w:spacing w:line="0" w:lineRule="atLeast"/>
                    <w:jc w:val="center"/>
                    <w:rPr>
                      <w:rFonts w:eastAsiaTheme="minorEastAsia"/>
                      <w:color w:val="auto"/>
                      <w:szCs w:val="21"/>
                      <w:lang w:val="zh-CN"/>
                    </w:rPr>
                  </w:pPr>
                </w:p>
              </w:tc>
              <w:tc>
                <w:tcPr>
                  <w:tcW w:w="3402" w:type="dxa"/>
                  <w:gridSpan w:val="3"/>
                  <w:vAlign w:val="center"/>
                </w:tcPr>
                <w:p>
                  <w:pPr>
                    <w:adjustRightInd w:val="0"/>
                    <w:snapToGrid w:val="0"/>
                    <w:spacing w:line="0" w:lineRule="atLeast"/>
                    <w:jc w:val="center"/>
                    <w:rPr>
                      <w:rFonts w:eastAsiaTheme="minorEastAsia"/>
                      <w:color w:val="auto"/>
                      <w:szCs w:val="21"/>
                    </w:rPr>
                  </w:pPr>
                  <w:r>
                    <w:rPr>
                      <w:rFonts w:eastAsiaTheme="minorEastAsia"/>
                      <w:color w:val="auto"/>
                      <w:szCs w:val="21"/>
                    </w:rPr>
                    <w:t>《地下水质量标准》（GB/T14848-2017）中的</w:t>
                  </w:r>
                  <w:r>
                    <w:rPr>
                      <w:rFonts w:eastAsiaTheme="minorEastAsia"/>
                      <w:color w:val="auto"/>
                      <w:szCs w:val="21"/>
                    </w:rPr>
                    <w:fldChar w:fldCharType="begin"/>
                  </w:r>
                  <w:r>
                    <w:rPr>
                      <w:rFonts w:eastAsiaTheme="minorEastAsia"/>
                      <w:color w:val="auto"/>
                      <w:szCs w:val="21"/>
                    </w:rPr>
                    <w:instrText xml:space="preserve"> = 3 \* ROMAN </w:instrText>
                  </w:r>
                  <w:r>
                    <w:rPr>
                      <w:rFonts w:eastAsiaTheme="minorEastAsia"/>
                      <w:color w:val="auto"/>
                      <w:szCs w:val="21"/>
                    </w:rPr>
                    <w:fldChar w:fldCharType="separate"/>
                  </w:r>
                  <w:r>
                    <w:rPr>
                      <w:rFonts w:eastAsiaTheme="minorEastAsia"/>
                      <w:color w:val="auto"/>
                      <w:szCs w:val="21"/>
                    </w:rPr>
                    <w:t>III</w:t>
                  </w:r>
                  <w:r>
                    <w:rPr>
                      <w:rFonts w:eastAsiaTheme="minorEastAsia"/>
                      <w:color w:val="auto"/>
                      <w:szCs w:val="21"/>
                    </w:rPr>
                    <w:fldChar w:fldCharType="end"/>
                  </w:r>
                  <w:r>
                    <w:rPr>
                      <w:rFonts w:eastAsiaTheme="minorEastAsia"/>
                      <w:color w:val="auto"/>
                      <w:szCs w:val="21"/>
                    </w:rPr>
                    <w:t>类标准</w:t>
                  </w:r>
                </w:p>
              </w:tc>
              <w:tc>
                <w:tcPr>
                  <w:tcW w:w="930"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E</w:t>
                  </w:r>
                </w:p>
              </w:tc>
              <w:tc>
                <w:tcPr>
                  <w:tcW w:w="996"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1300m</w:t>
                  </w:r>
                </w:p>
              </w:tc>
            </w:tr>
          </w:tbl>
          <w:p>
            <w:pPr>
              <w:adjustRightInd w:val="0"/>
              <w:snapToGrid w:val="0"/>
              <w:spacing w:line="360" w:lineRule="auto"/>
              <w:ind w:firstLine="480" w:firstLineChars="200"/>
              <w:rPr>
                <w:rFonts w:eastAsiaTheme="minorEastAsia"/>
                <w:color w:val="auto"/>
                <w:sz w:val="24"/>
              </w:rPr>
            </w:pPr>
          </w:p>
        </w:tc>
      </w:tr>
    </w:tbl>
    <w:p>
      <w:pPr>
        <w:adjustRightInd w:val="0"/>
        <w:snapToGrid w:val="0"/>
        <w:rPr>
          <w:rFonts w:eastAsiaTheme="minorEastAsia"/>
          <w:b/>
          <w:color w:val="auto"/>
          <w:sz w:val="28"/>
          <w:szCs w:val="28"/>
        </w:rPr>
      </w:pPr>
      <w:r>
        <w:rPr>
          <w:rFonts w:eastAsiaTheme="minorEastAsia"/>
          <w:b/>
          <w:color w:val="auto"/>
          <w:sz w:val="28"/>
          <w:szCs w:val="28"/>
        </w:rPr>
        <w:br w:type="page"/>
      </w:r>
    </w:p>
    <w:p>
      <w:pPr>
        <w:adjustRightInd w:val="0"/>
        <w:snapToGrid w:val="0"/>
        <w:rPr>
          <w:rFonts w:eastAsiaTheme="minorEastAsia"/>
          <w:b/>
          <w:color w:val="auto"/>
          <w:sz w:val="28"/>
          <w:szCs w:val="28"/>
        </w:rPr>
      </w:pPr>
      <w:r>
        <w:rPr>
          <w:rFonts w:eastAsiaTheme="minorEastAsia"/>
          <w:b/>
          <w:color w:val="auto"/>
          <w:sz w:val="28"/>
          <w:szCs w:val="28"/>
        </w:rPr>
        <w:t>评价适用标准</w:t>
      </w:r>
    </w:p>
    <w:tbl>
      <w:tblPr>
        <w:tblStyle w:val="38"/>
        <w:tblW w:w="8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8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447" w:type="dxa"/>
            <w:vAlign w:val="center"/>
          </w:tcPr>
          <w:p>
            <w:pPr>
              <w:jc w:val="center"/>
              <w:rPr>
                <w:rFonts w:eastAsiaTheme="minorEastAsia"/>
                <w:b/>
                <w:color w:val="auto"/>
                <w:sz w:val="28"/>
                <w:szCs w:val="28"/>
              </w:rPr>
            </w:pPr>
            <w:r>
              <w:rPr>
                <w:rFonts w:eastAsiaTheme="minorEastAsia"/>
                <w:b/>
                <w:color w:val="auto"/>
                <w:sz w:val="28"/>
                <w:szCs w:val="28"/>
              </w:rPr>
              <w:t>环境质量标准</w:t>
            </w:r>
          </w:p>
        </w:tc>
        <w:tc>
          <w:tcPr>
            <w:tcW w:w="8500" w:type="dxa"/>
            <w:vAlign w:val="center"/>
          </w:tcPr>
          <w:p>
            <w:pPr>
              <w:adjustRightInd w:val="0"/>
              <w:snapToGrid w:val="0"/>
              <w:spacing w:beforeLines="50" w:line="360" w:lineRule="auto"/>
              <w:ind w:firstLine="480" w:firstLineChars="20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 1 \* GB2 </w:instrText>
            </w:r>
            <w:r>
              <w:rPr>
                <w:rFonts w:eastAsiaTheme="minorEastAsia"/>
                <w:color w:val="auto"/>
                <w:sz w:val="24"/>
              </w:rPr>
              <w:fldChar w:fldCharType="separate"/>
            </w:r>
            <w:r>
              <w:rPr>
                <w:rFonts w:hint="eastAsia" w:ascii="宋体" w:hAnsi="宋体" w:cs="宋体"/>
                <w:color w:val="auto"/>
                <w:sz w:val="24"/>
              </w:rPr>
              <w:t>⑴</w:t>
            </w:r>
            <w:r>
              <w:rPr>
                <w:rFonts w:eastAsiaTheme="minorEastAsia"/>
                <w:color w:val="auto"/>
                <w:sz w:val="24"/>
              </w:rPr>
              <w:fldChar w:fldCharType="end"/>
            </w:r>
            <w:r>
              <w:rPr>
                <w:rFonts w:eastAsiaTheme="minorEastAsia"/>
                <w:color w:val="auto"/>
                <w:sz w:val="24"/>
              </w:rPr>
              <w:t>环境空气质量现状评价执行《环境空气质量标准》（GB3095-2012）二级标准，具体限值详见表35；特征污染物NH</w:t>
            </w:r>
            <w:r>
              <w:rPr>
                <w:rFonts w:eastAsiaTheme="minorEastAsia"/>
                <w:color w:val="auto"/>
                <w:sz w:val="24"/>
                <w:vertAlign w:val="subscript"/>
              </w:rPr>
              <w:t>3</w:t>
            </w:r>
            <w:r>
              <w:rPr>
                <w:rFonts w:eastAsiaTheme="minorEastAsia"/>
                <w:color w:val="auto"/>
                <w:sz w:val="24"/>
              </w:rPr>
              <w:t>、H</w:t>
            </w:r>
            <w:r>
              <w:rPr>
                <w:rFonts w:eastAsiaTheme="minorEastAsia"/>
                <w:color w:val="auto"/>
                <w:sz w:val="24"/>
                <w:vertAlign w:val="subscript"/>
              </w:rPr>
              <w:t>2</w:t>
            </w:r>
            <w:r>
              <w:rPr>
                <w:rFonts w:eastAsiaTheme="minorEastAsia"/>
                <w:color w:val="auto"/>
                <w:sz w:val="24"/>
              </w:rPr>
              <w:t>S执行《工业企业设计卫生标准》（TJ36-79）表1中的最高容许浓度，详见表36。</w:t>
            </w:r>
          </w:p>
          <w:p>
            <w:pPr>
              <w:adjustRightInd w:val="0"/>
              <w:snapToGrid w:val="0"/>
              <w:spacing w:beforeLines="50" w:line="360" w:lineRule="auto"/>
              <w:jc w:val="center"/>
              <w:rPr>
                <w:rFonts w:eastAsiaTheme="minorEastAsia"/>
                <w:color w:val="auto"/>
                <w:sz w:val="24"/>
              </w:rPr>
            </w:pPr>
            <w:r>
              <w:rPr>
                <w:rFonts w:eastAsiaTheme="minorEastAsia"/>
                <w:b/>
                <w:color w:val="auto"/>
                <w:sz w:val="24"/>
              </w:rPr>
              <w:t>表36《环境空气质量标准》（GB3095-2012）</w:t>
            </w:r>
            <w:r>
              <w:rPr>
                <w:rFonts w:eastAsiaTheme="minorEastAsia"/>
                <w:b/>
                <w:color w:val="auto"/>
                <w:szCs w:val="21"/>
              </w:rPr>
              <w:t>单位：ug/m</w:t>
            </w:r>
            <w:r>
              <w:rPr>
                <w:rFonts w:eastAsiaTheme="minorEastAsia"/>
                <w:b/>
                <w:color w:val="auto"/>
                <w:szCs w:val="21"/>
                <w:vertAlign w:val="superscript"/>
              </w:rPr>
              <w:t>3</w:t>
            </w:r>
          </w:p>
          <w:tbl>
            <w:tblPr>
              <w:tblStyle w:val="38"/>
              <w:tblW w:w="8282" w:type="dxa"/>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67"/>
              <w:gridCol w:w="1458"/>
              <w:gridCol w:w="1324"/>
              <w:gridCol w:w="1065"/>
              <w:gridCol w:w="1196"/>
              <w:gridCol w:w="1196"/>
              <w:gridCol w:w="976"/>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4" w:hRule="atLeast"/>
              </w:trPr>
              <w:tc>
                <w:tcPr>
                  <w:tcW w:w="2525" w:type="dxa"/>
                  <w:gridSpan w:val="2"/>
                  <w:vAlign w:val="center"/>
                </w:tcPr>
                <w:p>
                  <w:pPr>
                    <w:pStyle w:val="175"/>
                    <w:adjustRightInd w:val="0"/>
                    <w:snapToGrid w:val="0"/>
                    <w:spacing w:line="240" w:lineRule="auto"/>
                    <w:rPr>
                      <w:rFonts w:eastAsiaTheme="minorEastAsia"/>
                      <w:bCs/>
                      <w:color w:val="auto"/>
                      <w:szCs w:val="21"/>
                    </w:rPr>
                  </w:pPr>
                  <w:r>
                    <w:rPr>
                      <w:rFonts w:eastAsiaTheme="minorEastAsia"/>
                      <w:bCs/>
                      <w:color w:val="auto"/>
                      <w:szCs w:val="21"/>
                    </w:rPr>
                    <w:t>污染物名称</w:t>
                  </w:r>
                </w:p>
              </w:tc>
              <w:tc>
                <w:tcPr>
                  <w:tcW w:w="1324" w:type="dxa"/>
                  <w:vAlign w:val="center"/>
                </w:tcPr>
                <w:p>
                  <w:pPr>
                    <w:pStyle w:val="175"/>
                    <w:adjustRightInd w:val="0"/>
                    <w:snapToGrid w:val="0"/>
                    <w:spacing w:line="240" w:lineRule="auto"/>
                    <w:rPr>
                      <w:rFonts w:eastAsiaTheme="minorEastAsia"/>
                      <w:bCs/>
                      <w:color w:val="auto"/>
                      <w:szCs w:val="21"/>
                    </w:rPr>
                  </w:pPr>
                  <w:r>
                    <w:rPr>
                      <w:rFonts w:eastAsiaTheme="minorEastAsia"/>
                      <w:bCs/>
                      <w:color w:val="auto"/>
                      <w:szCs w:val="21"/>
                    </w:rPr>
                    <w:t>SO</w:t>
                  </w:r>
                  <w:r>
                    <w:rPr>
                      <w:rFonts w:eastAsiaTheme="minorEastAsia"/>
                      <w:bCs/>
                      <w:color w:val="auto"/>
                      <w:szCs w:val="21"/>
                      <w:vertAlign w:val="subscript"/>
                    </w:rPr>
                    <w:t>2</w:t>
                  </w:r>
                </w:p>
              </w:tc>
              <w:tc>
                <w:tcPr>
                  <w:tcW w:w="1065" w:type="dxa"/>
                  <w:vAlign w:val="center"/>
                </w:tcPr>
                <w:p>
                  <w:pPr>
                    <w:pStyle w:val="175"/>
                    <w:adjustRightInd w:val="0"/>
                    <w:snapToGrid w:val="0"/>
                    <w:spacing w:line="240" w:lineRule="auto"/>
                    <w:rPr>
                      <w:rFonts w:eastAsiaTheme="minorEastAsia"/>
                      <w:bCs/>
                      <w:color w:val="auto"/>
                      <w:szCs w:val="21"/>
                    </w:rPr>
                  </w:pPr>
                  <w:r>
                    <w:rPr>
                      <w:rFonts w:eastAsiaTheme="minorEastAsia"/>
                      <w:bCs/>
                      <w:color w:val="auto"/>
                      <w:szCs w:val="21"/>
                    </w:rPr>
                    <w:t>NO</w:t>
                  </w:r>
                  <w:r>
                    <w:rPr>
                      <w:rFonts w:eastAsiaTheme="minorEastAsia"/>
                      <w:bCs/>
                      <w:color w:val="auto"/>
                      <w:szCs w:val="21"/>
                      <w:vertAlign w:val="subscript"/>
                    </w:rPr>
                    <w:t>2</w:t>
                  </w:r>
                </w:p>
              </w:tc>
              <w:tc>
                <w:tcPr>
                  <w:tcW w:w="1196" w:type="dxa"/>
                  <w:vAlign w:val="center"/>
                </w:tcPr>
                <w:p>
                  <w:pPr>
                    <w:pStyle w:val="175"/>
                    <w:adjustRightInd w:val="0"/>
                    <w:snapToGrid w:val="0"/>
                    <w:spacing w:line="240" w:lineRule="auto"/>
                    <w:rPr>
                      <w:rFonts w:eastAsiaTheme="minorEastAsia"/>
                      <w:bCs/>
                      <w:color w:val="auto"/>
                      <w:szCs w:val="21"/>
                    </w:rPr>
                  </w:pPr>
                  <w:r>
                    <w:rPr>
                      <w:rFonts w:eastAsiaTheme="minorEastAsia"/>
                      <w:bCs/>
                      <w:color w:val="auto"/>
                      <w:szCs w:val="21"/>
                    </w:rPr>
                    <w:t>TSP</w:t>
                  </w:r>
                </w:p>
              </w:tc>
              <w:tc>
                <w:tcPr>
                  <w:tcW w:w="1196" w:type="dxa"/>
                  <w:vAlign w:val="center"/>
                </w:tcPr>
                <w:p>
                  <w:pPr>
                    <w:pStyle w:val="175"/>
                    <w:adjustRightInd w:val="0"/>
                    <w:snapToGrid w:val="0"/>
                    <w:spacing w:line="240" w:lineRule="auto"/>
                    <w:rPr>
                      <w:rFonts w:eastAsiaTheme="minorEastAsia"/>
                      <w:bCs/>
                      <w:color w:val="auto"/>
                      <w:szCs w:val="21"/>
                    </w:rPr>
                  </w:pPr>
                  <w:r>
                    <w:rPr>
                      <w:rFonts w:eastAsiaTheme="minorEastAsia"/>
                      <w:bCs/>
                      <w:color w:val="auto"/>
                      <w:szCs w:val="21"/>
                    </w:rPr>
                    <w:t>PM</w:t>
                  </w:r>
                  <w:r>
                    <w:rPr>
                      <w:rFonts w:eastAsiaTheme="minorEastAsia"/>
                      <w:bCs/>
                      <w:color w:val="auto"/>
                      <w:szCs w:val="21"/>
                      <w:vertAlign w:val="subscript"/>
                    </w:rPr>
                    <w:t>10</w:t>
                  </w:r>
                </w:p>
              </w:tc>
              <w:tc>
                <w:tcPr>
                  <w:tcW w:w="976" w:type="dxa"/>
                  <w:vAlign w:val="center"/>
                </w:tcPr>
                <w:p>
                  <w:pPr>
                    <w:pStyle w:val="175"/>
                    <w:adjustRightInd w:val="0"/>
                    <w:snapToGrid w:val="0"/>
                    <w:spacing w:line="240" w:lineRule="auto"/>
                    <w:rPr>
                      <w:rFonts w:eastAsiaTheme="minorEastAsia"/>
                      <w:bCs/>
                      <w:color w:val="auto"/>
                      <w:szCs w:val="21"/>
                    </w:rPr>
                  </w:pPr>
                  <w:r>
                    <w:rPr>
                      <w:rFonts w:eastAsiaTheme="minorEastAsia"/>
                      <w:bCs/>
                      <w:color w:val="auto"/>
                      <w:szCs w:val="21"/>
                    </w:rPr>
                    <w:t>PM</w:t>
                  </w:r>
                  <w:r>
                    <w:rPr>
                      <w:rFonts w:eastAsiaTheme="minorEastAsia"/>
                      <w:bCs/>
                      <w:color w:val="auto"/>
                      <w:szCs w:val="21"/>
                      <w:vertAlign w:val="subscript"/>
                    </w:rPr>
                    <w:t>2.5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4" w:hRule="atLeast"/>
              </w:trPr>
              <w:tc>
                <w:tcPr>
                  <w:tcW w:w="2525" w:type="dxa"/>
                  <w:gridSpan w:val="2"/>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标准等级</w:t>
                  </w:r>
                </w:p>
              </w:tc>
              <w:tc>
                <w:tcPr>
                  <w:tcW w:w="1324" w:type="dxa"/>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二级</w:t>
                  </w:r>
                </w:p>
              </w:tc>
              <w:tc>
                <w:tcPr>
                  <w:tcW w:w="1065" w:type="dxa"/>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二级</w:t>
                  </w:r>
                </w:p>
              </w:tc>
              <w:tc>
                <w:tcPr>
                  <w:tcW w:w="1196" w:type="dxa"/>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二级</w:t>
                  </w:r>
                </w:p>
              </w:tc>
              <w:tc>
                <w:tcPr>
                  <w:tcW w:w="1196" w:type="dxa"/>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二级</w:t>
                  </w:r>
                </w:p>
              </w:tc>
              <w:tc>
                <w:tcPr>
                  <w:tcW w:w="976" w:type="dxa"/>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二级</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4" w:hRule="atLeast"/>
              </w:trPr>
              <w:tc>
                <w:tcPr>
                  <w:tcW w:w="1067" w:type="dxa"/>
                  <w:vMerge w:val="restart"/>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标准限值</w:t>
                  </w:r>
                </w:p>
              </w:tc>
              <w:tc>
                <w:tcPr>
                  <w:tcW w:w="1458" w:type="dxa"/>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年平均</w:t>
                  </w:r>
                </w:p>
              </w:tc>
              <w:tc>
                <w:tcPr>
                  <w:tcW w:w="1324" w:type="dxa"/>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60</w:t>
                  </w:r>
                </w:p>
              </w:tc>
              <w:tc>
                <w:tcPr>
                  <w:tcW w:w="1065" w:type="dxa"/>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40</w:t>
                  </w:r>
                </w:p>
              </w:tc>
              <w:tc>
                <w:tcPr>
                  <w:tcW w:w="1196" w:type="dxa"/>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200</w:t>
                  </w:r>
                </w:p>
              </w:tc>
              <w:tc>
                <w:tcPr>
                  <w:tcW w:w="1196" w:type="dxa"/>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70</w:t>
                  </w:r>
                </w:p>
              </w:tc>
              <w:tc>
                <w:tcPr>
                  <w:tcW w:w="976" w:type="dxa"/>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35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4" w:hRule="atLeast"/>
              </w:trPr>
              <w:tc>
                <w:tcPr>
                  <w:tcW w:w="1067" w:type="dxa"/>
                  <w:vMerge w:val="continue"/>
                  <w:vAlign w:val="center"/>
                </w:tcPr>
                <w:p>
                  <w:pPr>
                    <w:adjustRightInd w:val="0"/>
                    <w:snapToGrid w:val="0"/>
                    <w:jc w:val="center"/>
                    <w:rPr>
                      <w:rFonts w:eastAsiaTheme="minorEastAsia"/>
                      <w:color w:val="auto"/>
                      <w:szCs w:val="21"/>
                    </w:rPr>
                  </w:pPr>
                </w:p>
              </w:tc>
              <w:tc>
                <w:tcPr>
                  <w:tcW w:w="1458" w:type="dxa"/>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24小时平均</w:t>
                  </w:r>
                </w:p>
              </w:tc>
              <w:tc>
                <w:tcPr>
                  <w:tcW w:w="1324" w:type="dxa"/>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150</w:t>
                  </w:r>
                </w:p>
              </w:tc>
              <w:tc>
                <w:tcPr>
                  <w:tcW w:w="1065" w:type="dxa"/>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80</w:t>
                  </w:r>
                </w:p>
              </w:tc>
              <w:tc>
                <w:tcPr>
                  <w:tcW w:w="1196" w:type="dxa"/>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300</w:t>
                  </w:r>
                </w:p>
              </w:tc>
              <w:tc>
                <w:tcPr>
                  <w:tcW w:w="1196" w:type="dxa"/>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150</w:t>
                  </w:r>
                </w:p>
              </w:tc>
              <w:tc>
                <w:tcPr>
                  <w:tcW w:w="976" w:type="dxa"/>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75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4" w:hRule="atLeast"/>
              </w:trPr>
              <w:tc>
                <w:tcPr>
                  <w:tcW w:w="1067" w:type="dxa"/>
                  <w:vMerge w:val="continue"/>
                  <w:vAlign w:val="center"/>
                </w:tcPr>
                <w:p>
                  <w:pPr>
                    <w:adjustRightInd w:val="0"/>
                    <w:snapToGrid w:val="0"/>
                    <w:jc w:val="center"/>
                    <w:rPr>
                      <w:rFonts w:eastAsiaTheme="minorEastAsia"/>
                      <w:color w:val="auto"/>
                      <w:szCs w:val="21"/>
                    </w:rPr>
                  </w:pPr>
                </w:p>
              </w:tc>
              <w:tc>
                <w:tcPr>
                  <w:tcW w:w="1458" w:type="dxa"/>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1小时平均</w:t>
                  </w:r>
                </w:p>
              </w:tc>
              <w:tc>
                <w:tcPr>
                  <w:tcW w:w="1324" w:type="dxa"/>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500</w:t>
                  </w:r>
                </w:p>
              </w:tc>
              <w:tc>
                <w:tcPr>
                  <w:tcW w:w="1065" w:type="dxa"/>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200</w:t>
                  </w:r>
                </w:p>
              </w:tc>
              <w:tc>
                <w:tcPr>
                  <w:tcW w:w="1196" w:type="dxa"/>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w:t>
                  </w:r>
                </w:p>
              </w:tc>
              <w:tc>
                <w:tcPr>
                  <w:tcW w:w="1196" w:type="dxa"/>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w:t>
                  </w:r>
                </w:p>
              </w:tc>
              <w:tc>
                <w:tcPr>
                  <w:tcW w:w="976" w:type="dxa"/>
                  <w:vAlign w:val="center"/>
                </w:tcPr>
                <w:p>
                  <w:pPr>
                    <w:pStyle w:val="175"/>
                    <w:adjustRightInd w:val="0"/>
                    <w:snapToGrid w:val="0"/>
                    <w:spacing w:line="240" w:lineRule="auto"/>
                    <w:rPr>
                      <w:rFonts w:eastAsiaTheme="minorEastAsia"/>
                      <w:color w:val="auto"/>
                      <w:szCs w:val="21"/>
                    </w:rPr>
                  </w:pPr>
                  <w:r>
                    <w:rPr>
                      <w:rFonts w:eastAsiaTheme="minorEastAsia"/>
                      <w:color w:val="auto"/>
                      <w:szCs w:val="21"/>
                    </w:rPr>
                    <w:t>/</w:t>
                  </w:r>
                </w:p>
              </w:tc>
            </w:tr>
          </w:tbl>
          <w:p>
            <w:pPr>
              <w:pStyle w:val="176"/>
              <w:adjustRightInd w:val="0"/>
              <w:snapToGrid w:val="0"/>
              <w:spacing w:line="360" w:lineRule="auto"/>
              <w:rPr>
                <w:rFonts w:eastAsiaTheme="minorEastAsia"/>
                <w:b/>
                <w:color w:val="auto"/>
              </w:rPr>
            </w:pPr>
            <w:r>
              <w:rPr>
                <w:rFonts w:eastAsiaTheme="minorEastAsia"/>
                <w:b/>
                <w:color w:val="auto"/>
                <w:szCs w:val="24"/>
              </w:rPr>
              <w:t>表37《工业企业设计卫生标准》（TJ36-79）</w:t>
            </w:r>
            <w:r>
              <w:rPr>
                <w:rFonts w:eastAsiaTheme="minorEastAsia"/>
                <w:b/>
                <w:color w:val="auto"/>
                <w:sz w:val="21"/>
                <w:szCs w:val="21"/>
              </w:rPr>
              <w:t>单位：mg/m</w:t>
            </w:r>
            <w:r>
              <w:rPr>
                <w:rFonts w:eastAsiaTheme="minorEastAsia"/>
                <w:b/>
                <w:color w:val="auto"/>
                <w:sz w:val="21"/>
                <w:szCs w:val="21"/>
                <w:vertAlign w:val="superscript"/>
              </w:rPr>
              <w:t>3</w:t>
            </w:r>
          </w:p>
          <w:tbl>
            <w:tblPr>
              <w:tblStyle w:val="38"/>
              <w:tblW w:w="8282" w:type="dxa"/>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86"/>
              <w:gridCol w:w="2749"/>
              <w:gridCol w:w="1581"/>
              <w:gridCol w:w="2166"/>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4" w:hRule="atLeast"/>
              </w:trPr>
              <w:tc>
                <w:tcPr>
                  <w:tcW w:w="1786" w:type="dxa"/>
                  <w:vMerge w:val="restart"/>
                  <w:vAlign w:val="center"/>
                </w:tcPr>
                <w:p>
                  <w:pPr>
                    <w:pStyle w:val="57"/>
                    <w:adjustRightInd w:val="0"/>
                    <w:spacing w:beforeLines="0" w:afterLines="0" w:line="240" w:lineRule="auto"/>
                    <w:rPr>
                      <w:rFonts w:ascii="Times New Roman" w:eastAsiaTheme="minorEastAsia"/>
                      <w:color w:val="auto"/>
                      <w:sz w:val="21"/>
                      <w:szCs w:val="21"/>
                    </w:rPr>
                  </w:pPr>
                  <w:r>
                    <w:rPr>
                      <w:rFonts w:ascii="Times New Roman" w:eastAsiaTheme="minorEastAsia"/>
                      <w:color w:val="auto"/>
                      <w:sz w:val="21"/>
                      <w:szCs w:val="21"/>
                    </w:rPr>
                    <w:t>污染物</w:t>
                  </w:r>
                </w:p>
              </w:tc>
              <w:tc>
                <w:tcPr>
                  <w:tcW w:w="4330" w:type="dxa"/>
                  <w:gridSpan w:val="2"/>
                  <w:vAlign w:val="center"/>
                </w:tcPr>
                <w:p>
                  <w:pPr>
                    <w:pStyle w:val="57"/>
                    <w:adjustRightInd w:val="0"/>
                    <w:spacing w:beforeLines="0" w:afterLines="0" w:line="240" w:lineRule="auto"/>
                    <w:rPr>
                      <w:rFonts w:ascii="Times New Roman" w:eastAsiaTheme="minorEastAsia"/>
                      <w:color w:val="auto"/>
                      <w:sz w:val="21"/>
                      <w:szCs w:val="21"/>
                    </w:rPr>
                  </w:pPr>
                  <w:r>
                    <w:rPr>
                      <w:rFonts w:ascii="Times New Roman" w:eastAsiaTheme="minorEastAsia"/>
                      <w:color w:val="auto"/>
                      <w:sz w:val="21"/>
                      <w:szCs w:val="21"/>
                    </w:rPr>
                    <w:t>标准值</w:t>
                  </w:r>
                </w:p>
              </w:tc>
              <w:tc>
                <w:tcPr>
                  <w:tcW w:w="2166" w:type="dxa"/>
                  <w:vMerge w:val="restart"/>
                  <w:vAlign w:val="center"/>
                </w:tcPr>
                <w:p>
                  <w:pPr>
                    <w:pStyle w:val="57"/>
                    <w:adjustRightInd w:val="0"/>
                    <w:spacing w:beforeLines="0" w:afterLines="0" w:line="240" w:lineRule="auto"/>
                    <w:rPr>
                      <w:rFonts w:ascii="Times New Roman" w:eastAsiaTheme="minorEastAsia"/>
                      <w:color w:val="auto"/>
                      <w:sz w:val="21"/>
                      <w:szCs w:val="21"/>
                    </w:rPr>
                  </w:pPr>
                  <w:r>
                    <w:rPr>
                      <w:rFonts w:ascii="Times New Roman" w:eastAsiaTheme="minorEastAsia"/>
                      <w:color w:val="auto"/>
                      <w:sz w:val="21"/>
                      <w:szCs w:val="21"/>
                    </w:rPr>
                    <w:t>标准</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4" w:hRule="atLeast"/>
              </w:trPr>
              <w:tc>
                <w:tcPr>
                  <w:tcW w:w="1786" w:type="dxa"/>
                  <w:vMerge w:val="continue"/>
                  <w:vAlign w:val="center"/>
                </w:tcPr>
                <w:p>
                  <w:pPr>
                    <w:pStyle w:val="57"/>
                    <w:adjustRightInd w:val="0"/>
                    <w:spacing w:beforeLines="0" w:afterLines="0" w:line="240" w:lineRule="auto"/>
                    <w:rPr>
                      <w:rFonts w:ascii="Times New Roman" w:eastAsiaTheme="minorEastAsia"/>
                      <w:color w:val="auto"/>
                      <w:sz w:val="21"/>
                      <w:szCs w:val="21"/>
                    </w:rPr>
                  </w:pPr>
                </w:p>
              </w:tc>
              <w:tc>
                <w:tcPr>
                  <w:tcW w:w="2749" w:type="dxa"/>
                  <w:vAlign w:val="center"/>
                </w:tcPr>
                <w:p>
                  <w:pPr>
                    <w:pStyle w:val="57"/>
                    <w:adjustRightInd w:val="0"/>
                    <w:spacing w:beforeLines="0" w:afterLines="0" w:line="240" w:lineRule="auto"/>
                    <w:rPr>
                      <w:rFonts w:ascii="Times New Roman" w:eastAsiaTheme="minorEastAsia"/>
                      <w:color w:val="auto"/>
                      <w:sz w:val="21"/>
                      <w:szCs w:val="21"/>
                    </w:rPr>
                  </w:pPr>
                  <w:r>
                    <w:rPr>
                      <w:rFonts w:ascii="Times New Roman" w:eastAsiaTheme="minorEastAsia"/>
                      <w:color w:val="auto"/>
                      <w:sz w:val="21"/>
                      <w:szCs w:val="21"/>
                    </w:rPr>
                    <w:t>小时浓度或一次值</w:t>
                  </w:r>
                </w:p>
              </w:tc>
              <w:tc>
                <w:tcPr>
                  <w:tcW w:w="1581" w:type="dxa"/>
                  <w:vAlign w:val="center"/>
                </w:tcPr>
                <w:p>
                  <w:pPr>
                    <w:pStyle w:val="57"/>
                    <w:adjustRightInd w:val="0"/>
                    <w:spacing w:beforeLines="0" w:afterLines="0" w:line="240" w:lineRule="auto"/>
                    <w:rPr>
                      <w:rFonts w:ascii="Times New Roman" w:eastAsiaTheme="minorEastAsia"/>
                      <w:color w:val="auto"/>
                      <w:sz w:val="21"/>
                      <w:szCs w:val="21"/>
                    </w:rPr>
                  </w:pPr>
                  <w:r>
                    <w:rPr>
                      <w:rFonts w:ascii="Times New Roman" w:eastAsiaTheme="minorEastAsia"/>
                      <w:color w:val="auto"/>
                      <w:sz w:val="21"/>
                      <w:szCs w:val="21"/>
                    </w:rPr>
                    <w:t>日平均</w:t>
                  </w:r>
                </w:p>
              </w:tc>
              <w:tc>
                <w:tcPr>
                  <w:tcW w:w="2166" w:type="dxa"/>
                  <w:vMerge w:val="continue"/>
                  <w:vAlign w:val="center"/>
                </w:tcPr>
                <w:p>
                  <w:pPr>
                    <w:pStyle w:val="57"/>
                    <w:adjustRightInd w:val="0"/>
                    <w:spacing w:beforeLines="0" w:afterLines="0" w:line="240" w:lineRule="auto"/>
                    <w:rPr>
                      <w:rFonts w:ascii="Times New Roman" w:eastAsiaTheme="minorEastAsia"/>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4" w:hRule="atLeast"/>
              </w:trPr>
              <w:tc>
                <w:tcPr>
                  <w:tcW w:w="1786" w:type="dxa"/>
                  <w:vAlign w:val="center"/>
                </w:tcPr>
                <w:p>
                  <w:pPr>
                    <w:pStyle w:val="57"/>
                    <w:adjustRightInd w:val="0"/>
                    <w:spacing w:beforeLines="0" w:afterLines="0" w:line="240" w:lineRule="auto"/>
                    <w:rPr>
                      <w:rFonts w:ascii="Times New Roman" w:eastAsiaTheme="minorEastAsia"/>
                      <w:color w:val="auto"/>
                      <w:sz w:val="21"/>
                      <w:szCs w:val="21"/>
                    </w:rPr>
                  </w:pPr>
                  <w:r>
                    <w:rPr>
                      <w:rFonts w:ascii="Times New Roman" w:eastAsiaTheme="minorEastAsia"/>
                      <w:color w:val="auto"/>
                      <w:sz w:val="21"/>
                      <w:szCs w:val="21"/>
                    </w:rPr>
                    <w:t>氨</w:t>
                  </w:r>
                </w:p>
              </w:tc>
              <w:tc>
                <w:tcPr>
                  <w:tcW w:w="2749" w:type="dxa"/>
                  <w:vAlign w:val="center"/>
                </w:tcPr>
                <w:p>
                  <w:pPr>
                    <w:pStyle w:val="57"/>
                    <w:adjustRightInd w:val="0"/>
                    <w:spacing w:beforeLines="0" w:afterLines="0" w:line="240" w:lineRule="auto"/>
                    <w:rPr>
                      <w:rFonts w:ascii="Times New Roman" w:eastAsiaTheme="minorEastAsia"/>
                      <w:color w:val="auto"/>
                      <w:sz w:val="21"/>
                      <w:szCs w:val="21"/>
                    </w:rPr>
                  </w:pPr>
                  <w:r>
                    <w:rPr>
                      <w:rFonts w:ascii="Times New Roman" w:eastAsiaTheme="minorEastAsia"/>
                      <w:color w:val="auto"/>
                      <w:sz w:val="21"/>
                      <w:szCs w:val="21"/>
                    </w:rPr>
                    <w:t>0.20</w:t>
                  </w:r>
                </w:p>
              </w:tc>
              <w:tc>
                <w:tcPr>
                  <w:tcW w:w="1581" w:type="dxa"/>
                  <w:vAlign w:val="center"/>
                </w:tcPr>
                <w:p>
                  <w:pPr>
                    <w:pStyle w:val="57"/>
                    <w:adjustRightInd w:val="0"/>
                    <w:spacing w:beforeLines="0" w:afterLines="0" w:line="240" w:lineRule="auto"/>
                    <w:rPr>
                      <w:rFonts w:ascii="Times New Roman" w:eastAsiaTheme="minorEastAsia"/>
                      <w:color w:val="auto"/>
                      <w:sz w:val="21"/>
                      <w:szCs w:val="21"/>
                    </w:rPr>
                  </w:pPr>
                  <w:r>
                    <w:rPr>
                      <w:rFonts w:ascii="Times New Roman" w:eastAsiaTheme="minorEastAsia"/>
                      <w:color w:val="auto"/>
                      <w:sz w:val="21"/>
                      <w:szCs w:val="21"/>
                    </w:rPr>
                    <w:t>/</w:t>
                  </w:r>
                </w:p>
              </w:tc>
              <w:tc>
                <w:tcPr>
                  <w:tcW w:w="2166" w:type="dxa"/>
                  <w:vMerge w:val="restart"/>
                  <w:vAlign w:val="center"/>
                </w:tcPr>
                <w:p>
                  <w:pPr>
                    <w:pStyle w:val="57"/>
                    <w:adjustRightInd w:val="0"/>
                    <w:spacing w:beforeLines="0" w:afterLines="0" w:line="240" w:lineRule="auto"/>
                    <w:rPr>
                      <w:rFonts w:ascii="Times New Roman" w:eastAsiaTheme="minorEastAsia"/>
                      <w:color w:val="auto"/>
                      <w:sz w:val="21"/>
                      <w:szCs w:val="21"/>
                    </w:rPr>
                  </w:pPr>
                  <w:r>
                    <w:rPr>
                      <w:rFonts w:ascii="Times New Roman" w:eastAsiaTheme="minorEastAsia"/>
                      <w:color w:val="auto"/>
                      <w:sz w:val="21"/>
                      <w:szCs w:val="21"/>
                    </w:rPr>
                    <w:t>TJ36-79</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4" w:hRule="atLeast"/>
              </w:trPr>
              <w:tc>
                <w:tcPr>
                  <w:tcW w:w="1786" w:type="dxa"/>
                  <w:vAlign w:val="center"/>
                </w:tcPr>
                <w:p>
                  <w:pPr>
                    <w:pStyle w:val="57"/>
                    <w:adjustRightInd w:val="0"/>
                    <w:spacing w:beforeLines="0" w:afterLines="0" w:line="240" w:lineRule="auto"/>
                    <w:rPr>
                      <w:rFonts w:ascii="Times New Roman" w:eastAsiaTheme="minorEastAsia"/>
                      <w:color w:val="auto"/>
                      <w:sz w:val="21"/>
                      <w:szCs w:val="21"/>
                    </w:rPr>
                  </w:pPr>
                  <w:r>
                    <w:rPr>
                      <w:rFonts w:ascii="Times New Roman" w:eastAsiaTheme="minorEastAsia"/>
                      <w:color w:val="auto"/>
                      <w:sz w:val="21"/>
                      <w:szCs w:val="21"/>
                    </w:rPr>
                    <w:t>硫化氢</w:t>
                  </w:r>
                </w:p>
              </w:tc>
              <w:tc>
                <w:tcPr>
                  <w:tcW w:w="2749" w:type="dxa"/>
                  <w:vAlign w:val="center"/>
                </w:tcPr>
                <w:p>
                  <w:pPr>
                    <w:pStyle w:val="57"/>
                    <w:adjustRightInd w:val="0"/>
                    <w:spacing w:beforeLines="0" w:afterLines="0" w:line="240" w:lineRule="auto"/>
                    <w:rPr>
                      <w:rFonts w:ascii="Times New Roman" w:eastAsiaTheme="minorEastAsia"/>
                      <w:color w:val="auto"/>
                      <w:sz w:val="21"/>
                      <w:szCs w:val="21"/>
                    </w:rPr>
                  </w:pPr>
                  <w:r>
                    <w:rPr>
                      <w:rFonts w:ascii="Times New Roman" w:eastAsiaTheme="minorEastAsia"/>
                      <w:color w:val="auto"/>
                      <w:sz w:val="21"/>
                      <w:szCs w:val="21"/>
                    </w:rPr>
                    <w:t>0.01</w:t>
                  </w:r>
                </w:p>
              </w:tc>
              <w:tc>
                <w:tcPr>
                  <w:tcW w:w="1581" w:type="dxa"/>
                  <w:vAlign w:val="center"/>
                </w:tcPr>
                <w:p>
                  <w:pPr>
                    <w:pStyle w:val="57"/>
                    <w:adjustRightInd w:val="0"/>
                    <w:spacing w:beforeLines="0" w:afterLines="0" w:line="240" w:lineRule="auto"/>
                    <w:rPr>
                      <w:rFonts w:ascii="Times New Roman" w:eastAsiaTheme="minorEastAsia"/>
                      <w:color w:val="auto"/>
                      <w:sz w:val="21"/>
                      <w:szCs w:val="21"/>
                    </w:rPr>
                  </w:pPr>
                  <w:r>
                    <w:rPr>
                      <w:rFonts w:ascii="Times New Roman" w:eastAsiaTheme="minorEastAsia"/>
                      <w:color w:val="auto"/>
                      <w:sz w:val="21"/>
                      <w:szCs w:val="21"/>
                    </w:rPr>
                    <w:t>/</w:t>
                  </w:r>
                </w:p>
              </w:tc>
              <w:tc>
                <w:tcPr>
                  <w:tcW w:w="2166" w:type="dxa"/>
                  <w:vMerge w:val="continue"/>
                  <w:vAlign w:val="center"/>
                </w:tcPr>
                <w:p>
                  <w:pPr>
                    <w:pStyle w:val="57"/>
                    <w:adjustRightInd w:val="0"/>
                    <w:spacing w:beforeLines="0" w:afterLines="0" w:line="240" w:lineRule="auto"/>
                    <w:rPr>
                      <w:rFonts w:ascii="Times New Roman" w:eastAsiaTheme="minorEastAsia"/>
                      <w:color w:val="auto"/>
                      <w:sz w:val="21"/>
                      <w:szCs w:val="21"/>
                    </w:rPr>
                  </w:pPr>
                </w:p>
              </w:tc>
            </w:tr>
          </w:tbl>
          <w:p>
            <w:pPr>
              <w:adjustRightInd w:val="0"/>
              <w:snapToGrid w:val="0"/>
              <w:spacing w:beforeLines="50" w:line="360" w:lineRule="auto"/>
              <w:ind w:firstLine="480" w:firstLineChars="200"/>
              <w:rPr>
                <w:rFonts w:eastAsiaTheme="minorEastAsia"/>
                <w:color w:val="auto"/>
                <w:sz w:val="24"/>
              </w:rPr>
            </w:pPr>
            <w:r>
              <w:rPr>
                <w:rFonts w:hint="eastAsia" w:ascii="宋体" w:hAnsi="宋体" w:cs="宋体"/>
                <w:color w:val="auto"/>
                <w:sz w:val="24"/>
              </w:rPr>
              <w:t>⑵</w:t>
            </w:r>
            <w:r>
              <w:rPr>
                <w:rFonts w:eastAsiaTheme="minorEastAsia"/>
                <w:color w:val="auto"/>
                <w:sz w:val="24"/>
              </w:rPr>
              <w:t>本项污水厂附近地表水为柏树底河，属马莲河支流，水环境质量现状及影响评执行《地表水环境质量标准》(GB3838-2002)中</w:t>
            </w:r>
            <w:r>
              <w:rPr>
                <w:rFonts w:eastAsiaTheme="minorEastAsia"/>
                <w:color w:val="auto"/>
                <w:sz w:val="24"/>
              </w:rPr>
              <w:fldChar w:fldCharType="begin"/>
            </w:r>
            <w:r>
              <w:rPr>
                <w:rFonts w:eastAsiaTheme="minorEastAsia"/>
                <w:color w:val="auto"/>
                <w:sz w:val="24"/>
              </w:rPr>
              <w:instrText xml:space="preserve"> = 3 \* ROMAN </w:instrText>
            </w:r>
            <w:r>
              <w:rPr>
                <w:rFonts w:eastAsiaTheme="minorEastAsia"/>
                <w:color w:val="auto"/>
                <w:sz w:val="24"/>
              </w:rPr>
              <w:fldChar w:fldCharType="separate"/>
            </w:r>
            <w:r>
              <w:rPr>
                <w:rFonts w:eastAsiaTheme="minorEastAsia"/>
                <w:color w:val="auto"/>
                <w:sz w:val="24"/>
              </w:rPr>
              <w:t>IV</w:t>
            </w:r>
            <w:r>
              <w:rPr>
                <w:rFonts w:eastAsiaTheme="minorEastAsia"/>
                <w:color w:val="auto"/>
                <w:sz w:val="24"/>
              </w:rPr>
              <w:fldChar w:fldCharType="end"/>
            </w:r>
            <w:r>
              <w:rPr>
                <w:rFonts w:eastAsiaTheme="minorEastAsia"/>
                <w:color w:val="auto"/>
                <w:sz w:val="24"/>
              </w:rPr>
              <w:t>类标准；见表38。</w:t>
            </w:r>
          </w:p>
          <w:p>
            <w:pPr>
              <w:adjustRightInd w:val="0"/>
              <w:snapToGrid w:val="0"/>
              <w:spacing w:line="360" w:lineRule="auto"/>
              <w:jc w:val="center"/>
              <w:rPr>
                <w:rFonts w:eastAsiaTheme="minorEastAsia"/>
                <w:b/>
                <w:color w:val="auto"/>
                <w:sz w:val="24"/>
              </w:rPr>
            </w:pPr>
            <w:r>
              <w:rPr>
                <w:rFonts w:eastAsiaTheme="minorEastAsia"/>
                <w:b/>
                <w:color w:val="auto"/>
                <w:sz w:val="24"/>
              </w:rPr>
              <w:t>表38地表水环境质量标准单位：mg/L</w:t>
            </w:r>
          </w:p>
          <w:tbl>
            <w:tblPr>
              <w:tblStyle w:val="38"/>
              <w:tblW w:w="8327" w:type="dxa"/>
              <w:tblInd w:w="1"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11"/>
              <w:gridCol w:w="678"/>
              <w:gridCol w:w="814"/>
              <w:gridCol w:w="813"/>
              <w:gridCol w:w="949"/>
              <w:gridCol w:w="814"/>
              <w:gridCol w:w="1356"/>
              <w:gridCol w:w="814"/>
              <w:gridCol w:w="678"/>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7" w:hRule="atLeast"/>
              </w:trPr>
              <w:tc>
                <w:tcPr>
                  <w:tcW w:w="1411" w:type="dxa"/>
                  <w:vAlign w:val="center"/>
                </w:tcPr>
                <w:p>
                  <w:pPr>
                    <w:adjustRightInd w:val="0"/>
                    <w:snapToGrid w:val="0"/>
                    <w:jc w:val="center"/>
                    <w:rPr>
                      <w:rFonts w:eastAsiaTheme="minorEastAsia"/>
                      <w:color w:val="auto"/>
                      <w:szCs w:val="21"/>
                    </w:rPr>
                  </w:pPr>
                  <w:r>
                    <w:rPr>
                      <w:rFonts w:eastAsiaTheme="minorEastAsia"/>
                      <w:color w:val="auto"/>
                      <w:szCs w:val="21"/>
                    </w:rPr>
                    <w:t>项目</w:t>
                  </w:r>
                </w:p>
              </w:tc>
              <w:tc>
                <w:tcPr>
                  <w:tcW w:w="678" w:type="dxa"/>
                  <w:vAlign w:val="center"/>
                </w:tcPr>
                <w:p>
                  <w:pPr>
                    <w:adjustRightInd w:val="0"/>
                    <w:snapToGrid w:val="0"/>
                    <w:jc w:val="center"/>
                    <w:rPr>
                      <w:rFonts w:eastAsiaTheme="minorEastAsia"/>
                      <w:color w:val="auto"/>
                      <w:szCs w:val="21"/>
                    </w:rPr>
                  </w:pPr>
                  <w:r>
                    <w:rPr>
                      <w:rFonts w:eastAsiaTheme="minorEastAsia"/>
                      <w:color w:val="auto"/>
                      <w:szCs w:val="21"/>
                    </w:rPr>
                    <w:t>pH</w:t>
                  </w:r>
                </w:p>
              </w:tc>
              <w:tc>
                <w:tcPr>
                  <w:tcW w:w="814" w:type="dxa"/>
                  <w:vAlign w:val="center"/>
                </w:tcPr>
                <w:p>
                  <w:pPr>
                    <w:adjustRightInd w:val="0"/>
                    <w:snapToGrid w:val="0"/>
                    <w:jc w:val="center"/>
                    <w:rPr>
                      <w:rFonts w:eastAsiaTheme="minorEastAsia"/>
                      <w:color w:val="auto"/>
                      <w:szCs w:val="21"/>
                      <w:vertAlign w:val="subscript"/>
                    </w:rPr>
                  </w:pPr>
                  <w:r>
                    <w:rPr>
                      <w:rFonts w:eastAsiaTheme="minorEastAsia"/>
                      <w:color w:val="auto"/>
                      <w:szCs w:val="21"/>
                    </w:rPr>
                    <w:t>COD</w:t>
                  </w:r>
                </w:p>
              </w:tc>
              <w:tc>
                <w:tcPr>
                  <w:tcW w:w="813" w:type="dxa"/>
                  <w:vAlign w:val="center"/>
                </w:tcPr>
                <w:p>
                  <w:pPr>
                    <w:adjustRightInd w:val="0"/>
                    <w:snapToGrid w:val="0"/>
                    <w:jc w:val="center"/>
                    <w:rPr>
                      <w:rFonts w:eastAsiaTheme="minorEastAsia"/>
                      <w:color w:val="auto"/>
                      <w:szCs w:val="21"/>
                    </w:rPr>
                  </w:pPr>
                  <w:r>
                    <w:rPr>
                      <w:rFonts w:eastAsiaTheme="minorEastAsia"/>
                      <w:color w:val="auto"/>
                      <w:szCs w:val="21"/>
                    </w:rPr>
                    <w:t>BOD</w:t>
                  </w:r>
                  <w:r>
                    <w:rPr>
                      <w:rFonts w:eastAsiaTheme="minorEastAsia"/>
                      <w:color w:val="auto"/>
                      <w:szCs w:val="21"/>
                      <w:vertAlign w:val="subscript"/>
                    </w:rPr>
                    <w:t>5</w:t>
                  </w:r>
                </w:p>
              </w:tc>
              <w:tc>
                <w:tcPr>
                  <w:tcW w:w="949" w:type="dxa"/>
                  <w:vAlign w:val="center"/>
                </w:tcPr>
                <w:p>
                  <w:pPr>
                    <w:pStyle w:val="24"/>
                    <w:pBdr>
                      <w:bottom w:val="none" w:color="auto" w:sz="0" w:space="0"/>
                    </w:pBdr>
                    <w:adjustRightInd w:val="0"/>
                    <w:rPr>
                      <w:rFonts w:eastAsiaTheme="minorEastAsia"/>
                      <w:color w:val="auto"/>
                      <w:sz w:val="21"/>
                      <w:szCs w:val="21"/>
                    </w:rPr>
                  </w:pPr>
                  <w:r>
                    <w:rPr>
                      <w:rFonts w:eastAsiaTheme="minorEastAsia"/>
                      <w:color w:val="auto"/>
                      <w:sz w:val="21"/>
                      <w:szCs w:val="21"/>
                    </w:rPr>
                    <w:t>DO</w:t>
                  </w:r>
                </w:p>
              </w:tc>
              <w:tc>
                <w:tcPr>
                  <w:tcW w:w="814" w:type="dxa"/>
                  <w:vAlign w:val="center"/>
                </w:tcPr>
                <w:p>
                  <w:pPr>
                    <w:adjustRightInd w:val="0"/>
                    <w:snapToGrid w:val="0"/>
                    <w:jc w:val="center"/>
                    <w:rPr>
                      <w:rFonts w:eastAsiaTheme="minorEastAsia"/>
                      <w:color w:val="auto"/>
                      <w:szCs w:val="21"/>
                    </w:rPr>
                  </w:pPr>
                  <w:r>
                    <w:rPr>
                      <w:rFonts w:eastAsiaTheme="minorEastAsia"/>
                      <w:color w:val="auto"/>
                      <w:szCs w:val="21"/>
                    </w:rPr>
                    <w:t>氨氮</w:t>
                  </w:r>
                </w:p>
              </w:tc>
              <w:tc>
                <w:tcPr>
                  <w:tcW w:w="1356" w:type="dxa"/>
                  <w:vAlign w:val="center"/>
                </w:tcPr>
                <w:p>
                  <w:pPr>
                    <w:adjustRightInd w:val="0"/>
                    <w:snapToGrid w:val="0"/>
                    <w:jc w:val="center"/>
                    <w:rPr>
                      <w:rFonts w:eastAsiaTheme="minorEastAsia"/>
                      <w:color w:val="auto"/>
                      <w:szCs w:val="21"/>
                    </w:rPr>
                  </w:pPr>
                  <w:r>
                    <w:rPr>
                      <w:rFonts w:eastAsiaTheme="minorEastAsia"/>
                      <w:color w:val="auto"/>
                      <w:szCs w:val="21"/>
                    </w:rPr>
                    <w:t>石油类</w:t>
                  </w:r>
                </w:p>
              </w:tc>
              <w:tc>
                <w:tcPr>
                  <w:tcW w:w="814" w:type="dxa"/>
                  <w:vAlign w:val="center"/>
                </w:tcPr>
                <w:p>
                  <w:pPr>
                    <w:adjustRightInd w:val="0"/>
                    <w:snapToGrid w:val="0"/>
                    <w:jc w:val="center"/>
                    <w:rPr>
                      <w:rFonts w:eastAsiaTheme="minorEastAsia"/>
                      <w:color w:val="auto"/>
                      <w:szCs w:val="21"/>
                    </w:rPr>
                  </w:pPr>
                  <w:r>
                    <w:rPr>
                      <w:rFonts w:eastAsiaTheme="minorEastAsia"/>
                      <w:color w:val="auto"/>
                      <w:szCs w:val="21"/>
                    </w:rPr>
                    <w:t>总磷</w:t>
                  </w:r>
                </w:p>
              </w:tc>
              <w:tc>
                <w:tcPr>
                  <w:tcW w:w="678" w:type="dxa"/>
                  <w:vAlign w:val="center"/>
                </w:tcPr>
                <w:p>
                  <w:pPr>
                    <w:pStyle w:val="24"/>
                    <w:pBdr>
                      <w:bottom w:val="none" w:color="auto" w:sz="0" w:space="0"/>
                    </w:pBdr>
                    <w:adjustRightInd w:val="0"/>
                    <w:rPr>
                      <w:rFonts w:eastAsiaTheme="minorEastAsia"/>
                      <w:color w:val="auto"/>
                      <w:sz w:val="21"/>
                      <w:szCs w:val="21"/>
                    </w:rPr>
                  </w:pPr>
                  <w:r>
                    <w:rPr>
                      <w:rFonts w:eastAsiaTheme="minorEastAsia"/>
                      <w:color w:val="auto"/>
                      <w:sz w:val="21"/>
                      <w:szCs w:val="21"/>
                    </w:rPr>
                    <w:t>总氮</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5" w:hRule="atLeast"/>
              </w:trPr>
              <w:tc>
                <w:tcPr>
                  <w:tcW w:w="1411" w:type="dxa"/>
                  <w:vAlign w:val="center"/>
                </w:tcPr>
                <w:p>
                  <w:pPr>
                    <w:adjustRightInd w:val="0"/>
                    <w:snapToGrid w:val="0"/>
                    <w:jc w:val="center"/>
                    <w:rPr>
                      <w:rFonts w:eastAsiaTheme="minorEastAsia"/>
                      <w:color w:val="auto"/>
                      <w:szCs w:val="21"/>
                    </w:rPr>
                  </w:pPr>
                  <w:r>
                    <w:rPr>
                      <w:rFonts w:eastAsiaTheme="minorEastAsia"/>
                      <w:color w:val="auto"/>
                      <w:szCs w:val="21"/>
                    </w:rPr>
                    <w:fldChar w:fldCharType="begin"/>
                  </w:r>
                  <w:r>
                    <w:rPr>
                      <w:rFonts w:eastAsiaTheme="minorEastAsia"/>
                      <w:color w:val="auto"/>
                      <w:szCs w:val="21"/>
                    </w:rPr>
                    <w:instrText xml:space="preserve"> = 3 \* ROMAN </w:instrText>
                  </w:r>
                  <w:r>
                    <w:rPr>
                      <w:rFonts w:eastAsiaTheme="minorEastAsia"/>
                      <w:color w:val="auto"/>
                      <w:szCs w:val="21"/>
                    </w:rPr>
                    <w:fldChar w:fldCharType="separate"/>
                  </w:r>
                  <w:r>
                    <w:rPr>
                      <w:rFonts w:eastAsiaTheme="minorEastAsia"/>
                      <w:color w:val="auto"/>
                      <w:szCs w:val="21"/>
                    </w:rPr>
                    <w:t>IV</w:t>
                  </w:r>
                  <w:r>
                    <w:rPr>
                      <w:rFonts w:eastAsiaTheme="minorEastAsia"/>
                      <w:color w:val="auto"/>
                      <w:szCs w:val="21"/>
                    </w:rPr>
                    <w:fldChar w:fldCharType="end"/>
                  </w:r>
                  <w:r>
                    <w:rPr>
                      <w:rFonts w:eastAsiaTheme="minorEastAsia"/>
                      <w:color w:val="auto"/>
                      <w:szCs w:val="21"/>
                    </w:rPr>
                    <w:t>类标准值</w:t>
                  </w:r>
                </w:p>
              </w:tc>
              <w:tc>
                <w:tcPr>
                  <w:tcW w:w="678" w:type="dxa"/>
                  <w:vAlign w:val="center"/>
                </w:tcPr>
                <w:p>
                  <w:pPr>
                    <w:pStyle w:val="24"/>
                    <w:pBdr>
                      <w:bottom w:val="none" w:color="auto" w:sz="0" w:space="0"/>
                    </w:pBdr>
                    <w:adjustRightInd w:val="0"/>
                    <w:rPr>
                      <w:rFonts w:eastAsiaTheme="minorEastAsia"/>
                      <w:color w:val="auto"/>
                      <w:sz w:val="21"/>
                      <w:szCs w:val="21"/>
                    </w:rPr>
                  </w:pPr>
                  <w:r>
                    <w:rPr>
                      <w:rFonts w:eastAsiaTheme="minorEastAsia"/>
                      <w:color w:val="auto"/>
                      <w:sz w:val="21"/>
                      <w:szCs w:val="21"/>
                    </w:rPr>
                    <w:t>6~9</w:t>
                  </w:r>
                </w:p>
              </w:tc>
              <w:tc>
                <w:tcPr>
                  <w:tcW w:w="814" w:type="dxa"/>
                  <w:vAlign w:val="center"/>
                </w:tcPr>
                <w:p>
                  <w:pPr>
                    <w:adjustRightInd w:val="0"/>
                    <w:snapToGrid w:val="0"/>
                    <w:jc w:val="center"/>
                    <w:rPr>
                      <w:rFonts w:eastAsiaTheme="minorEastAsia"/>
                      <w:color w:val="auto"/>
                      <w:szCs w:val="21"/>
                    </w:rPr>
                  </w:pPr>
                  <w:r>
                    <w:rPr>
                      <w:rFonts w:eastAsiaTheme="minorEastAsia"/>
                      <w:color w:val="auto"/>
                      <w:szCs w:val="21"/>
                    </w:rPr>
                    <w:t>≤30</w:t>
                  </w:r>
                </w:p>
              </w:tc>
              <w:tc>
                <w:tcPr>
                  <w:tcW w:w="813" w:type="dxa"/>
                  <w:vAlign w:val="center"/>
                </w:tcPr>
                <w:p>
                  <w:pPr>
                    <w:adjustRightInd w:val="0"/>
                    <w:snapToGrid w:val="0"/>
                    <w:jc w:val="center"/>
                    <w:rPr>
                      <w:rFonts w:eastAsiaTheme="minorEastAsia"/>
                      <w:color w:val="auto"/>
                      <w:szCs w:val="21"/>
                    </w:rPr>
                  </w:pPr>
                  <w:r>
                    <w:rPr>
                      <w:rFonts w:eastAsiaTheme="minorEastAsia"/>
                      <w:color w:val="auto"/>
                      <w:szCs w:val="21"/>
                    </w:rPr>
                    <w:t>≤6</w:t>
                  </w:r>
                </w:p>
              </w:tc>
              <w:tc>
                <w:tcPr>
                  <w:tcW w:w="949" w:type="dxa"/>
                  <w:vAlign w:val="center"/>
                </w:tcPr>
                <w:p>
                  <w:pPr>
                    <w:adjustRightInd w:val="0"/>
                    <w:snapToGrid w:val="0"/>
                    <w:jc w:val="center"/>
                    <w:rPr>
                      <w:rFonts w:eastAsiaTheme="minorEastAsia"/>
                      <w:color w:val="auto"/>
                      <w:szCs w:val="21"/>
                    </w:rPr>
                  </w:pPr>
                  <w:r>
                    <w:rPr>
                      <w:rFonts w:eastAsiaTheme="minorEastAsia"/>
                      <w:color w:val="auto"/>
                      <w:szCs w:val="21"/>
                    </w:rPr>
                    <w:t>≥3</w:t>
                  </w:r>
                </w:p>
              </w:tc>
              <w:tc>
                <w:tcPr>
                  <w:tcW w:w="814" w:type="dxa"/>
                  <w:vAlign w:val="center"/>
                </w:tcPr>
                <w:p>
                  <w:pPr>
                    <w:adjustRightInd w:val="0"/>
                    <w:snapToGrid w:val="0"/>
                    <w:jc w:val="center"/>
                    <w:rPr>
                      <w:rFonts w:eastAsiaTheme="minorEastAsia"/>
                      <w:color w:val="auto"/>
                      <w:szCs w:val="21"/>
                    </w:rPr>
                  </w:pPr>
                  <w:r>
                    <w:rPr>
                      <w:rFonts w:eastAsiaTheme="minorEastAsia"/>
                      <w:color w:val="auto"/>
                      <w:szCs w:val="21"/>
                    </w:rPr>
                    <w:t>≤1.5</w:t>
                  </w:r>
                </w:p>
              </w:tc>
              <w:tc>
                <w:tcPr>
                  <w:tcW w:w="1356" w:type="dxa"/>
                  <w:vAlign w:val="center"/>
                </w:tcPr>
                <w:p>
                  <w:pPr>
                    <w:adjustRightInd w:val="0"/>
                    <w:snapToGrid w:val="0"/>
                    <w:jc w:val="center"/>
                    <w:rPr>
                      <w:rFonts w:eastAsiaTheme="minorEastAsia"/>
                      <w:color w:val="auto"/>
                      <w:szCs w:val="21"/>
                    </w:rPr>
                  </w:pPr>
                  <w:r>
                    <w:rPr>
                      <w:rFonts w:eastAsiaTheme="minorEastAsia"/>
                      <w:color w:val="auto"/>
                      <w:szCs w:val="21"/>
                    </w:rPr>
                    <w:t>≤0.5</w:t>
                  </w:r>
                </w:p>
              </w:tc>
              <w:tc>
                <w:tcPr>
                  <w:tcW w:w="814" w:type="dxa"/>
                  <w:vAlign w:val="center"/>
                </w:tcPr>
                <w:p>
                  <w:pPr>
                    <w:adjustRightInd w:val="0"/>
                    <w:snapToGrid w:val="0"/>
                    <w:jc w:val="center"/>
                    <w:rPr>
                      <w:rFonts w:eastAsiaTheme="minorEastAsia"/>
                      <w:color w:val="auto"/>
                      <w:szCs w:val="21"/>
                    </w:rPr>
                  </w:pPr>
                  <w:r>
                    <w:rPr>
                      <w:rFonts w:eastAsiaTheme="minorEastAsia"/>
                      <w:color w:val="auto"/>
                      <w:szCs w:val="21"/>
                    </w:rPr>
                    <w:t>≤0.3</w:t>
                  </w:r>
                </w:p>
              </w:tc>
              <w:tc>
                <w:tcPr>
                  <w:tcW w:w="678" w:type="dxa"/>
                  <w:vAlign w:val="center"/>
                </w:tcPr>
                <w:p>
                  <w:pPr>
                    <w:adjustRightInd w:val="0"/>
                    <w:snapToGrid w:val="0"/>
                    <w:jc w:val="center"/>
                    <w:rPr>
                      <w:rFonts w:eastAsiaTheme="minorEastAsia"/>
                      <w:color w:val="auto"/>
                      <w:szCs w:val="21"/>
                    </w:rPr>
                  </w:pPr>
                  <w:r>
                    <w:rPr>
                      <w:rFonts w:eastAsiaTheme="minorEastAsia"/>
                      <w:color w:val="auto"/>
                      <w:szCs w:val="21"/>
                    </w:rPr>
                    <w:t>≤1.5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11" w:type="dxa"/>
                  <w:vAlign w:val="center"/>
                </w:tcPr>
                <w:p>
                  <w:pPr>
                    <w:adjustRightInd w:val="0"/>
                    <w:snapToGrid w:val="0"/>
                    <w:jc w:val="center"/>
                    <w:rPr>
                      <w:rFonts w:eastAsiaTheme="minorEastAsia"/>
                      <w:color w:val="auto"/>
                      <w:szCs w:val="21"/>
                    </w:rPr>
                  </w:pPr>
                  <w:r>
                    <w:rPr>
                      <w:rFonts w:eastAsiaTheme="minorEastAsia"/>
                      <w:color w:val="auto"/>
                      <w:szCs w:val="21"/>
                    </w:rPr>
                    <w:t>项目</w:t>
                  </w:r>
                </w:p>
              </w:tc>
              <w:tc>
                <w:tcPr>
                  <w:tcW w:w="678" w:type="dxa"/>
                  <w:vAlign w:val="center"/>
                </w:tcPr>
                <w:p>
                  <w:pPr>
                    <w:adjustRightInd w:val="0"/>
                    <w:snapToGrid w:val="0"/>
                    <w:jc w:val="center"/>
                    <w:rPr>
                      <w:rFonts w:eastAsiaTheme="minorEastAsia"/>
                      <w:color w:val="auto"/>
                      <w:szCs w:val="21"/>
                    </w:rPr>
                  </w:pPr>
                  <w:r>
                    <w:rPr>
                      <w:rFonts w:eastAsiaTheme="minorEastAsia"/>
                      <w:color w:val="auto"/>
                      <w:szCs w:val="21"/>
                    </w:rPr>
                    <w:t>Pb</w:t>
                  </w:r>
                </w:p>
              </w:tc>
              <w:tc>
                <w:tcPr>
                  <w:tcW w:w="814" w:type="dxa"/>
                  <w:vAlign w:val="center"/>
                </w:tcPr>
                <w:p>
                  <w:pPr>
                    <w:adjustRightInd w:val="0"/>
                    <w:snapToGrid w:val="0"/>
                    <w:jc w:val="center"/>
                    <w:rPr>
                      <w:rFonts w:eastAsiaTheme="minorEastAsia"/>
                      <w:color w:val="auto"/>
                      <w:szCs w:val="21"/>
                    </w:rPr>
                  </w:pPr>
                  <w:r>
                    <w:rPr>
                      <w:rFonts w:eastAsiaTheme="minorEastAsia"/>
                      <w:color w:val="auto"/>
                      <w:szCs w:val="21"/>
                    </w:rPr>
                    <w:t>As</w:t>
                  </w:r>
                </w:p>
              </w:tc>
              <w:tc>
                <w:tcPr>
                  <w:tcW w:w="813" w:type="dxa"/>
                  <w:vAlign w:val="center"/>
                </w:tcPr>
                <w:p>
                  <w:pPr>
                    <w:adjustRightInd w:val="0"/>
                    <w:snapToGrid w:val="0"/>
                    <w:jc w:val="center"/>
                    <w:rPr>
                      <w:rFonts w:eastAsiaTheme="minorEastAsia"/>
                      <w:color w:val="auto"/>
                      <w:szCs w:val="21"/>
                    </w:rPr>
                  </w:pPr>
                  <w:r>
                    <w:rPr>
                      <w:rFonts w:eastAsiaTheme="minorEastAsia"/>
                      <w:color w:val="auto"/>
                      <w:szCs w:val="21"/>
                    </w:rPr>
                    <w:t>氟化物</w:t>
                  </w:r>
                </w:p>
              </w:tc>
              <w:tc>
                <w:tcPr>
                  <w:tcW w:w="949" w:type="dxa"/>
                  <w:vAlign w:val="center"/>
                </w:tcPr>
                <w:p>
                  <w:pPr>
                    <w:adjustRightInd w:val="0"/>
                    <w:snapToGrid w:val="0"/>
                    <w:jc w:val="center"/>
                    <w:rPr>
                      <w:rFonts w:eastAsiaTheme="minorEastAsia"/>
                      <w:color w:val="auto"/>
                      <w:szCs w:val="21"/>
                    </w:rPr>
                  </w:pPr>
                  <w:r>
                    <w:rPr>
                      <w:rFonts w:eastAsiaTheme="minorEastAsia"/>
                      <w:color w:val="auto"/>
                      <w:szCs w:val="21"/>
                    </w:rPr>
                    <w:t>挥发酚</w:t>
                  </w:r>
                </w:p>
              </w:tc>
              <w:tc>
                <w:tcPr>
                  <w:tcW w:w="814" w:type="dxa"/>
                  <w:vAlign w:val="center"/>
                </w:tcPr>
                <w:p>
                  <w:pPr>
                    <w:adjustRightInd w:val="0"/>
                    <w:snapToGrid w:val="0"/>
                    <w:jc w:val="center"/>
                    <w:rPr>
                      <w:rFonts w:eastAsiaTheme="minorEastAsia"/>
                      <w:color w:val="auto"/>
                      <w:szCs w:val="21"/>
                    </w:rPr>
                  </w:pPr>
                  <w:r>
                    <w:rPr>
                      <w:rFonts w:eastAsiaTheme="minorEastAsia"/>
                      <w:color w:val="auto"/>
                      <w:szCs w:val="21"/>
                    </w:rPr>
                    <w:t>硫化物</w:t>
                  </w:r>
                </w:p>
              </w:tc>
              <w:tc>
                <w:tcPr>
                  <w:tcW w:w="1356" w:type="dxa"/>
                  <w:vAlign w:val="center"/>
                </w:tcPr>
                <w:p>
                  <w:pPr>
                    <w:pStyle w:val="24"/>
                    <w:pBdr>
                      <w:bottom w:val="none" w:color="auto" w:sz="0" w:space="0"/>
                    </w:pBdr>
                    <w:adjustRightInd w:val="0"/>
                    <w:rPr>
                      <w:rFonts w:eastAsiaTheme="minorEastAsia"/>
                      <w:color w:val="auto"/>
                      <w:sz w:val="21"/>
                      <w:szCs w:val="21"/>
                    </w:rPr>
                  </w:pPr>
                  <w:r>
                    <w:rPr>
                      <w:rFonts w:eastAsiaTheme="minorEastAsia"/>
                      <w:color w:val="auto"/>
                      <w:sz w:val="21"/>
                      <w:szCs w:val="21"/>
                    </w:rPr>
                    <w:t>粪大肠菌群</w:t>
                  </w:r>
                </w:p>
              </w:tc>
              <w:tc>
                <w:tcPr>
                  <w:tcW w:w="1492" w:type="dxa"/>
                  <w:gridSpan w:val="2"/>
                  <w:vAlign w:val="center"/>
                </w:tcPr>
                <w:p>
                  <w:pPr>
                    <w:pStyle w:val="24"/>
                    <w:pBdr>
                      <w:bottom w:val="none" w:color="auto" w:sz="0" w:space="0"/>
                    </w:pBdr>
                    <w:adjustRightInd w:val="0"/>
                    <w:rPr>
                      <w:rFonts w:eastAsiaTheme="minorEastAsia"/>
                      <w:color w:val="auto"/>
                      <w:sz w:val="21"/>
                      <w:szCs w:val="21"/>
                    </w:rPr>
                  </w:pPr>
                  <w:r>
                    <w:rPr>
                      <w:rFonts w:eastAsiaTheme="minorEastAsia"/>
                      <w:color w:val="auto"/>
                      <w:sz w:val="21"/>
                      <w:szCs w:val="21"/>
                    </w:rPr>
                    <w:t>高锰酸盐指数</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7" w:hRule="atLeast"/>
              </w:trPr>
              <w:tc>
                <w:tcPr>
                  <w:tcW w:w="1411" w:type="dxa"/>
                  <w:vAlign w:val="center"/>
                </w:tcPr>
                <w:p>
                  <w:pPr>
                    <w:adjustRightInd w:val="0"/>
                    <w:snapToGrid w:val="0"/>
                    <w:jc w:val="center"/>
                    <w:rPr>
                      <w:rFonts w:eastAsiaTheme="minorEastAsia"/>
                      <w:color w:val="auto"/>
                      <w:szCs w:val="21"/>
                    </w:rPr>
                  </w:pPr>
                  <w:r>
                    <w:rPr>
                      <w:rFonts w:eastAsiaTheme="minorEastAsia"/>
                      <w:color w:val="auto"/>
                      <w:szCs w:val="21"/>
                    </w:rPr>
                    <w:fldChar w:fldCharType="begin"/>
                  </w:r>
                  <w:r>
                    <w:rPr>
                      <w:rFonts w:eastAsiaTheme="minorEastAsia"/>
                      <w:color w:val="auto"/>
                      <w:szCs w:val="21"/>
                    </w:rPr>
                    <w:instrText xml:space="preserve"> = 3 \* ROMAN </w:instrText>
                  </w:r>
                  <w:r>
                    <w:rPr>
                      <w:rFonts w:eastAsiaTheme="minorEastAsia"/>
                      <w:color w:val="auto"/>
                      <w:szCs w:val="21"/>
                    </w:rPr>
                    <w:fldChar w:fldCharType="separate"/>
                  </w:r>
                  <w:r>
                    <w:rPr>
                      <w:rFonts w:eastAsiaTheme="minorEastAsia"/>
                      <w:color w:val="auto"/>
                      <w:szCs w:val="21"/>
                    </w:rPr>
                    <w:t>IV</w:t>
                  </w:r>
                  <w:r>
                    <w:rPr>
                      <w:rFonts w:eastAsiaTheme="minorEastAsia"/>
                      <w:color w:val="auto"/>
                      <w:szCs w:val="21"/>
                    </w:rPr>
                    <w:fldChar w:fldCharType="end"/>
                  </w:r>
                  <w:r>
                    <w:rPr>
                      <w:rFonts w:eastAsiaTheme="minorEastAsia"/>
                      <w:color w:val="auto"/>
                      <w:szCs w:val="21"/>
                    </w:rPr>
                    <w:t>类标准值</w:t>
                  </w:r>
                </w:p>
              </w:tc>
              <w:tc>
                <w:tcPr>
                  <w:tcW w:w="678" w:type="dxa"/>
                  <w:vAlign w:val="center"/>
                </w:tcPr>
                <w:p>
                  <w:pPr>
                    <w:adjustRightInd w:val="0"/>
                    <w:snapToGrid w:val="0"/>
                    <w:jc w:val="center"/>
                    <w:rPr>
                      <w:rFonts w:eastAsiaTheme="minorEastAsia"/>
                      <w:color w:val="auto"/>
                      <w:szCs w:val="21"/>
                    </w:rPr>
                  </w:pPr>
                  <w:r>
                    <w:rPr>
                      <w:rFonts w:eastAsiaTheme="minorEastAsia"/>
                      <w:color w:val="auto"/>
                      <w:szCs w:val="21"/>
                    </w:rPr>
                    <w:t>≤0.05</w:t>
                  </w:r>
                </w:p>
              </w:tc>
              <w:tc>
                <w:tcPr>
                  <w:tcW w:w="814" w:type="dxa"/>
                  <w:vAlign w:val="center"/>
                </w:tcPr>
                <w:p>
                  <w:pPr>
                    <w:adjustRightInd w:val="0"/>
                    <w:snapToGrid w:val="0"/>
                    <w:jc w:val="center"/>
                    <w:rPr>
                      <w:rFonts w:eastAsiaTheme="minorEastAsia"/>
                      <w:color w:val="auto"/>
                      <w:szCs w:val="21"/>
                    </w:rPr>
                  </w:pPr>
                  <w:r>
                    <w:rPr>
                      <w:rFonts w:eastAsiaTheme="minorEastAsia"/>
                      <w:color w:val="auto"/>
                      <w:szCs w:val="21"/>
                    </w:rPr>
                    <w:t>≤0.1</w:t>
                  </w:r>
                </w:p>
              </w:tc>
              <w:tc>
                <w:tcPr>
                  <w:tcW w:w="813" w:type="dxa"/>
                  <w:vAlign w:val="center"/>
                </w:tcPr>
                <w:p>
                  <w:pPr>
                    <w:adjustRightInd w:val="0"/>
                    <w:snapToGrid w:val="0"/>
                    <w:jc w:val="center"/>
                    <w:rPr>
                      <w:rFonts w:eastAsiaTheme="minorEastAsia"/>
                      <w:color w:val="auto"/>
                      <w:szCs w:val="21"/>
                    </w:rPr>
                  </w:pPr>
                  <w:r>
                    <w:rPr>
                      <w:rFonts w:eastAsiaTheme="minorEastAsia"/>
                      <w:color w:val="auto"/>
                      <w:szCs w:val="21"/>
                    </w:rPr>
                    <w:t>≤1.5</w:t>
                  </w:r>
                </w:p>
              </w:tc>
              <w:tc>
                <w:tcPr>
                  <w:tcW w:w="949" w:type="dxa"/>
                  <w:vAlign w:val="center"/>
                </w:tcPr>
                <w:p>
                  <w:pPr>
                    <w:adjustRightInd w:val="0"/>
                    <w:snapToGrid w:val="0"/>
                    <w:jc w:val="center"/>
                    <w:rPr>
                      <w:rFonts w:eastAsiaTheme="minorEastAsia"/>
                      <w:color w:val="auto"/>
                      <w:szCs w:val="21"/>
                    </w:rPr>
                  </w:pPr>
                  <w:r>
                    <w:rPr>
                      <w:rFonts w:eastAsiaTheme="minorEastAsia"/>
                      <w:color w:val="auto"/>
                      <w:szCs w:val="21"/>
                    </w:rPr>
                    <w:t>≤0.01</w:t>
                  </w:r>
                </w:p>
              </w:tc>
              <w:tc>
                <w:tcPr>
                  <w:tcW w:w="814" w:type="dxa"/>
                  <w:vAlign w:val="center"/>
                </w:tcPr>
                <w:p>
                  <w:pPr>
                    <w:adjustRightInd w:val="0"/>
                    <w:snapToGrid w:val="0"/>
                    <w:jc w:val="center"/>
                    <w:rPr>
                      <w:rFonts w:eastAsiaTheme="minorEastAsia"/>
                      <w:color w:val="auto"/>
                      <w:szCs w:val="21"/>
                    </w:rPr>
                  </w:pPr>
                  <w:r>
                    <w:rPr>
                      <w:rFonts w:eastAsiaTheme="minorEastAsia"/>
                      <w:color w:val="auto"/>
                      <w:szCs w:val="21"/>
                    </w:rPr>
                    <w:t>≤0.5</w:t>
                  </w:r>
                </w:p>
              </w:tc>
              <w:tc>
                <w:tcPr>
                  <w:tcW w:w="1356" w:type="dxa"/>
                  <w:vAlign w:val="center"/>
                </w:tcPr>
                <w:p>
                  <w:pPr>
                    <w:adjustRightInd w:val="0"/>
                    <w:snapToGrid w:val="0"/>
                    <w:jc w:val="center"/>
                    <w:rPr>
                      <w:rFonts w:eastAsiaTheme="minorEastAsia"/>
                      <w:color w:val="auto"/>
                      <w:szCs w:val="21"/>
                    </w:rPr>
                  </w:pPr>
                  <w:r>
                    <w:rPr>
                      <w:rFonts w:eastAsiaTheme="minorEastAsia"/>
                      <w:color w:val="auto"/>
                      <w:szCs w:val="21"/>
                    </w:rPr>
                    <w:t>≤20000个/L</w:t>
                  </w:r>
                </w:p>
              </w:tc>
              <w:tc>
                <w:tcPr>
                  <w:tcW w:w="1492" w:type="dxa"/>
                  <w:gridSpan w:val="2"/>
                  <w:vAlign w:val="center"/>
                </w:tcPr>
                <w:p>
                  <w:pPr>
                    <w:adjustRightInd w:val="0"/>
                    <w:snapToGrid w:val="0"/>
                    <w:jc w:val="center"/>
                    <w:rPr>
                      <w:rFonts w:eastAsiaTheme="minorEastAsia"/>
                      <w:color w:val="auto"/>
                      <w:szCs w:val="21"/>
                    </w:rPr>
                  </w:pPr>
                  <w:r>
                    <w:rPr>
                      <w:rFonts w:eastAsiaTheme="minorEastAsia"/>
                      <w:color w:val="auto"/>
                      <w:szCs w:val="21"/>
                    </w:rPr>
                    <w:t>≤10</w:t>
                  </w:r>
                </w:p>
              </w:tc>
            </w:tr>
          </w:tbl>
          <w:p>
            <w:pPr>
              <w:spacing w:line="360" w:lineRule="auto"/>
              <w:ind w:firstLine="480" w:firstLineChars="200"/>
              <w:rPr>
                <w:rFonts w:eastAsiaTheme="minorEastAsia"/>
                <w:color w:val="auto"/>
                <w:sz w:val="24"/>
              </w:rPr>
            </w:pPr>
            <w:r>
              <w:rPr>
                <w:rFonts w:hint="eastAsia" w:ascii="宋体" w:hAnsi="宋体" w:cs="宋体"/>
                <w:color w:val="auto"/>
                <w:sz w:val="24"/>
              </w:rPr>
              <w:t>⑶</w:t>
            </w:r>
            <w:r>
              <w:rPr>
                <w:rFonts w:eastAsiaTheme="minorEastAsia"/>
                <w:color w:val="auto"/>
                <w:sz w:val="24"/>
              </w:rPr>
              <w:t>地下水环境执行《地下水质量标准》（GB/T14848-2017）</w:t>
            </w:r>
            <w:r>
              <w:rPr>
                <w:rFonts w:hint="eastAsia" w:ascii="宋体" w:hAnsi="宋体" w:cs="宋体"/>
                <w:color w:val="auto"/>
                <w:sz w:val="24"/>
              </w:rPr>
              <w:t>Ⅲ</w:t>
            </w:r>
            <w:r>
              <w:rPr>
                <w:rFonts w:eastAsiaTheme="minorEastAsia"/>
                <w:color w:val="auto"/>
                <w:sz w:val="24"/>
              </w:rPr>
              <w:t>类标准值，见表39。</w:t>
            </w:r>
          </w:p>
          <w:p>
            <w:pPr>
              <w:spacing w:line="360" w:lineRule="auto"/>
              <w:ind w:firstLine="480"/>
              <w:rPr>
                <w:rFonts w:eastAsiaTheme="minorEastAsia"/>
                <w:b/>
                <w:color w:val="auto"/>
                <w:sz w:val="24"/>
              </w:rPr>
            </w:pPr>
            <w:r>
              <w:rPr>
                <w:rFonts w:eastAsiaTheme="minorEastAsia"/>
                <w:b/>
                <w:color w:val="auto"/>
                <w:sz w:val="24"/>
              </w:rPr>
              <w:t>表39《地下水质量标准》（GB/T14848-2017）</w:t>
            </w:r>
            <w:r>
              <w:rPr>
                <w:rFonts w:hint="eastAsia" w:ascii="宋体" w:hAnsi="宋体" w:cs="宋体"/>
                <w:b/>
                <w:color w:val="auto"/>
                <w:sz w:val="24"/>
              </w:rPr>
              <w:t>Ⅲ</w:t>
            </w:r>
            <w:r>
              <w:rPr>
                <w:rFonts w:eastAsiaTheme="minorEastAsia"/>
                <w:b/>
                <w:color w:val="auto"/>
                <w:sz w:val="24"/>
              </w:rPr>
              <w:t>类值单位mg/L</w:t>
            </w:r>
          </w:p>
          <w:tbl>
            <w:tblPr>
              <w:tblStyle w:val="38"/>
              <w:tblW w:w="8075" w:type="dxa"/>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56"/>
              <w:gridCol w:w="914"/>
              <w:gridCol w:w="901"/>
              <w:gridCol w:w="954"/>
              <w:gridCol w:w="841"/>
              <w:gridCol w:w="818"/>
              <w:gridCol w:w="842"/>
              <w:gridCol w:w="958"/>
              <w:gridCol w:w="991"/>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856"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项目</w:t>
                  </w:r>
                </w:p>
              </w:tc>
              <w:tc>
                <w:tcPr>
                  <w:tcW w:w="914"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PH</w:t>
                  </w:r>
                </w:p>
              </w:tc>
              <w:tc>
                <w:tcPr>
                  <w:tcW w:w="901"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溶解性总固体</w:t>
                  </w:r>
                </w:p>
              </w:tc>
              <w:tc>
                <w:tcPr>
                  <w:tcW w:w="954"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总硬度</w:t>
                  </w:r>
                </w:p>
              </w:tc>
              <w:tc>
                <w:tcPr>
                  <w:tcW w:w="841"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硫酸盐</w:t>
                  </w:r>
                </w:p>
              </w:tc>
              <w:tc>
                <w:tcPr>
                  <w:tcW w:w="818"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氯化物</w:t>
                  </w:r>
                </w:p>
              </w:tc>
              <w:tc>
                <w:tcPr>
                  <w:tcW w:w="842"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挥发性酚类</w:t>
                  </w:r>
                </w:p>
              </w:tc>
              <w:tc>
                <w:tcPr>
                  <w:tcW w:w="958"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高锰酸盐指数</w:t>
                  </w:r>
                </w:p>
              </w:tc>
              <w:tc>
                <w:tcPr>
                  <w:tcW w:w="991"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氨氮</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4" w:hRule="atLeast"/>
              </w:trPr>
              <w:tc>
                <w:tcPr>
                  <w:tcW w:w="856" w:type="dxa"/>
                  <w:vAlign w:val="center"/>
                </w:tcPr>
                <w:p>
                  <w:pPr>
                    <w:adjustRightInd w:val="0"/>
                    <w:snapToGrid w:val="0"/>
                    <w:jc w:val="center"/>
                    <w:rPr>
                      <w:rFonts w:eastAsiaTheme="minorEastAsia"/>
                      <w:color w:val="auto"/>
                      <w:sz w:val="18"/>
                      <w:szCs w:val="18"/>
                    </w:rPr>
                  </w:pPr>
                  <w:r>
                    <w:rPr>
                      <w:rFonts w:hint="eastAsia" w:ascii="宋体" w:hAnsi="宋体" w:cs="宋体"/>
                      <w:color w:val="auto"/>
                      <w:sz w:val="18"/>
                      <w:szCs w:val="18"/>
                    </w:rPr>
                    <w:t>Ⅲ</w:t>
                  </w:r>
                  <w:r>
                    <w:rPr>
                      <w:rFonts w:eastAsiaTheme="minorEastAsia"/>
                      <w:color w:val="auto"/>
                      <w:sz w:val="18"/>
                      <w:szCs w:val="18"/>
                    </w:rPr>
                    <w:t>类标准值</w:t>
                  </w:r>
                </w:p>
              </w:tc>
              <w:tc>
                <w:tcPr>
                  <w:tcW w:w="914"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6.5～8.5</w:t>
                  </w:r>
                </w:p>
              </w:tc>
              <w:tc>
                <w:tcPr>
                  <w:tcW w:w="901"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≤1000</w:t>
                  </w:r>
                </w:p>
              </w:tc>
              <w:tc>
                <w:tcPr>
                  <w:tcW w:w="954"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≤450</w:t>
                  </w:r>
                </w:p>
              </w:tc>
              <w:tc>
                <w:tcPr>
                  <w:tcW w:w="841"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≤250</w:t>
                  </w:r>
                </w:p>
              </w:tc>
              <w:tc>
                <w:tcPr>
                  <w:tcW w:w="818"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≤250</w:t>
                  </w:r>
                </w:p>
              </w:tc>
              <w:tc>
                <w:tcPr>
                  <w:tcW w:w="842"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≤0.002</w:t>
                  </w:r>
                </w:p>
              </w:tc>
              <w:tc>
                <w:tcPr>
                  <w:tcW w:w="958"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≤3.0</w:t>
                  </w:r>
                </w:p>
              </w:tc>
              <w:tc>
                <w:tcPr>
                  <w:tcW w:w="991"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≤0.2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856"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项目</w:t>
                  </w:r>
                </w:p>
              </w:tc>
              <w:tc>
                <w:tcPr>
                  <w:tcW w:w="914"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汞</w:t>
                  </w:r>
                </w:p>
              </w:tc>
              <w:tc>
                <w:tcPr>
                  <w:tcW w:w="901"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砷</w:t>
                  </w:r>
                </w:p>
              </w:tc>
              <w:tc>
                <w:tcPr>
                  <w:tcW w:w="954"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铬（六价）</w:t>
                  </w:r>
                </w:p>
              </w:tc>
              <w:tc>
                <w:tcPr>
                  <w:tcW w:w="841"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铅</w:t>
                  </w:r>
                </w:p>
              </w:tc>
              <w:tc>
                <w:tcPr>
                  <w:tcW w:w="818"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镉</w:t>
                  </w:r>
                </w:p>
              </w:tc>
              <w:tc>
                <w:tcPr>
                  <w:tcW w:w="842"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氰化物</w:t>
                  </w:r>
                </w:p>
              </w:tc>
              <w:tc>
                <w:tcPr>
                  <w:tcW w:w="958"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总大肠菌群（个/L）</w:t>
                  </w:r>
                </w:p>
              </w:tc>
              <w:tc>
                <w:tcPr>
                  <w:tcW w:w="991"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细菌总数（个/L）</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856" w:type="dxa"/>
                  <w:vAlign w:val="center"/>
                </w:tcPr>
                <w:p>
                  <w:pPr>
                    <w:adjustRightInd w:val="0"/>
                    <w:snapToGrid w:val="0"/>
                    <w:jc w:val="center"/>
                    <w:rPr>
                      <w:rFonts w:eastAsiaTheme="minorEastAsia"/>
                      <w:color w:val="auto"/>
                      <w:sz w:val="18"/>
                      <w:szCs w:val="18"/>
                    </w:rPr>
                  </w:pPr>
                  <w:r>
                    <w:rPr>
                      <w:rFonts w:hint="eastAsia" w:ascii="宋体" w:hAnsi="宋体" w:cs="宋体"/>
                      <w:color w:val="auto"/>
                      <w:sz w:val="18"/>
                      <w:szCs w:val="18"/>
                    </w:rPr>
                    <w:t>Ⅲ</w:t>
                  </w:r>
                  <w:r>
                    <w:rPr>
                      <w:rFonts w:eastAsiaTheme="minorEastAsia"/>
                      <w:color w:val="auto"/>
                      <w:sz w:val="18"/>
                      <w:szCs w:val="18"/>
                    </w:rPr>
                    <w:t>类标准值</w:t>
                  </w:r>
                </w:p>
              </w:tc>
              <w:tc>
                <w:tcPr>
                  <w:tcW w:w="914"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≤0.001</w:t>
                  </w:r>
                </w:p>
              </w:tc>
              <w:tc>
                <w:tcPr>
                  <w:tcW w:w="901"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≤0.05</w:t>
                  </w:r>
                </w:p>
              </w:tc>
              <w:tc>
                <w:tcPr>
                  <w:tcW w:w="954"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≤0.05</w:t>
                  </w:r>
                </w:p>
              </w:tc>
              <w:tc>
                <w:tcPr>
                  <w:tcW w:w="841"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≤0.05</w:t>
                  </w:r>
                </w:p>
              </w:tc>
              <w:tc>
                <w:tcPr>
                  <w:tcW w:w="818"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≤0.01</w:t>
                  </w:r>
                </w:p>
              </w:tc>
              <w:tc>
                <w:tcPr>
                  <w:tcW w:w="842"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≤0.05</w:t>
                  </w:r>
                </w:p>
              </w:tc>
              <w:tc>
                <w:tcPr>
                  <w:tcW w:w="958"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≤3.0</w:t>
                  </w:r>
                </w:p>
              </w:tc>
              <w:tc>
                <w:tcPr>
                  <w:tcW w:w="991" w:type="dxa"/>
                  <w:vAlign w:val="center"/>
                </w:tcPr>
                <w:p>
                  <w:pPr>
                    <w:adjustRightInd w:val="0"/>
                    <w:snapToGrid w:val="0"/>
                    <w:jc w:val="center"/>
                    <w:rPr>
                      <w:rFonts w:eastAsiaTheme="minorEastAsia"/>
                      <w:color w:val="auto"/>
                      <w:sz w:val="18"/>
                      <w:szCs w:val="18"/>
                    </w:rPr>
                  </w:pPr>
                  <w:r>
                    <w:rPr>
                      <w:rFonts w:eastAsiaTheme="minorEastAsia"/>
                      <w:color w:val="auto"/>
                      <w:sz w:val="18"/>
                      <w:szCs w:val="18"/>
                    </w:rPr>
                    <w:t>≤100</w:t>
                  </w:r>
                </w:p>
              </w:tc>
            </w:tr>
          </w:tbl>
          <w:p>
            <w:pPr>
              <w:pStyle w:val="12"/>
              <w:adjustRightInd w:val="0"/>
              <w:snapToGrid w:val="0"/>
              <w:spacing w:beforeLines="50"/>
              <w:ind w:firstLine="480" w:firstLineChars="200"/>
              <w:rPr>
                <w:rFonts w:ascii="Times New Roman" w:eastAsiaTheme="minorEastAsia"/>
                <w:color w:val="auto"/>
              </w:rPr>
            </w:pPr>
            <w:r>
              <w:rPr>
                <w:rFonts w:hint="eastAsia" w:hAnsi="宋体" w:cs="宋体"/>
                <w:color w:val="auto"/>
              </w:rPr>
              <w:t>⑷</w:t>
            </w:r>
            <w:r>
              <w:rPr>
                <w:rFonts w:ascii="Times New Roman" w:eastAsiaTheme="minorEastAsia"/>
                <w:color w:val="auto"/>
              </w:rPr>
              <w:t>声环境现状执行《声环境质量标准》（GB3096-2008）中2类区标准，见表40。</w:t>
            </w:r>
          </w:p>
          <w:p>
            <w:pPr>
              <w:adjustRightInd w:val="0"/>
              <w:snapToGrid w:val="0"/>
              <w:spacing w:line="360" w:lineRule="auto"/>
              <w:jc w:val="center"/>
              <w:rPr>
                <w:rFonts w:eastAsiaTheme="minorEastAsia"/>
                <w:b/>
                <w:color w:val="auto"/>
                <w:sz w:val="24"/>
              </w:rPr>
            </w:pPr>
            <w:r>
              <w:rPr>
                <w:rFonts w:eastAsiaTheme="minorEastAsia"/>
                <w:b/>
                <w:color w:val="auto"/>
                <w:sz w:val="24"/>
              </w:rPr>
              <w:t>表40声环境质量标准等效声级Leq</w:t>
            </w:r>
          </w:p>
          <w:tbl>
            <w:tblPr>
              <w:tblStyle w:val="38"/>
              <w:tblW w:w="8648" w:type="dxa"/>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058"/>
              <w:gridCol w:w="2913"/>
              <w:gridCol w:w="2677"/>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58" w:type="dxa"/>
                  <w:vAlign w:val="center"/>
                </w:tcPr>
                <w:p>
                  <w:pPr>
                    <w:adjustRightInd w:val="0"/>
                    <w:snapToGrid w:val="0"/>
                    <w:jc w:val="center"/>
                    <w:rPr>
                      <w:rFonts w:eastAsiaTheme="minorEastAsia"/>
                      <w:color w:val="auto"/>
                      <w:szCs w:val="21"/>
                    </w:rPr>
                  </w:pPr>
                  <w:r>
                    <w:rPr>
                      <w:rFonts w:eastAsiaTheme="minorEastAsia"/>
                      <w:color w:val="auto"/>
                      <w:szCs w:val="21"/>
                    </w:rPr>
                    <w:t>类别</w:t>
                  </w:r>
                </w:p>
              </w:tc>
              <w:tc>
                <w:tcPr>
                  <w:tcW w:w="2913" w:type="dxa"/>
                  <w:vAlign w:val="center"/>
                </w:tcPr>
                <w:p>
                  <w:pPr>
                    <w:adjustRightInd w:val="0"/>
                    <w:snapToGrid w:val="0"/>
                    <w:jc w:val="center"/>
                    <w:rPr>
                      <w:rFonts w:eastAsiaTheme="minorEastAsia"/>
                      <w:color w:val="auto"/>
                      <w:szCs w:val="21"/>
                    </w:rPr>
                  </w:pPr>
                  <w:r>
                    <w:rPr>
                      <w:rFonts w:eastAsiaTheme="minorEastAsia"/>
                      <w:color w:val="auto"/>
                      <w:szCs w:val="21"/>
                    </w:rPr>
                    <w:t>昼间  dB(A)</w:t>
                  </w:r>
                </w:p>
              </w:tc>
              <w:tc>
                <w:tcPr>
                  <w:tcW w:w="2677" w:type="dxa"/>
                  <w:vAlign w:val="center"/>
                </w:tcPr>
                <w:p>
                  <w:pPr>
                    <w:adjustRightInd w:val="0"/>
                    <w:snapToGrid w:val="0"/>
                    <w:jc w:val="center"/>
                    <w:rPr>
                      <w:rFonts w:eastAsiaTheme="minorEastAsia"/>
                      <w:color w:val="auto"/>
                      <w:szCs w:val="21"/>
                    </w:rPr>
                  </w:pPr>
                  <w:r>
                    <w:rPr>
                      <w:rFonts w:eastAsiaTheme="minorEastAsia"/>
                      <w:color w:val="auto"/>
                      <w:szCs w:val="21"/>
                    </w:rPr>
                    <w:t>夜间  dB(A)</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4" w:hRule="atLeast"/>
              </w:trPr>
              <w:tc>
                <w:tcPr>
                  <w:tcW w:w="3058" w:type="dxa"/>
                  <w:vAlign w:val="center"/>
                </w:tcPr>
                <w:p>
                  <w:pPr>
                    <w:adjustRightInd w:val="0"/>
                    <w:snapToGrid w:val="0"/>
                    <w:jc w:val="center"/>
                    <w:rPr>
                      <w:rFonts w:eastAsiaTheme="minorEastAsia"/>
                      <w:color w:val="auto"/>
                      <w:szCs w:val="21"/>
                    </w:rPr>
                  </w:pPr>
                  <w:r>
                    <w:rPr>
                      <w:rFonts w:eastAsiaTheme="minorEastAsia"/>
                      <w:color w:val="auto"/>
                      <w:szCs w:val="21"/>
                    </w:rPr>
                    <w:t>2</w:t>
                  </w:r>
                </w:p>
              </w:tc>
              <w:tc>
                <w:tcPr>
                  <w:tcW w:w="2913" w:type="dxa"/>
                  <w:vAlign w:val="center"/>
                </w:tcPr>
                <w:p>
                  <w:pPr>
                    <w:adjustRightInd w:val="0"/>
                    <w:snapToGrid w:val="0"/>
                    <w:jc w:val="center"/>
                    <w:rPr>
                      <w:rFonts w:eastAsiaTheme="minorEastAsia"/>
                      <w:color w:val="auto"/>
                      <w:szCs w:val="21"/>
                    </w:rPr>
                  </w:pPr>
                  <w:r>
                    <w:rPr>
                      <w:rFonts w:eastAsiaTheme="minorEastAsia"/>
                      <w:color w:val="auto"/>
                      <w:szCs w:val="21"/>
                    </w:rPr>
                    <w:t>60</w:t>
                  </w:r>
                </w:p>
              </w:tc>
              <w:tc>
                <w:tcPr>
                  <w:tcW w:w="2677" w:type="dxa"/>
                  <w:vAlign w:val="center"/>
                </w:tcPr>
                <w:p>
                  <w:pPr>
                    <w:adjustRightInd w:val="0"/>
                    <w:snapToGrid w:val="0"/>
                    <w:jc w:val="center"/>
                    <w:rPr>
                      <w:rFonts w:eastAsiaTheme="minorEastAsia"/>
                      <w:color w:val="auto"/>
                      <w:szCs w:val="21"/>
                    </w:rPr>
                  </w:pPr>
                  <w:r>
                    <w:rPr>
                      <w:rFonts w:eastAsiaTheme="minorEastAsia"/>
                      <w:color w:val="auto"/>
                      <w:szCs w:val="21"/>
                    </w:rPr>
                    <w:t>50</w:t>
                  </w:r>
                </w:p>
              </w:tc>
            </w:tr>
          </w:tbl>
          <w:p>
            <w:pPr>
              <w:pStyle w:val="21"/>
              <w:adjustRightInd w:val="0"/>
              <w:snapToGrid w:val="0"/>
              <w:spacing w:beforeLines="50"/>
              <w:ind w:firstLine="0"/>
              <w:jc w:val="left"/>
              <w:rPr>
                <w:rFonts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8" w:hRule="atLeast"/>
          <w:jc w:val="center"/>
        </w:trPr>
        <w:tc>
          <w:tcPr>
            <w:tcW w:w="447" w:type="dxa"/>
            <w:vAlign w:val="center"/>
          </w:tcPr>
          <w:p>
            <w:pPr>
              <w:jc w:val="center"/>
              <w:rPr>
                <w:rFonts w:eastAsiaTheme="minorEastAsia"/>
                <w:b/>
                <w:color w:val="auto"/>
                <w:sz w:val="28"/>
                <w:szCs w:val="28"/>
              </w:rPr>
            </w:pPr>
            <w:r>
              <w:rPr>
                <w:rFonts w:eastAsiaTheme="minorEastAsia"/>
                <w:b/>
                <w:color w:val="auto"/>
                <w:sz w:val="28"/>
                <w:szCs w:val="28"/>
              </w:rPr>
              <w:t>污染物排放标准</w:t>
            </w:r>
          </w:p>
        </w:tc>
        <w:tc>
          <w:tcPr>
            <w:tcW w:w="8500" w:type="dxa"/>
            <w:vAlign w:val="center"/>
          </w:tcPr>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⑴</w:t>
            </w:r>
            <w:r>
              <w:rPr>
                <w:rFonts w:eastAsiaTheme="minorEastAsia"/>
                <w:color w:val="auto"/>
                <w:sz w:val="24"/>
              </w:rPr>
              <w:t>废气：施工期无组织</w:t>
            </w:r>
            <w:r>
              <w:rPr>
                <w:rFonts w:eastAsiaTheme="minorEastAsia"/>
                <w:bCs/>
                <w:color w:val="auto"/>
                <w:sz w:val="24"/>
              </w:rPr>
              <w:t>粉尘排放执行《大气污染物综合排放标准》（GB16279-1996）表2中二级标准要求，具体标准见表41；</w:t>
            </w:r>
          </w:p>
          <w:p>
            <w:pPr>
              <w:adjustRightInd w:val="0"/>
              <w:snapToGrid w:val="0"/>
              <w:spacing w:line="360" w:lineRule="auto"/>
              <w:jc w:val="center"/>
              <w:rPr>
                <w:rFonts w:eastAsiaTheme="minorEastAsia"/>
                <w:b/>
                <w:color w:val="auto"/>
                <w:sz w:val="24"/>
              </w:rPr>
            </w:pPr>
            <w:r>
              <w:rPr>
                <w:rFonts w:eastAsiaTheme="minorEastAsia"/>
                <w:b/>
                <w:color w:val="auto"/>
                <w:sz w:val="24"/>
              </w:rPr>
              <w:t>表41大气污染物综合排放标准单位mg/m</w:t>
            </w:r>
            <w:r>
              <w:rPr>
                <w:rFonts w:eastAsiaTheme="minorEastAsia"/>
                <w:b/>
                <w:color w:val="auto"/>
                <w:sz w:val="24"/>
                <w:vertAlign w:val="superscript"/>
              </w:rPr>
              <w:t>3</w:t>
            </w:r>
          </w:p>
          <w:tbl>
            <w:tblPr>
              <w:tblStyle w:val="38"/>
              <w:tblW w:w="8696"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18"/>
              <w:gridCol w:w="3623"/>
              <w:gridCol w:w="3355"/>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35" w:hRule="atLeast"/>
                <w:jc w:val="center"/>
              </w:trPr>
              <w:tc>
                <w:tcPr>
                  <w:tcW w:w="1718" w:type="dxa"/>
                  <w:vMerge w:val="restart"/>
                  <w:vAlign w:val="center"/>
                </w:tcPr>
                <w:p>
                  <w:pPr>
                    <w:adjustRightInd w:val="0"/>
                    <w:snapToGrid w:val="0"/>
                    <w:jc w:val="center"/>
                    <w:rPr>
                      <w:rFonts w:eastAsiaTheme="minorEastAsia"/>
                      <w:color w:val="auto"/>
                      <w:szCs w:val="21"/>
                    </w:rPr>
                  </w:pPr>
                  <w:r>
                    <w:rPr>
                      <w:rFonts w:eastAsiaTheme="minorEastAsia"/>
                      <w:color w:val="auto"/>
                      <w:szCs w:val="21"/>
                    </w:rPr>
                    <w:t>污染物</w:t>
                  </w:r>
                </w:p>
              </w:tc>
              <w:tc>
                <w:tcPr>
                  <w:tcW w:w="6978" w:type="dxa"/>
                  <w:gridSpan w:val="2"/>
                  <w:vAlign w:val="center"/>
                </w:tcPr>
                <w:p>
                  <w:pPr>
                    <w:adjustRightInd w:val="0"/>
                    <w:snapToGrid w:val="0"/>
                    <w:jc w:val="center"/>
                    <w:rPr>
                      <w:rFonts w:eastAsiaTheme="minorEastAsia"/>
                      <w:color w:val="auto"/>
                      <w:szCs w:val="21"/>
                    </w:rPr>
                  </w:pPr>
                  <w:r>
                    <w:rPr>
                      <w:rFonts w:eastAsiaTheme="minorEastAsia"/>
                      <w:color w:val="auto"/>
                      <w:szCs w:val="21"/>
                    </w:rPr>
                    <w:t>无组织排放监控浓度限值</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20" w:hRule="atLeast"/>
                <w:jc w:val="center"/>
              </w:trPr>
              <w:tc>
                <w:tcPr>
                  <w:tcW w:w="1718" w:type="dxa"/>
                  <w:vMerge w:val="continue"/>
                  <w:vAlign w:val="center"/>
                </w:tcPr>
                <w:p>
                  <w:pPr>
                    <w:adjustRightInd w:val="0"/>
                    <w:snapToGrid w:val="0"/>
                    <w:jc w:val="center"/>
                    <w:rPr>
                      <w:rFonts w:eastAsiaTheme="minorEastAsia"/>
                      <w:color w:val="auto"/>
                      <w:szCs w:val="21"/>
                    </w:rPr>
                  </w:pPr>
                </w:p>
              </w:tc>
              <w:tc>
                <w:tcPr>
                  <w:tcW w:w="3623" w:type="dxa"/>
                  <w:vAlign w:val="center"/>
                </w:tcPr>
                <w:p>
                  <w:pPr>
                    <w:adjustRightInd w:val="0"/>
                    <w:snapToGrid w:val="0"/>
                    <w:jc w:val="center"/>
                    <w:rPr>
                      <w:rFonts w:eastAsiaTheme="minorEastAsia"/>
                      <w:color w:val="auto"/>
                      <w:szCs w:val="21"/>
                    </w:rPr>
                  </w:pPr>
                  <w:r>
                    <w:rPr>
                      <w:rFonts w:eastAsiaTheme="minorEastAsia"/>
                      <w:color w:val="auto"/>
                      <w:szCs w:val="21"/>
                    </w:rPr>
                    <w:t>监控点</w:t>
                  </w:r>
                </w:p>
              </w:tc>
              <w:tc>
                <w:tcPr>
                  <w:tcW w:w="3355" w:type="dxa"/>
                  <w:vAlign w:val="center"/>
                </w:tcPr>
                <w:p>
                  <w:pPr>
                    <w:adjustRightInd w:val="0"/>
                    <w:snapToGrid w:val="0"/>
                    <w:jc w:val="center"/>
                    <w:rPr>
                      <w:rFonts w:eastAsiaTheme="minorEastAsia"/>
                      <w:color w:val="auto"/>
                      <w:szCs w:val="21"/>
                    </w:rPr>
                  </w:pPr>
                  <w:r>
                    <w:rPr>
                      <w:rFonts w:eastAsiaTheme="minorEastAsia"/>
                      <w:color w:val="auto"/>
                      <w:szCs w:val="21"/>
                    </w:rPr>
                    <w:t>浓度（mg/m</w:t>
                  </w:r>
                  <w:r>
                    <w:rPr>
                      <w:rFonts w:eastAsiaTheme="minorEastAsia"/>
                      <w:color w:val="auto"/>
                      <w:szCs w:val="21"/>
                      <w:vertAlign w:val="superscript"/>
                    </w:rPr>
                    <w:t>3</w:t>
                  </w:r>
                  <w:r>
                    <w:rPr>
                      <w:rFonts w:eastAsiaTheme="minorEastAsia"/>
                      <w:color w:val="auto"/>
                      <w:szCs w:val="21"/>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70" w:hRule="atLeast"/>
                <w:jc w:val="center"/>
              </w:trPr>
              <w:tc>
                <w:tcPr>
                  <w:tcW w:w="1718" w:type="dxa"/>
                  <w:vAlign w:val="center"/>
                </w:tcPr>
                <w:p>
                  <w:pPr>
                    <w:adjustRightInd w:val="0"/>
                    <w:snapToGrid w:val="0"/>
                    <w:jc w:val="center"/>
                    <w:rPr>
                      <w:rFonts w:eastAsiaTheme="minorEastAsia"/>
                      <w:color w:val="auto"/>
                      <w:szCs w:val="21"/>
                    </w:rPr>
                  </w:pPr>
                  <w:r>
                    <w:rPr>
                      <w:rFonts w:eastAsiaTheme="minorEastAsia"/>
                      <w:color w:val="auto"/>
                      <w:szCs w:val="21"/>
                    </w:rPr>
                    <w:t>粉尘</w:t>
                  </w:r>
                </w:p>
              </w:tc>
              <w:tc>
                <w:tcPr>
                  <w:tcW w:w="3623" w:type="dxa"/>
                  <w:vAlign w:val="center"/>
                </w:tcPr>
                <w:p>
                  <w:pPr>
                    <w:adjustRightInd w:val="0"/>
                    <w:snapToGrid w:val="0"/>
                    <w:jc w:val="center"/>
                    <w:rPr>
                      <w:rFonts w:eastAsiaTheme="minorEastAsia"/>
                      <w:color w:val="auto"/>
                      <w:szCs w:val="21"/>
                    </w:rPr>
                  </w:pPr>
                  <w:r>
                    <w:rPr>
                      <w:rFonts w:eastAsiaTheme="minorEastAsia"/>
                      <w:color w:val="auto"/>
                      <w:szCs w:val="21"/>
                    </w:rPr>
                    <w:t>周界外浓度最高点</w:t>
                  </w:r>
                </w:p>
              </w:tc>
              <w:tc>
                <w:tcPr>
                  <w:tcW w:w="3355" w:type="dxa"/>
                  <w:vAlign w:val="center"/>
                </w:tcPr>
                <w:p>
                  <w:pPr>
                    <w:adjustRightInd w:val="0"/>
                    <w:snapToGrid w:val="0"/>
                    <w:jc w:val="center"/>
                    <w:rPr>
                      <w:rFonts w:eastAsiaTheme="minorEastAsia"/>
                      <w:color w:val="auto"/>
                      <w:szCs w:val="21"/>
                    </w:rPr>
                  </w:pPr>
                  <w:r>
                    <w:rPr>
                      <w:rFonts w:eastAsiaTheme="minorEastAsia"/>
                      <w:color w:val="auto"/>
                      <w:szCs w:val="21"/>
                    </w:rPr>
                    <w:t>1.0</w:t>
                  </w:r>
                </w:p>
              </w:tc>
            </w:tr>
          </w:tbl>
          <w:p>
            <w:pPr>
              <w:adjustRightInd w:val="0"/>
              <w:snapToGrid w:val="0"/>
              <w:spacing w:line="360" w:lineRule="auto"/>
              <w:ind w:firstLine="482"/>
              <w:rPr>
                <w:rFonts w:eastAsiaTheme="minorEastAsia"/>
                <w:snapToGrid w:val="0"/>
                <w:color w:val="auto"/>
                <w:sz w:val="24"/>
              </w:rPr>
            </w:pPr>
            <w:r>
              <w:rPr>
                <w:rFonts w:eastAsiaTheme="minorEastAsia"/>
                <w:bCs/>
                <w:color w:val="auto"/>
                <w:sz w:val="24"/>
              </w:rPr>
              <w:t>城镇污水处理厂废气无组织</w:t>
            </w:r>
            <w:r>
              <w:rPr>
                <w:rFonts w:eastAsiaTheme="minorEastAsia"/>
                <w:snapToGrid w:val="0"/>
                <w:color w:val="auto"/>
                <w:sz w:val="24"/>
              </w:rPr>
              <w:t>排放执行《城镇污水处理厂污染物排放标准》（GB18918-2002）表4的相关规定，具体见表42。</w:t>
            </w:r>
          </w:p>
          <w:p>
            <w:pPr>
              <w:adjustRightInd w:val="0"/>
              <w:snapToGrid w:val="0"/>
              <w:spacing w:line="360" w:lineRule="auto"/>
              <w:jc w:val="center"/>
              <w:rPr>
                <w:rFonts w:eastAsiaTheme="minorEastAsia"/>
                <w:b/>
                <w:color w:val="auto"/>
                <w:sz w:val="24"/>
              </w:rPr>
            </w:pPr>
            <w:r>
              <w:rPr>
                <w:rFonts w:eastAsiaTheme="minorEastAsia"/>
                <w:b/>
                <w:color w:val="auto"/>
                <w:sz w:val="24"/>
              </w:rPr>
              <w:t>表42厂界（防护带边缘）废气排放最高允许浓度</w:t>
            </w:r>
          </w:p>
          <w:tbl>
            <w:tblPr>
              <w:tblStyle w:val="38"/>
              <w:tblW w:w="8282"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51"/>
              <w:gridCol w:w="483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3451" w:type="dxa"/>
                  <w:vAlign w:val="center"/>
                </w:tcPr>
                <w:p>
                  <w:pPr>
                    <w:adjustRightInd w:val="0"/>
                    <w:snapToGrid w:val="0"/>
                    <w:jc w:val="center"/>
                    <w:rPr>
                      <w:rFonts w:eastAsiaTheme="minorEastAsia"/>
                      <w:color w:val="auto"/>
                      <w:szCs w:val="21"/>
                    </w:rPr>
                  </w:pPr>
                  <w:r>
                    <w:rPr>
                      <w:rFonts w:eastAsiaTheme="minorEastAsia"/>
                      <w:color w:val="auto"/>
                      <w:szCs w:val="21"/>
                    </w:rPr>
                    <w:t>控制项目</w:t>
                  </w:r>
                </w:p>
              </w:tc>
              <w:tc>
                <w:tcPr>
                  <w:tcW w:w="4831" w:type="dxa"/>
                  <w:vAlign w:val="center"/>
                </w:tcPr>
                <w:p>
                  <w:pPr>
                    <w:adjustRightInd w:val="0"/>
                    <w:snapToGrid w:val="0"/>
                    <w:jc w:val="center"/>
                    <w:rPr>
                      <w:rFonts w:eastAsiaTheme="minorEastAsia"/>
                      <w:color w:val="auto"/>
                      <w:szCs w:val="21"/>
                    </w:rPr>
                  </w:pPr>
                  <w:r>
                    <w:rPr>
                      <w:rFonts w:eastAsiaTheme="minorEastAsia"/>
                      <w:bCs/>
                      <w:color w:val="auto"/>
                      <w:szCs w:val="21"/>
                    </w:rPr>
                    <w:t>二级标准（mg/m</w:t>
                  </w:r>
                  <w:r>
                    <w:rPr>
                      <w:rFonts w:eastAsiaTheme="minorEastAsia"/>
                      <w:bCs/>
                      <w:color w:val="auto"/>
                      <w:szCs w:val="21"/>
                      <w:vertAlign w:val="superscript"/>
                    </w:rPr>
                    <w:t>3</w:t>
                  </w:r>
                  <w:r>
                    <w:rPr>
                      <w:rFonts w:eastAsiaTheme="minorEastAsia"/>
                      <w:bCs/>
                      <w:color w:val="auto"/>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3451" w:type="dxa"/>
                  <w:vAlign w:val="center"/>
                </w:tcPr>
                <w:p>
                  <w:pPr>
                    <w:adjustRightInd w:val="0"/>
                    <w:snapToGrid w:val="0"/>
                    <w:jc w:val="center"/>
                    <w:rPr>
                      <w:rFonts w:eastAsiaTheme="minorEastAsia"/>
                      <w:color w:val="auto"/>
                      <w:szCs w:val="21"/>
                    </w:rPr>
                  </w:pPr>
                  <w:r>
                    <w:rPr>
                      <w:rFonts w:eastAsiaTheme="minorEastAsia"/>
                      <w:color w:val="auto"/>
                      <w:szCs w:val="21"/>
                    </w:rPr>
                    <w:t>硫化氢</w:t>
                  </w:r>
                </w:p>
              </w:tc>
              <w:tc>
                <w:tcPr>
                  <w:tcW w:w="4831" w:type="dxa"/>
                  <w:vAlign w:val="center"/>
                </w:tcPr>
                <w:p>
                  <w:pPr>
                    <w:adjustRightInd w:val="0"/>
                    <w:snapToGrid w:val="0"/>
                    <w:jc w:val="center"/>
                    <w:rPr>
                      <w:rFonts w:eastAsiaTheme="minorEastAsia"/>
                      <w:color w:val="auto"/>
                      <w:szCs w:val="21"/>
                    </w:rPr>
                  </w:pPr>
                  <w:r>
                    <w:rPr>
                      <w:rFonts w:eastAsiaTheme="minorEastAsia"/>
                      <w:color w:val="auto"/>
                      <w:szCs w:val="21"/>
                    </w:rPr>
                    <w:t>0.06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3451" w:type="dxa"/>
                  <w:vAlign w:val="center"/>
                </w:tcPr>
                <w:p>
                  <w:pPr>
                    <w:adjustRightInd w:val="0"/>
                    <w:snapToGrid w:val="0"/>
                    <w:jc w:val="center"/>
                    <w:rPr>
                      <w:rFonts w:eastAsiaTheme="minorEastAsia"/>
                      <w:color w:val="auto"/>
                      <w:szCs w:val="21"/>
                    </w:rPr>
                  </w:pPr>
                  <w:r>
                    <w:rPr>
                      <w:rFonts w:eastAsiaTheme="minorEastAsia"/>
                      <w:color w:val="auto"/>
                      <w:szCs w:val="21"/>
                    </w:rPr>
                    <w:t>氨</w:t>
                  </w:r>
                </w:p>
              </w:tc>
              <w:tc>
                <w:tcPr>
                  <w:tcW w:w="4831" w:type="dxa"/>
                  <w:vAlign w:val="center"/>
                </w:tcPr>
                <w:p>
                  <w:pPr>
                    <w:adjustRightInd w:val="0"/>
                    <w:snapToGrid w:val="0"/>
                    <w:jc w:val="center"/>
                    <w:rPr>
                      <w:rFonts w:eastAsiaTheme="minorEastAsia"/>
                      <w:color w:val="auto"/>
                      <w:szCs w:val="21"/>
                    </w:rPr>
                  </w:pPr>
                  <w:r>
                    <w:rPr>
                      <w:rFonts w:eastAsiaTheme="minorEastAsia"/>
                      <w:color w:val="auto"/>
                      <w:szCs w:val="21"/>
                    </w:rPr>
                    <w:t>1.5</w:t>
                  </w:r>
                </w:p>
              </w:tc>
            </w:tr>
          </w:tbl>
          <w:p>
            <w:pPr>
              <w:adjustRightInd w:val="0"/>
              <w:snapToGrid w:val="0"/>
              <w:spacing w:line="360" w:lineRule="auto"/>
              <w:ind w:firstLine="480" w:firstLineChars="200"/>
              <w:rPr>
                <w:rFonts w:eastAsiaTheme="minorEastAsia"/>
                <w:snapToGrid w:val="0"/>
                <w:color w:val="auto"/>
                <w:sz w:val="24"/>
              </w:rPr>
            </w:pPr>
            <w:r>
              <w:rPr>
                <w:rFonts w:eastAsiaTheme="minorEastAsia"/>
                <w:snapToGrid w:val="0"/>
                <w:color w:val="auto"/>
                <w:sz w:val="24"/>
              </w:rPr>
              <w:fldChar w:fldCharType="begin"/>
            </w:r>
            <w:r>
              <w:rPr>
                <w:rFonts w:eastAsiaTheme="minorEastAsia"/>
                <w:snapToGrid w:val="0"/>
                <w:color w:val="auto"/>
                <w:sz w:val="24"/>
              </w:rPr>
              <w:instrText xml:space="preserve"> = 2 \* GB2 </w:instrText>
            </w:r>
            <w:r>
              <w:rPr>
                <w:rFonts w:eastAsiaTheme="minorEastAsia"/>
                <w:snapToGrid w:val="0"/>
                <w:color w:val="auto"/>
                <w:sz w:val="24"/>
              </w:rPr>
              <w:fldChar w:fldCharType="separate"/>
            </w:r>
            <w:r>
              <w:rPr>
                <w:rFonts w:hint="eastAsia" w:ascii="宋体" w:hAnsi="宋体" w:cs="宋体"/>
                <w:snapToGrid w:val="0"/>
                <w:color w:val="auto"/>
                <w:sz w:val="24"/>
              </w:rPr>
              <w:t>⑵</w:t>
            </w:r>
            <w:r>
              <w:rPr>
                <w:rFonts w:eastAsiaTheme="minorEastAsia"/>
                <w:snapToGrid w:val="0"/>
                <w:color w:val="auto"/>
                <w:sz w:val="24"/>
              </w:rPr>
              <w:fldChar w:fldCharType="end"/>
            </w:r>
            <w:r>
              <w:rPr>
                <w:rFonts w:eastAsiaTheme="minorEastAsia"/>
                <w:snapToGrid w:val="0"/>
                <w:color w:val="auto"/>
                <w:sz w:val="24"/>
              </w:rPr>
              <w:t>废水：本工程废水经处理后达到进水水质后，经本项目深度处理达到《城镇污水处理厂污染物排放标准》（GB18918-2002）一级A标准后排放，具体见表43。</w:t>
            </w:r>
          </w:p>
          <w:p>
            <w:pPr>
              <w:adjustRightInd w:val="0"/>
              <w:snapToGrid w:val="0"/>
              <w:spacing w:line="360" w:lineRule="auto"/>
              <w:jc w:val="center"/>
              <w:rPr>
                <w:rFonts w:eastAsiaTheme="minorEastAsia"/>
                <w:color w:val="auto"/>
                <w:sz w:val="24"/>
              </w:rPr>
            </w:pPr>
            <w:r>
              <w:rPr>
                <w:rFonts w:eastAsiaTheme="minorEastAsia"/>
                <w:b/>
                <w:bCs/>
                <w:color w:val="auto"/>
                <w:sz w:val="24"/>
              </w:rPr>
              <w:t>表43  《城镇污水处理厂污染物排放标准》（GB18918-2002）一级A标准</w:t>
            </w:r>
          </w:p>
          <w:tbl>
            <w:tblPr>
              <w:tblStyle w:val="38"/>
              <w:tblW w:w="8284" w:type="dxa"/>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65"/>
              <w:gridCol w:w="2946"/>
              <w:gridCol w:w="3273"/>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Pr>
              <w:tc>
                <w:tcPr>
                  <w:tcW w:w="2065" w:type="dxa"/>
                  <w:vAlign w:val="center"/>
                </w:tcPr>
                <w:p>
                  <w:pPr>
                    <w:adjustRightInd w:val="0"/>
                    <w:snapToGrid w:val="0"/>
                    <w:jc w:val="center"/>
                    <w:rPr>
                      <w:rFonts w:eastAsiaTheme="minorEastAsia"/>
                      <w:color w:val="auto"/>
                    </w:rPr>
                  </w:pPr>
                  <w:r>
                    <w:rPr>
                      <w:rFonts w:eastAsiaTheme="minorEastAsia"/>
                      <w:color w:val="auto"/>
                    </w:rPr>
                    <w:t>序号</w:t>
                  </w:r>
                </w:p>
              </w:tc>
              <w:tc>
                <w:tcPr>
                  <w:tcW w:w="2946" w:type="dxa"/>
                  <w:vAlign w:val="center"/>
                </w:tcPr>
                <w:p>
                  <w:pPr>
                    <w:adjustRightInd w:val="0"/>
                    <w:snapToGrid w:val="0"/>
                    <w:jc w:val="center"/>
                    <w:rPr>
                      <w:rFonts w:eastAsiaTheme="minorEastAsia"/>
                      <w:color w:val="auto"/>
                    </w:rPr>
                  </w:pPr>
                  <w:r>
                    <w:rPr>
                      <w:rFonts w:eastAsiaTheme="minorEastAsia"/>
                      <w:color w:val="auto"/>
                    </w:rPr>
                    <w:t>污染物</w:t>
                  </w:r>
                </w:p>
              </w:tc>
              <w:tc>
                <w:tcPr>
                  <w:tcW w:w="3273" w:type="dxa"/>
                  <w:vAlign w:val="center"/>
                </w:tcPr>
                <w:p>
                  <w:pPr>
                    <w:adjustRightInd w:val="0"/>
                    <w:snapToGrid w:val="0"/>
                    <w:jc w:val="center"/>
                    <w:rPr>
                      <w:rFonts w:eastAsiaTheme="minorEastAsia"/>
                      <w:color w:val="auto"/>
                    </w:rPr>
                  </w:pPr>
                  <w:r>
                    <w:rPr>
                      <w:rFonts w:eastAsiaTheme="minorEastAsia"/>
                      <w:color w:val="auto"/>
                    </w:rPr>
                    <w:t>标准限值（mg/L）</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Pr>
              <w:tc>
                <w:tcPr>
                  <w:tcW w:w="2065" w:type="dxa"/>
                  <w:vAlign w:val="center"/>
                </w:tcPr>
                <w:p>
                  <w:pPr>
                    <w:adjustRightInd w:val="0"/>
                    <w:snapToGrid w:val="0"/>
                    <w:jc w:val="center"/>
                    <w:rPr>
                      <w:rFonts w:eastAsiaTheme="minorEastAsia"/>
                      <w:color w:val="auto"/>
                    </w:rPr>
                  </w:pPr>
                  <w:r>
                    <w:rPr>
                      <w:rFonts w:eastAsiaTheme="minorEastAsia"/>
                      <w:color w:val="auto"/>
                    </w:rPr>
                    <w:t>1</w:t>
                  </w:r>
                </w:p>
              </w:tc>
              <w:tc>
                <w:tcPr>
                  <w:tcW w:w="2946" w:type="dxa"/>
                  <w:vAlign w:val="center"/>
                </w:tcPr>
                <w:p>
                  <w:pPr>
                    <w:adjustRightInd w:val="0"/>
                    <w:snapToGrid w:val="0"/>
                    <w:jc w:val="center"/>
                    <w:rPr>
                      <w:rFonts w:eastAsiaTheme="minorEastAsia"/>
                      <w:color w:val="auto"/>
                    </w:rPr>
                  </w:pPr>
                  <w:r>
                    <w:rPr>
                      <w:rFonts w:eastAsiaTheme="minorEastAsia"/>
                      <w:color w:val="auto"/>
                    </w:rPr>
                    <w:t>pH</w:t>
                  </w:r>
                </w:p>
              </w:tc>
              <w:tc>
                <w:tcPr>
                  <w:tcW w:w="3273" w:type="dxa"/>
                  <w:vAlign w:val="center"/>
                </w:tcPr>
                <w:p>
                  <w:pPr>
                    <w:adjustRightInd w:val="0"/>
                    <w:snapToGrid w:val="0"/>
                    <w:jc w:val="center"/>
                    <w:rPr>
                      <w:rFonts w:eastAsiaTheme="minorEastAsia"/>
                      <w:color w:val="auto"/>
                    </w:rPr>
                  </w:pPr>
                  <w:r>
                    <w:rPr>
                      <w:rFonts w:eastAsiaTheme="minorEastAsia"/>
                      <w:color w:val="auto"/>
                    </w:rPr>
                    <w:t>6~9</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Pr>
              <w:tc>
                <w:tcPr>
                  <w:tcW w:w="2065" w:type="dxa"/>
                  <w:vAlign w:val="center"/>
                </w:tcPr>
                <w:p>
                  <w:pPr>
                    <w:adjustRightInd w:val="0"/>
                    <w:snapToGrid w:val="0"/>
                    <w:jc w:val="center"/>
                    <w:rPr>
                      <w:rFonts w:eastAsiaTheme="minorEastAsia"/>
                      <w:color w:val="auto"/>
                    </w:rPr>
                  </w:pPr>
                  <w:r>
                    <w:rPr>
                      <w:rFonts w:eastAsiaTheme="minorEastAsia"/>
                      <w:color w:val="auto"/>
                    </w:rPr>
                    <w:t>2</w:t>
                  </w:r>
                </w:p>
              </w:tc>
              <w:tc>
                <w:tcPr>
                  <w:tcW w:w="2946" w:type="dxa"/>
                  <w:vAlign w:val="center"/>
                </w:tcPr>
                <w:p>
                  <w:pPr>
                    <w:adjustRightInd w:val="0"/>
                    <w:snapToGrid w:val="0"/>
                    <w:jc w:val="center"/>
                    <w:rPr>
                      <w:rFonts w:eastAsiaTheme="minorEastAsia"/>
                      <w:color w:val="auto"/>
                    </w:rPr>
                  </w:pPr>
                  <w:r>
                    <w:rPr>
                      <w:rFonts w:eastAsiaTheme="minorEastAsia"/>
                      <w:color w:val="auto"/>
                    </w:rPr>
                    <w:t>COD</w:t>
                  </w:r>
                </w:p>
              </w:tc>
              <w:tc>
                <w:tcPr>
                  <w:tcW w:w="3273" w:type="dxa"/>
                  <w:vAlign w:val="center"/>
                </w:tcPr>
                <w:p>
                  <w:pPr>
                    <w:adjustRightInd w:val="0"/>
                    <w:snapToGrid w:val="0"/>
                    <w:jc w:val="center"/>
                    <w:rPr>
                      <w:rFonts w:eastAsiaTheme="minorEastAsia"/>
                      <w:color w:val="auto"/>
                    </w:rPr>
                  </w:pPr>
                  <w:r>
                    <w:rPr>
                      <w:rFonts w:eastAsiaTheme="minorEastAsia"/>
                      <w:color w:val="auto"/>
                    </w:rPr>
                    <w:t>50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Pr>
              <w:tc>
                <w:tcPr>
                  <w:tcW w:w="2065" w:type="dxa"/>
                  <w:vAlign w:val="center"/>
                </w:tcPr>
                <w:p>
                  <w:pPr>
                    <w:adjustRightInd w:val="0"/>
                    <w:snapToGrid w:val="0"/>
                    <w:jc w:val="center"/>
                    <w:rPr>
                      <w:rFonts w:eastAsiaTheme="minorEastAsia"/>
                      <w:color w:val="auto"/>
                    </w:rPr>
                  </w:pPr>
                  <w:r>
                    <w:rPr>
                      <w:rFonts w:eastAsiaTheme="minorEastAsia"/>
                      <w:color w:val="auto"/>
                    </w:rPr>
                    <w:t>3</w:t>
                  </w:r>
                </w:p>
              </w:tc>
              <w:tc>
                <w:tcPr>
                  <w:tcW w:w="2946" w:type="dxa"/>
                  <w:vAlign w:val="center"/>
                </w:tcPr>
                <w:p>
                  <w:pPr>
                    <w:adjustRightInd w:val="0"/>
                    <w:snapToGrid w:val="0"/>
                    <w:jc w:val="center"/>
                    <w:rPr>
                      <w:rFonts w:eastAsiaTheme="minorEastAsia"/>
                      <w:color w:val="auto"/>
                    </w:rPr>
                  </w:pPr>
                  <w:r>
                    <w:rPr>
                      <w:rFonts w:eastAsiaTheme="minorEastAsia"/>
                      <w:color w:val="auto"/>
                    </w:rPr>
                    <w:t>BOD</w:t>
                  </w:r>
                  <w:r>
                    <w:rPr>
                      <w:rFonts w:eastAsiaTheme="minorEastAsia"/>
                      <w:color w:val="auto"/>
                      <w:vertAlign w:val="subscript"/>
                    </w:rPr>
                    <w:t>5</w:t>
                  </w:r>
                </w:p>
              </w:tc>
              <w:tc>
                <w:tcPr>
                  <w:tcW w:w="3273" w:type="dxa"/>
                  <w:vAlign w:val="center"/>
                </w:tcPr>
                <w:p>
                  <w:pPr>
                    <w:adjustRightInd w:val="0"/>
                    <w:snapToGrid w:val="0"/>
                    <w:jc w:val="center"/>
                    <w:rPr>
                      <w:rFonts w:eastAsiaTheme="minorEastAsia"/>
                      <w:color w:val="auto"/>
                    </w:rPr>
                  </w:pPr>
                  <w:r>
                    <w:rPr>
                      <w:rFonts w:eastAsiaTheme="minorEastAsia"/>
                      <w:color w:val="auto"/>
                    </w:rPr>
                    <w:t>10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Pr>
              <w:tc>
                <w:tcPr>
                  <w:tcW w:w="2065" w:type="dxa"/>
                  <w:vAlign w:val="center"/>
                </w:tcPr>
                <w:p>
                  <w:pPr>
                    <w:adjustRightInd w:val="0"/>
                    <w:snapToGrid w:val="0"/>
                    <w:jc w:val="center"/>
                    <w:rPr>
                      <w:rFonts w:eastAsiaTheme="minorEastAsia"/>
                      <w:color w:val="auto"/>
                    </w:rPr>
                  </w:pPr>
                  <w:r>
                    <w:rPr>
                      <w:rFonts w:eastAsiaTheme="minorEastAsia"/>
                      <w:color w:val="auto"/>
                    </w:rPr>
                    <w:t>4</w:t>
                  </w:r>
                </w:p>
              </w:tc>
              <w:tc>
                <w:tcPr>
                  <w:tcW w:w="2946" w:type="dxa"/>
                  <w:vAlign w:val="center"/>
                </w:tcPr>
                <w:p>
                  <w:pPr>
                    <w:adjustRightInd w:val="0"/>
                    <w:snapToGrid w:val="0"/>
                    <w:jc w:val="center"/>
                    <w:rPr>
                      <w:rFonts w:eastAsiaTheme="minorEastAsia"/>
                      <w:color w:val="auto"/>
                    </w:rPr>
                  </w:pPr>
                  <w:r>
                    <w:rPr>
                      <w:rFonts w:eastAsiaTheme="minorEastAsia"/>
                      <w:color w:val="auto"/>
                    </w:rPr>
                    <w:t>SS</w:t>
                  </w:r>
                </w:p>
              </w:tc>
              <w:tc>
                <w:tcPr>
                  <w:tcW w:w="3273" w:type="dxa"/>
                  <w:vAlign w:val="center"/>
                </w:tcPr>
                <w:p>
                  <w:pPr>
                    <w:adjustRightInd w:val="0"/>
                    <w:snapToGrid w:val="0"/>
                    <w:jc w:val="center"/>
                    <w:rPr>
                      <w:rFonts w:eastAsiaTheme="minorEastAsia"/>
                      <w:color w:val="auto"/>
                    </w:rPr>
                  </w:pPr>
                  <w:r>
                    <w:rPr>
                      <w:rFonts w:eastAsiaTheme="minorEastAsia"/>
                      <w:color w:val="auto"/>
                    </w:rPr>
                    <w:t>10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Pr>
              <w:tc>
                <w:tcPr>
                  <w:tcW w:w="2065" w:type="dxa"/>
                  <w:vAlign w:val="center"/>
                </w:tcPr>
                <w:p>
                  <w:pPr>
                    <w:adjustRightInd w:val="0"/>
                    <w:snapToGrid w:val="0"/>
                    <w:jc w:val="center"/>
                    <w:rPr>
                      <w:rFonts w:eastAsiaTheme="minorEastAsia"/>
                      <w:color w:val="auto"/>
                    </w:rPr>
                  </w:pPr>
                  <w:r>
                    <w:rPr>
                      <w:rFonts w:eastAsiaTheme="minorEastAsia"/>
                      <w:color w:val="auto"/>
                    </w:rPr>
                    <w:t>5</w:t>
                  </w:r>
                </w:p>
              </w:tc>
              <w:tc>
                <w:tcPr>
                  <w:tcW w:w="2946" w:type="dxa"/>
                  <w:vAlign w:val="center"/>
                </w:tcPr>
                <w:p>
                  <w:pPr>
                    <w:adjustRightInd w:val="0"/>
                    <w:snapToGrid w:val="0"/>
                    <w:jc w:val="center"/>
                    <w:rPr>
                      <w:rFonts w:eastAsiaTheme="minorEastAsia"/>
                      <w:color w:val="auto"/>
                    </w:rPr>
                  </w:pPr>
                  <w:r>
                    <w:rPr>
                      <w:rFonts w:eastAsiaTheme="minorEastAsia"/>
                      <w:color w:val="auto"/>
                    </w:rPr>
                    <w:t>氨氮</w:t>
                  </w:r>
                </w:p>
              </w:tc>
              <w:tc>
                <w:tcPr>
                  <w:tcW w:w="3273" w:type="dxa"/>
                  <w:vAlign w:val="center"/>
                </w:tcPr>
                <w:p>
                  <w:pPr>
                    <w:adjustRightInd w:val="0"/>
                    <w:snapToGrid w:val="0"/>
                    <w:jc w:val="center"/>
                    <w:rPr>
                      <w:rFonts w:eastAsiaTheme="minorEastAsia"/>
                      <w:color w:val="auto"/>
                    </w:rPr>
                  </w:pPr>
                  <w:r>
                    <w:rPr>
                      <w:rFonts w:eastAsiaTheme="minorEastAsia"/>
                      <w:color w:val="auto"/>
                    </w:rPr>
                    <w:t>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Pr>
              <w:tc>
                <w:tcPr>
                  <w:tcW w:w="2065" w:type="dxa"/>
                  <w:vAlign w:val="center"/>
                </w:tcPr>
                <w:p>
                  <w:pPr>
                    <w:adjustRightInd w:val="0"/>
                    <w:snapToGrid w:val="0"/>
                    <w:jc w:val="center"/>
                    <w:rPr>
                      <w:rFonts w:eastAsiaTheme="minorEastAsia"/>
                      <w:color w:val="auto"/>
                    </w:rPr>
                  </w:pPr>
                  <w:r>
                    <w:rPr>
                      <w:rFonts w:eastAsiaTheme="minorEastAsia"/>
                      <w:color w:val="auto"/>
                    </w:rPr>
                    <w:t>6</w:t>
                  </w:r>
                </w:p>
              </w:tc>
              <w:tc>
                <w:tcPr>
                  <w:tcW w:w="2946" w:type="dxa"/>
                  <w:vAlign w:val="center"/>
                </w:tcPr>
                <w:p>
                  <w:pPr>
                    <w:adjustRightInd w:val="0"/>
                    <w:snapToGrid w:val="0"/>
                    <w:jc w:val="center"/>
                    <w:rPr>
                      <w:rFonts w:eastAsiaTheme="minorEastAsia"/>
                      <w:color w:val="auto"/>
                    </w:rPr>
                  </w:pPr>
                  <w:r>
                    <w:rPr>
                      <w:rFonts w:eastAsiaTheme="minorEastAsia"/>
                      <w:color w:val="auto"/>
                    </w:rPr>
                    <w:t>总氮</w:t>
                  </w:r>
                </w:p>
              </w:tc>
              <w:tc>
                <w:tcPr>
                  <w:tcW w:w="3273" w:type="dxa"/>
                  <w:vAlign w:val="center"/>
                </w:tcPr>
                <w:p>
                  <w:pPr>
                    <w:adjustRightInd w:val="0"/>
                    <w:snapToGrid w:val="0"/>
                    <w:jc w:val="center"/>
                    <w:rPr>
                      <w:rFonts w:eastAsiaTheme="minorEastAsia"/>
                      <w:color w:val="auto"/>
                    </w:rPr>
                  </w:pPr>
                  <w:r>
                    <w:rPr>
                      <w:rFonts w:eastAsiaTheme="minorEastAsia"/>
                      <w:color w:val="auto"/>
                    </w:rPr>
                    <w:t>15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Pr>
              <w:tc>
                <w:tcPr>
                  <w:tcW w:w="2065" w:type="dxa"/>
                  <w:vAlign w:val="center"/>
                </w:tcPr>
                <w:p>
                  <w:pPr>
                    <w:adjustRightInd w:val="0"/>
                    <w:snapToGrid w:val="0"/>
                    <w:jc w:val="center"/>
                    <w:rPr>
                      <w:rFonts w:eastAsiaTheme="minorEastAsia"/>
                      <w:color w:val="auto"/>
                    </w:rPr>
                  </w:pPr>
                  <w:r>
                    <w:rPr>
                      <w:rFonts w:eastAsiaTheme="minorEastAsia"/>
                      <w:color w:val="auto"/>
                    </w:rPr>
                    <w:t>7</w:t>
                  </w:r>
                </w:p>
              </w:tc>
              <w:tc>
                <w:tcPr>
                  <w:tcW w:w="2946" w:type="dxa"/>
                  <w:vAlign w:val="center"/>
                </w:tcPr>
                <w:p>
                  <w:pPr>
                    <w:adjustRightInd w:val="0"/>
                    <w:snapToGrid w:val="0"/>
                    <w:jc w:val="center"/>
                    <w:rPr>
                      <w:rFonts w:eastAsiaTheme="minorEastAsia"/>
                      <w:color w:val="auto"/>
                    </w:rPr>
                  </w:pPr>
                  <w:r>
                    <w:rPr>
                      <w:rFonts w:eastAsiaTheme="minorEastAsia"/>
                      <w:color w:val="auto"/>
                    </w:rPr>
                    <w:t>总磷</w:t>
                  </w:r>
                </w:p>
              </w:tc>
              <w:tc>
                <w:tcPr>
                  <w:tcW w:w="3273" w:type="dxa"/>
                  <w:vAlign w:val="center"/>
                </w:tcPr>
                <w:p>
                  <w:pPr>
                    <w:adjustRightInd w:val="0"/>
                    <w:snapToGrid w:val="0"/>
                    <w:jc w:val="center"/>
                    <w:rPr>
                      <w:rFonts w:eastAsiaTheme="minorEastAsia"/>
                      <w:color w:val="auto"/>
                    </w:rPr>
                  </w:pPr>
                  <w:r>
                    <w:rPr>
                      <w:rFonts w:eastAsiaTheme="minorEastAsia"/>
                      <w:color w:val="auto"/>
                    </w:rPr>
                    <w:t>0.5</w:t>
                  </w:r>
                </w:p>
              </w:tc>
            </w:tr>
          </w:tbl>
          <w:p>
            <w:pPr>
              <w:autoSpaceDE w:val="0"/>
              <w:autoSpaceDN w:val="0"/>
              <w:adjustRightInd w:val="0"/>
              <w:snapToGrid w:val="0"/>
              <w:spacing w:line="360" w:lineRule="auto"/>
              <w:ind w:firstLine="480" w:firstLineChars="200"/>
              <w:jc w:val="left"/>
              <w:rPr>
                <w:rFonts w:eastAsiaTheme="minorEastAsia"/>
                <w:color w:val="auto"/>
                <w:kern w:val="0"/>
                <w:sz w:val="24"/>
              </w:rPr>
            </w:pPr>
            <w:r>
              <w:rPr>
                <w:rFonts w:hint="eastAsia" w:ascii="宋体" w:hAnsi="宋体" w:cs="宋体"/>
                <w:color w:val="auto"/>
                <w:kern w:val="0"/>
                <w:sz w:val="24"/>
              </w:rPr>
              <w:t>⑶</w:t>
            </w:r>
            <w:r>
              <w:rPr>
                <w:rFonts w:eastAsiaTheme="minorEastAsia"/>
                <w:color w:val="auto"/>
                <w:kern w:val="0"/>
                <w:sz w:val="24"/>
              </w:rPr>
              <w:t>噪声：施工期噪声排放执行《建筑施工场界环境噪声排放标准》（GB12523- 2011），见表44；</w:t>
            </w:r>
          </w:p>
          <w:p>
            <w:pPr>
              <w:adjustRightInd w:val="0"/>
              <w:snapToGrid w:val="0"/>
              <w:spacing w:line="360" w:lineRule="auto"/>
              <w:ind w:firstLine="354" w:firstLineChars="147"/>
              <w:jc w:val="center"/>
              <w:rPr>
                <w:rFonts w:eastAsiaTheme="minorEastAsia"/>
                <w:b/>
                <w:color w:val="auto"/>
                <w:sz w:val="24"/>
              </w:rPr>
            </w:pPr>
            <w:r>
              <w:rPr>
                <w:rFonts w:eastAsiaTheme="minorEastAsia"/>
                <w:b/>
                <w:color w:val="auto"/>
                <w:sz w:val="24"/>
              </w:rPr>
              <w:t>表44建筑施工场界环境噪声排放标准等效声级LAeq（dB）</w:t>
            </w:r>
          </w:p>
          <w:tbl>
            <w:tblPr>
              <w:tblStyle w:val="38"/>
              <w:tblW w:w="8678" w:type="dxa"/>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683"/>
              <w:gridCol w:w="3995"/>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4683" w:type="dxa"/>
                  <w:vAlign w:val="center"/>
                </w:tcPr>
                <w:p>
                  <w:pPr>
                    <w:adjustRightInd w:val="0"/>
                    <w:snapToGrid w:val="0"/>
                    <w:jc w:val="center"/>
                    <w:rPr>
                      <w:rFonts w:eastAsiaTheme="minorEastAsia"/>
                      <w:color w:val="auto"/>
                      <w:szCs w:val="21"/>
                    </w:rPr>
                  </w:pPr>
                  <w:r>
                    <w:rPr>
                      <w:rFonts w:eastAsiaTheme="minorEastAsia"/>
                      <w:color w:val="auto"/>
                      <w:szCs w:val="21"/>
                    </w:rPr>
                    <w:t>昼间</w:t>
                  </w:r>
                </w:p>
              </w:tc>
              <w:tc>
                <w:tcPr>
                  <w:tcW w:w="3995" w:type="dxa"/>
                  <w:vAlign w:val="center"/>
                </w:tcPr>
                <w:p>
                  <w:pPr>
                    <w:adjustRightInd w:val="0"/>
                    <w:snapToGrid w:val="0"/>
                    <w:jc w:val="center"/>
                    <w:rPr>
                      <w:rFonts w:eastAsiaTheme="minorEastAsia"/>
                      <w:color w:val="auto"/>
                      <w:szCs w:val="21"/>
                    </w:rPr>
                  </w:pPr>
                  <w:r>
                    <w:rPr>
                      <w:rFonts w:eastAsiaTheme="minorEastAsia"/>
                      <w:color w:val="auto"/>
                      <w:szCs w:val="21"/>
                    </w:rPr>
                    <w:t>夜间</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6" w:hRule="atLeast"/>
              </w:trPr>
              <w:tc>
                <w:tcPr>
                  <w:tcW w:w="4683" w:type="dxa"/>
                  <w:vAlign w:val="center"/>
                </w:tcPr>
                <w:p>
                  <w:pPr>
                    <w:adjustRightInd w:val="0"/>
                    <w:snapToGrid w:val="0"/>
                    <w:jc w:val="center"/>
                    <w:rPr>
                      <w:rFonts w:eastAsiaTheme="minorEastAsia"/>
                      <w:color w:val="auto"/>
                      <w:szCs w:val="21"/>
                    </w:rPr>
                  </w:pPr>
                  <w:r>
                    <w:rPr>
                      <w:rFonts w:eastAsiaTheme="minorEastAsia"/>
                      <w:color w:val="auto"/>
                      <w:szCs w:val="21"/>
                    </w:rPr>
                    <w:t>70</w:t>
                  </w:r>
                </w:p>
              </w:tc>
              <w:tc>
                <w:tcPr>
                  <w:tcW w:w="3995" w:type="dxa"/>
                  <w:vAlign w:val="center"/>
                </w:tcPr>
                <w:p>
                  <w:pPr>
                    <w:adjustRightInd w:val="0"/>
                    <w:snapToGrid w:val="0"/>
                    <w:jc w:val="center"/>
                    <w:rPr>
                      <w:rFonts w:eastAsiaTheme="minorEastAsia"/>
                      <w:color w:val="auto"/>
                      <w:szCs w:val="21"/>
                    </w:rPr>
                  </w:pPr>
                  <w:r>
                    <w:rPr>
                      <w:rFonts w:eastAsiaTheme="minorEastAsia"/>
                      <w:color w:val="auto"/>
                      <w:szCs w:val="21"/>
                    </w:rPr>
                    <w:t>55</w:t>
                  </w:r>
                </w:p>
              </w:tc>
            </w:tr>
          </w:tbl>
          <w:p>
            <w:pPr>
              <w:adjustRightInd w:val="0"/>
              <w:snapToGrid w:val="0"/>
              <w:spacing w:line="360" w:lineRule="auto"/>
              <w:ind w:firstLine="480" w:firstLineChars="200"/>
              <w:rPr>
                <w:rFonts w:eastAsiaTheme="minorEastAsia"/>
                <w:b/>
                <w:bCs/>
                <w:color w:val="auto"/>
                <w:sz w:val="24"/>
              </w:rPr>
            </w:pPr>
            <w:r>
              <w:rPr>
                <w:rFonts w:eastAsiaTheme="minorEastAsia"/>
                <w:color w:val="auto"/>
                <w:sz w:val="24"/>
              </w:rPr>
              <w:t>运营期噪声执行《工业企业厂界环境噪声排放标准》(GB12348-2008)中2类区限值，见表45。</w:t>
            </w:r>
          </w:p>
          <w:p>
            <w:pPr>
              <w:adjustRightInd w:val="0"/>
              <w:snapToGrid w:val="0"/>
              <w:spacing w:line="360" w:lineRule="auto"/>
              <w:ind w:firstLine="472" w:firstLineChars="196"/>
              <w:jc w:val="center"/>
              <w:rPr>
                <w:rFonts w:eastAsiaTheme="minorEastAsia"/>
                <w:color w:val="auto"/>
                <w:sz w:val="24"/>
              </w:rPr>
            </w:pPr>
            <w:r>
              <w:rPr>
                <w:rFonts w:eastAsiaTheme="minorEastAsia"/>
                <w:b/>
                <w:bCs/>
                <w:color w:val="auto"/>
                <w:sz w:val="24"/>
              </w:rPr>
              <w:t>表45工业企业厂界环境噪声排放标准等效声级Leq（dB）</w:t>
            </w:r>
          </w:p>
          <w:tbl>
            <w:tblPr>
              <w:tblStyle w:val="38"/>
              <w:tblW w:w="8645"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28"/>
              <w:gridCol w:w="3526"/>
              <w:gridCol w:w="3391"/>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728" w:type="dxa"/>
                  <w:vAlign w:val="center"/>
                </w:tcPr>
                <w:p>
                  <w:pPr>
                    <w:adjustRightInd w:val="0"/>
                    <w:snapToGrid w:val="0"/>
                    <w:jc w:val="center"/>
                    <w:rPr>
                      <w:rFonts w:eastAsiaTheme="minorEastAsia"/>
                      <w:color w:val="auto"/>
                      <w:szCs w:val="21"/>
                    </w:rPr>
                  </w:pPr>
                  <w:r>
                    <w:rPr>
                      <w:rFonts w:eastAsiaTheme="minorEastAsia"/>
                      <w:color w:val="auto"/>
                      <w:szCs w:val="21"/>
                    </w:rPr>
                    <w:t>功能区</w:t>
                  </w:r>
                </w:p>
              </w:tc>
              <w:tc>
                <w:tcPr>
                  <w:tcW w:w="3526" w:type="dxa"/>
                  <w:vAlign w:val="center"/>
                </w:tcPr>
                <w:p>
                  <w:pPr>
                    <w:adjustRightInd w:val="0"/>
                    <w:snapToGrid w:val="0"/>
                    <w:jc w:val="center"/>
                    <w:rPr>
                      <w:rFonts w:eastAsiaTheme="minorEastAsia"/>
                      <w:color w:val="auto"/>
                      <w:szCs w:val="21"/>
                    </w:rPr>
                  </w:pPr>
                  <w:r>
                    <w:rPr>
                      <w:rFonts w:eastAsiaTheme="minorEastAsia"/>
                      <w:color w:val="auto"/>
                      <w:szCs w:val="21"/>
                    </w:rPr>
                    <w:t>昼间</w:t>
                  </w:r>
                </w:p>
              </w:tc>
              <w:tc>
                <w:tcPr>
                  <w:tcW w:w="3391" w:type="dxa"/>
                  <w:vAlign w:val="center"/>
                </w:tcPr>
                <w:p>
                  <w:pPr>
                    <w:adjustRightInd w:val="0"/>
                    <w:snapToGrid w:val="0"/>
                    <w:jc w:val="center"/>
                    <w:rPr>
                      <w:rFonts w:eastAsiaTheme="minorEastAsia"/>
                      <w:color w:val="auto"/>
                      <w:szCs w:val="21"/>
                    </w:rPr>
                  </w:pPr>
                  <w:r>
                    <w:rPr>
                      <w:rFonts w:eastAsiaTheme="minorEastAsia"/>
                      <w:color w:val="auto"/>
                      <w:szCs w:val="21"/>
                    </w:rPr>
                    <w:t>夜间</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1728" w:type="dxa"/>
                  <w:vAlign w:val="center"/>
                </w:tcPr>
                <w:p>
                  <w:pPr>
                    <w:adjustRightInd w:val="0"/>
                    <w:snapToGrid w:val="0"/>
                    <w:jc w:val="center"/>
                    <w:rPr>
                      <w:rFonts w:eastAsiaTheme="minorEastAsia"/>
                      <w:color w:val="auto"/>
                      <w:szCs w:val="21"/>
                    </w:rPr>
                  </w:pPr>
                  <w:r>
                    <w:rPr>
                      <w:rFonts w:eastAsiaTheme="minorEastAsia"/>
                      <w:color w:val="auto"/>
                      <w:szCs w:val="21"/>
                    </w:rPr>
                    <w:t>2类</w:t>
                  </w:r>
                </w:p>
              </w:tc>
              <w:tc>
                <w:tcPr>
                  <w:tcW w:w="3526" w:type="dxa"/>
                  <w:vAlign w:val="center"/>
                </w:tcPr>
                <w:p>
                  <w:pPr>
                    <w:adjustRightInd w:val="0"/>
                    <w:snapToGrid w:val="0"/>
                    <w:jc w:val="center"/>
                    <w:rPr>
                      <w:rFonts w:eastAsiaTheme="minorEastAsia"/>
                      <w:color w:val="auto"/>
                      <w:szCs w:val="21"/>
                    </w:rPr>
                  </w:pPr>
                  <w:r>
                    <w:rPr>
                      <w:rFonts w:eastAsiaTheme="minorEastAsia"/>
                      <w:color w:val="auto"/>
                      <w:szCs w:val="21"/>
                    </w:rPr>
                    <w:t>60</w:t>
                  </w:r>
                </w:p>
              </w:tc>
              <w:tc>
                <w:tcPr>
                  <w:tcW w:w="3391" w:type="dxa"/>
                  <w:vAlign w:val="center"/>
                </w:tcPr>
                <w:p>
                  <w:pPr>
                    <w:adjustRightInd w:val="0"/>
                    <w:snapToGrid w:val="0"/>
                    <w:jc w:val="center"/>
                    <w:rPr>
                      <w:rFonts w:eastAsiaTheme="minorEastAsia"/>
                      <w:color w:val="auto"/>
                      <w:szCs w:val="21"/>
                    </w:rPr>
                  </w:pPr>
                  <w:r>
                    <w:rPr>
                      <w:rFonts w:eastAsiaTheme="minorEastAsia"/>
                      <w:color w:val="auto"/>
                      <w:szCs w:val="21"/>
                    </w:rPr>
                    <w:t>50</w:t>
                  </w:r>
                </w:p>
              </w:tc>
            </w:tr>
          </w:tbl>
          <w:p>
            <w:pPr>
              <w:adjustRightInd w:val="0"/>
              <w:snapToGrid w:val="0"/>
              <w:spacing w:line="360" w:lineRule="auto"/>
              <w:ind w:firstLine="480" w:firstLineChars="200"/>
              <w:rPr>
                <w:rFonts w:eastAsiaTheme="minorEastAsia"/>
                <w:color w:val="auto"/>
                <w:kern w:val="0"/>
                <w:sz w:val="24"/>
              </w:rPr>
            </w:pPr>
            <w:r>
              <w:rPr>
                <w:rFonts w:hint="eastAsia" w:ascii="宋体" w:hAnsi="宋体" w:cs="宋体"/>
                <w:color w:val="auto"/>
                <w:kern w:val="0"/>
                <w:sz w:val="24"/>
              </w:rPr>
              <w:t>⑷</w:t>
            </w:r>
            <w:r>
              <w:rPr>
                <w:rFonts w:eastAsiaTheme="minorEastAsia"/>
                <w:color w:val="auto"/>
                <w:kern w:val="0"/>
                <w:sz w:val="24"/>
              </w:rPr>
              <w:t>固体废物</w:t>
            </w:r>
            <w:r>
              <w:rPr>
                <w:rFonts w:eastAsiaTheme="minorEastAsia"/>
                <w:color w:val="auto"/>
                <w:sz w:val="24"/>
              </w:rPr>
              <w:t>根据《城镇污水处理厂污染物排放标准》（GB18918-2002），城镇污水处理厂污泥应进行稳定化处理，具体见表46；污泥进行脱水处理，脱水后污泥含水率应小于80%。此外，一般工业固体废弃物的贮存场应符合《一般工业固体废弃物贮存、处置场污染控制标准》（GB18599-2001）及其修改单相关要求。</w:t>
            </w:r>
          </w:p>
          <w:p>
            <w:pPr>
              <w:adjustRightInd w:val="0"/>
              <w:snapToGrid w:val="0"/>
              <w:spacing w:line="360" w:lineRule="auto"/>
              <w:ind w:firstLine="472" w:firstLineChars="196"/>
              <w:jc w:val="center"/>
              <w:rPr>
                <w:rFonts w:eastAsiaTheme="minorEastAsia"/>
                <w:b/>
                <w:bCs/>
                <w:color w:val="auto"/>
                <w:sz w:val="24"/>
              </w:rPr>
            </w:pPr>
            <w:r>
              <w:rPr>
                <w:rFonts w:eastAsiaTheme="minorEastAsia"/>
                <w:b/>
                <w:bCs/>
                <w:color w:val="auto"/>
                <w:sz w:val="24"/>
              </w:rPr>
              <w:t>表46污泥稳定化控制要求</w:t>
            </w:r>
          </w:p>
          <w:tbl>
            <w:tblPr>
              <w:tblStyle w:val="38"/>
              <w:tblW w:w="8282"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3170"/>
              <w:gridCol w:w="276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2350" w:type="dxa"/>
                  <w:vAlign w:val="center"/>
                </w:tcPr>
                <w:p>
                  <w:pPr>
                    <w:pStyle w:val="161"/>
                    <w:adjustRightInd/>
                    <w:jc w:val="center"/>
                    <w:rPr>
                      <w:rFonts w:ascii="Times New Roman" w:cs="Times New Roman" w:eastAsiaTheme="minorEastAsia"/>
                      <w:b/>
                      <w:color w:val="auto"/>
                      <w:sz w:val="21"/>
                      <w:szCs w:val="21"/>
                    </w:rPr>
                  </w:pPr>
                  <w:r>
                    <w:rPr>
                      <w:rFonts w:ascii="Times New Roman" w:cs="Times New Roman" w:eastAsiaTheme="minorEastAsia"/>
                      <w:b/>
                      <w:color w:val="auto"/>
                      <w:sz w:val="21"/>
                      <w:szCs w:val="21"/>
                    </w:rPr>
                    <w:t>稳定化方法</w:t>
                  </w:r>
                </w:p>
              </w:tc>
              <w:tc>
                <w:tcPr>
                  <w:tcW w:w="3170" w:type="dxa"/>
                  <w:vAlign w:val="center"/>
                </w:tcPr>
                <w:p>
                  <w:pPr>
                    <w:pStyle w:val="161"/>
                    <w:adjustRightInd/>
                    <w:jc w:val="center"/>
                    <w:rPr>
                      <w:rFonts w:ascii="Times New Roman" w:cs="Times New Roman" w:eastAsiaTheme="minorEastAsia"/>
                      <w:b/>
                      <w:color w:val="auto"/>
                      <w:sz w:val="21"/>
                      <w:szCs w:val="21"/>
                    </w:rPr>
                  </w:pPr>
                  <w:r>
                    <w:rPr>
                      <w:rFonts w:ascii="Times New Roman" w:cs="Times New Roman" w:eastAsiaTheme="minorEastAsia"/>
                      <w:b/>
                      <w:color w:val="auto"/>
                      <w:sz w:val="21"/>
                      <w:szCs w:val="21"/>
                    </w:rPr>
                    <w:t>控制项目</w:t>
                  </w:r>
                </w:p>
              </w:tc>
              <w:tc>
                <w:tcPr>
                  <w:tcW w:w="2762" w:type="dxa"/>
                  <w:vAlign w:val="center"/>
                </w:tcPr>
                <w:p>
                  <w:pPr>
                    <w:pStyle w:val="161"/>
                    <w:adjustRightInd/>
                    <w:jc w:val="center"/>
                    <w:rPr>
                      <w:rFonts w:ascii="Times New Roman" w:cs="Times New Roman" w:eastAsiaTheme="minorEastAsia"/>
                      <w:b/>
                      <w:color w:val="auto"/>
                      <w:sz w:val="21"/>
                      <w:szCs w:val="21"/>
                    </w:rPr>
                  </w:pPr>
                  <w:r>
                    <w:rPr>
                      <w:rFonts w:ascii="Times New Roman" w:cs="Times New Roman" w:eastAsiaTheme="minorEastAsia"/>
                      <w:b/>
                      <w:color w:val="auto"/>
                      <w:sz w:val="21"/>
                      <w:szCs w:val="21"/>
                    </w:rPr>
                    <w:t>控制指标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2350" w:type="dxa"/>
                  <w:vAlign w:val="center"/>
                </w:tcPr>
                <w:p>
                  <w:pPr>
                    <w:pStyle w:val="161"/>
                    <w:adjustRightInd/>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厌氧消化</w:t>
                  </w:r>
                </w:p>
              </w:tc>
              <w:tc>
                <w:tcPr>
                  <w:tcW w:w="3170" w:type="dxa"/>
                  <w:vAlign w:val="center"/>
                </w:tcPr>
                <w:p>
                  <w:pPr>
                    <w:pStyle w:val="161"/>
                    <w:adjustRightInd/>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有机物降解率（%）</w:t>
                  </w:r>
                </w:p>
              </w:tc>
              <w:tc>
                <w:tcPr>
                  <w:tcW w:w="2762" w:type="dxa"/>
                  <w:vAlign w:val="center"/>
                </w:tcPr>
                <w:p>
                  <w:pPr>
                    <w:pStyle w:val="161"/>
                    <w:adjustRightInd/>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&gt;40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2350" w:type="dxa"/>
                  <w:vAlign w:val="center"/>
                </w:tcPr>
                <w:p>
                  <w:pPr>
                    <w:pStyle w:val="161"/>
                    <w:adjustRightInd/>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好氧消化</w:t>
                  </w:r>
                </w:p>
              </w:tc>
              <w:tc>
                <w:tcPr>
                  <w:tcW w:w="3170" w:type="dxa"/>
                  <w:vAlign w:val="center"/>
                </w:tcPr>
                <w:p>
                  <w:pPr>
                    <w:pStyle w:val="161"/>
                    <w:adjustRightInd/>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有机物降解率（%）</w:t>
                  </w:r>
                </w:p>
              </w:tc>
              <w:tc>
                <w:tcPr>
                  <w:tcW w:w="2762" w:type="dxa"/>
                  <w:vAlign w:val="center"/>
                </w:tcPr>
                <w:p>
                  <w:pPr>
                    <w:pStyle w:val="161"/>
                    <w:adjustRightInd/>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&gt;40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2350" w:type="dxa"/>
                  <w:vMerge w:val="restart"/>
                  <w:vAlign w:val="center"/>
                </w:tcPr>
                <w:p>
                  <w:pPr>
                    <w:pStyle w:val="161"/>
                    <w:adjustRightInd/>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好氧堆肥</w:t>
                  </w:r>
                </w:p>
              </w:tc>
              <w:tc>
                <w:tcPr>
                  <w:tcW w:w="3170" w:type="dxa"/>
                  <w:vAlign w:val="center"/>
                </w:tcPr>
                <w:p>
                  <w:pPr>
                    <w:pStyle w:val="161"/>
                    <w:adjustRightInd/>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含水率（%）</w:t>
                  </w:r>
                </w:p>
              </w:tc>
              <w:tc>
                <w:tcPr>
                  <w:tcW w:w="2762" w:type="dxa"/>
                  <w:vAlign w:val="center"/>
                </w:tcPr>
                <w:p>
                  <w:pPr>
                    <w:pStyle w:val="161"/>
                    <w:adjustRightInd/>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&lt;65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4" w:hRule="atLeast"/>
                <w:jc w:val="center"/>
              </w:trPr>
              <w:tc>
                <w:tcPr>
                  <w:tcW w:w="2350" w:type="dxa"/>
                  <w:vMerge w:val="continue"/>
                  <w:vAlign w:val="center"/>
                </w:tcPr>
                <w:p>
                  <w:pPr>
                    <w:pStyle w:val="161"/>
                    <w:adjustRightInd/>
                    <w:jc w:val="center"/>
                    <w:rPr>
                      <w:rFonts w:ascii="Times New Roman" w:cs="Times New Roman" w:eastAsiaTheme="minorEastAsia"/>
                      <w:color w:val="auto"/>
                      <w:sz w:val="21"/>
                      <w:szCs w:val="21"/>
                    </w:rPr>
                  </w:pPr>
                </w:p>
              </w:tc>
              <w:tc>
                <w:tcPr>
                  <w:tcW w:w="3170" w:type="dxa"/>
                  <w:vAlign w:val="center"/>
                </w:tcPr>
                <w:p>
                  <w:pPr>
                    <w:pStyle w:val="161"/>
                    <w:adjustRightInd/>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有机物降解率（%）</w:t>
                  </w:r>
                </w:p>
              </w:tc>
              <w:tc>
                <w:tcPr>
                  <w:tcW w:w="2762" w:type="dxa"/>
                  <w:vAlign w:val="center"/>
                </w:tcPr>
                <w:p>
                  <w:pPr>
                    <w:pStyle w:val="161"/>
                    <w:adjustRightInd/>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&gt;50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4" w:hRule="atLeast"/>
                <w:jc w:val="center"/>
              </w:trPr>
              <w:tc>
                <w:tcPr>
                  <w:tcW w:w="2350" w:type="dxa"/>
                  <w:vMerge w:val="continue"/>
                  <w:vAlign w:val="center"/>
                </w:tcPr>
                <w:p>
                  <w:pPr>
                    <w:pStyle w:val="161"/>
                    <w:adjustRightInd/>
                    <w:jc w:val="center"/>
                    <w:rPr>
                      <w:rFonts w:ascii="Times New Roman" w:cs="Times New Roman" w:eastAsiaTheme="minorEastAsia"/>
                      <w:color w:val="auto"/>
                      <w:sz w:val="21"/>
                      <w:szCs w:val="21"/>
                    </w:rPr>
                  </w:pPr>
                </w:p>
              </w:tc>
              <w:tc>
                <w:tcPr>
                  <w:tcW w:w="3170" w:type="dxa"/>
                  <w:vAlign w:val="center"/>
                </w:tcPr>
                <w:p>
                  <w:pPr>
                    <w:pStyle w:val="161"/>
                    <w:adjustRightInd/>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蠕虫卵死亡率（%）</w:t>
                  </w:r>
                </w:p>
              </w:tc>
              <w:tc>
                <w:tcPr>
                  <w:tcW w:w="2762" w:type="dxa"/>
                  <w:vAlign w:val="center"/>
                </w:tcPr>
                <w:p>
                  <w:pPr>
                    <w:pStyle w:val="161"/>
                    <w:adjustRightInd/>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&gt;95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4" w:hRule="atLeast"/>
                <w:jc w:val="center"/>
              </w:trPr>
              <w:tc>
                <w:tcPr>
                  <w:tcW w:w="2350" w:type="dxa"/>
                  <w:vMerge w:val="continue"/>
                  <w:vAlign w:val="center"/>
                </w:tcPr>
                <w:p>
                  <w:pPr>
                    <w:pStyle w:val="161"/>
                    <w:adjustRightInd/>
                    <w:jc w:val="center"/>
                    <w:rPr>
                      <w:rFonts w:ascii="Times New Roman" w:cs="Times New Roman" w:eastAsiaTheme="minorEastAsia"/>
                      <w:color w:val="auto"/>
                      <w:sz w:val="21"/>
                      <w:szCs w:val="21"/>
                    </w:rPr>
                  </w:pPr>
                </w:p>
              </w:tc>
              <w:tc>
                <w:tcPr>
                  <w:tcW w:w="3170" w:type="dxa"/>
                  <w:vAlign w:val="center"/>
                </w:tcPr>
                <w:p>
                  <w:pPr>
                    <w:pStyle w:val="161"/>
                    <w:adjustRightInd/>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粪大肠菌群菌值</w:t>
                  </w:r>
                </w:p>
              </w:tc>
              <w:tc>
                <w:tcPr>
                  <w:tcW w:w="2762" w:type="dxa"/>
                  <w:vAlign w:val="center"/>
                </w:tcPr>
                <w:p>
                  <w:pPr>
                    <w:pStyle w:val="161"/>
                    <w:adjustRightInd/>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&gt;0.01</w:t>
                  </w:r>
                </w:p>
              </w:tc>
            </w:tr>
          </w:tbl>
          <w:p>
            <w:pPr>
              <w:spacing w:line="360" w:lineRule="auto"/>
              <w:rPr>
                <w:rFonts w:eastAsia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jc w:val="center"/>
        </w:trPr>
        <w:tc>
          <w:tcPr>
            <w:tcW w:w="447" w:type="dxa"/>
            <w:tcBorders>
              <w:bottom w:val="single" w:color="auto" w:sz="2" w:space="0"/>
            </w:tcBorders>
            <w:vAlign w:val="center"/>
          </w:tcPr>
          <w:p>
            <w:pPr>
              <w:adjustRightInd w:val="0"/>
              <w:snapToGrid w:val="0"/>
              <w:jc w:val="center"/>
              <w:rPr>
                <w:rFonts w:eastAsiaTheme="minorEastAsia"/>
                <w:b/>
                <w:color w:val="auto"/>
                <w:sz w:val="28"/>
                <w:szCs w:val="28"/>
              </w:rPr>
            </w:pPr>
            <w:r>
              <w:rPr>
                <w:rFonts w:eastAsiaTheme="minorEastAsia"/>
                <w:b/>
                <w:color w:val="auto"/>
                <w:sz w:val="24"/>
              </w:rPr>
              <w:t>总量控制指标</w:t>
            </w:r>
          </w:p>
        </w:tc>
        <w:tc>
          <w:tcPr>
            <w:tcW w:w="8500" w:type="dxa"/>
            <w:tcBorders>
              <w:bottom w:val="single" w:color="auto" w:sz="2" w:space="0"/>
            </w:tcBorders>
            <w:vAlign w:val="center"/>
          </w:tcPr>
          <w:p>
            <w:pPr>
              <w:adjustRightInd w:val="0"/>
              <w:snapToGrid w:val="0"/>
              <w:spacing w:line="360" w:lineRule="auto"/>
              <w:ind w:firstLine="544" w:firstLineChars="227"/>
              <w:rPr>
                <w:rFonts w:eastAsiaTheme="minorEastAsia"/>
                <w:color w:val="auto"/>
                <w:sz w:val="24"/>
              </w:rPr>
            </w:pPr>
            <w:r>
              <w:rPr>
                <w:rFonts w:eastAsiaTheme="minorEastAsia"/>
                <w:color w:val="auto"/>
                <w:sz w:val="24"/>
              </w:rPr>
              <w:t>本工程建成后</w:t>
            </w:r>
            <w:r>
              <w:rPr>
                <w:rFonts w:eastAsiaTheme="minorEastAsia"/>
                <w:bCs/>
                <w:color w:val="auto"/>
                <w:sz w:val="24"/>
                <w:szCs w:val="28"/>
              </w:rPr>
              <w:t>处理规模达到200m</w:t>
            </w:r>
            <w:r>
              <w:rPr>
                <w:rFonts w:eastAsiaTheme="minorEastAsia"/>
                <w:bCs/>
                <w:color w:val="auto"/>
                <w:sz w:val="24"/>
                <w:szCs w:val="28"/>
                <w:vertAlign w:val="superscript"/>
              </w:rPr>
              <w:t>3</w:t>
            </w:r>
            <w:r>
              <w:rPr>
                <w:rFonts w:eastAsiaTheme="minorEastAsia"/>
                <w:bCs/>
                <w:color w:val="auto"/>
                <w:sz w:val="24"/>
                <w:szCs w:val="28"/>
              </w:rPr>
              <w:t>/d，</w:t>
            </w:r>
            <w:r>
              <w:rPr>
                <w:rFonts w:eastAsiaTheme="minorEastAsia"/>
                <w:color w:val="auto"/>
                <w:sz w:val="24"/>
              </w:rPr>
              <w:t>CODcr和NH</w:t>
            </w:r>
            <w:r>
              <w:rPr>
                <w:rFonts w:eastAsiaTheme="minorEastAsia"/>
                <w:color w:val="auto"/>
                <w:sz w:val="24"/>
                <w:vertAlign w:val="subscript"/>
              </w:rPr>
              <w:t>3</w:t>
            </w:r>
            <w:r>
              <w:rPr>
                <w:rFonts w:eastAsiaTheme="minorEastAsia"/>
                <w:color w:val="auto"/>
                <w:sz w:val="24"/>
              </w:rPr>
              <w:t>-N最终处理达到《城镇污水处理厂污染物排放标准》（GB18918-2002）一级A标准后的排放量分别为3.65t/a、0.365t/a。</w:t>
            </w:r>
          </w:p>
        </w:tc>
      </w:tr>
    </w:tbl>
    <w:p>
      <w:pPr>
        <w:adjustRightInd w:val="0"/>
        <w:snapToGrid w:val="0"/>
        <w:spacing w:line="360" w:lineRule="auto"/>
        <w:rPr>
          <w:rFonts w:eastAsiaTheme="minorEastAsia"/>
          <w:b/>
          <w:color w:val="auto"/>
          <w:sz w:val="24"/>
        </w:rPr>
      </w:pPr>
    </w:p>
    <w:p>
      <w:pPr>
        <w:adjustRightInd w:val="0"/>
        <w:snapToGrid w:val="0"/>
        <w:spacing w:line="360" w:lineRule="auto"/>
        <w:rPr>
          <w:rFonts w:eastAsiaTheme="minorEastAsia"/>
          <w:b/>
          <w:color w:val="auto"/>
          <w:sz w:val="24"/>
        </w:rPr>
      </w:pPr>
    </w:p>
    <w:p>
      <w:pPr>
        <w:adjustRightInd w:val="0"/>
        <w:snapToGrid w:val="0"/>
        <w:spacing w:line="360" w:lineRule="auto"/>
        <w:rPr>
          <w:rFonts w:eastAsiaTheme="minorEastAsia"/>
          <w:b/>
          <w:color w:val="auto"/>
          <w:sz w:val="24"/>
        </w:rPr>
      </w:pPr>
    </w:p>
    <w:p>
      <w:pPr>
        <w:adjustRightInd w:val="0"/>
        <w:snapToGrid w:val="0"/>
        <w:spacing w:line="360" w:lineRule="auto"/>
        <w:rPr>
          <w:rFonts w:eastAsiaTheme="minorEastAsia"/>
          <w:b/>
          <w:color w:val="auto"/>
          <w:sz w:val="24"/>
        </w:rPr>
      </w:pPr>
      <w:r>
        <w:rPr>
          <w:rFonts w:eastAsiaTheme="minorEastAsia"/>
          <w:b/>
          <w:color w:val="auto"/>
          <w:sz w:val="24"/>
        </w:rPr>
        <w:t>建设项目工程分析</w:t>
      </w:r>
    </w:p>
    <w:tbl>
      <w:tblPr>
        <w:tblStyle w:val="39"/>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7" w:type="dxa"/>
          </w:tcPr>
          <w:p>
            <w:pPr>
              <w:adjustRightInd w:val="0"/>
              <w:snapToGrid w:val="0"/>
              <w:spacing w:line="360" w:lineRule="auto"/>
              <w:rPr>
                <w:rFonts w:eastAsiaTheme="minorEastAsia"/>
                <w:color w:val="auto"/>
                <w:sz w:val="24"/>
              </w:rPr>
            </w:pPr>
            <w:r>
              <w:rPr>
                <w:rFonts w:eastAsiaTheme="minorEastAsia"/>
                <w:b/>
                <w:color w:val="auto"/>
                <w:sz w:val="24"/>
              </w:rPr>
              <w:t>工艺流程及简述</w:t>
            </w:r>
            <w:r>
              <w:rPr>
                <w:rFonts w:eastAsiaTheme="minorEastAsia"/>
                <w:color w:val="auto"/>
                <w:sz w:val="24"/>
              </w:rPr>
              <w:t>：</w:t>
            </w:r>
          </w:p>
          <w:p>
            <w:pPr>
              <w:adjustRightInd w:val="0"/>
              <w:snapToGrid w:val="0"/>
              <w:spacing w:line="360" w:lineRule="auto"/>
              <w:ind w:firstLine="482" w:firstLineChars="200"/>
              <w:rPr>
                <w:rFonts w:eastAsiaTheme="minorEastAsia"/>
                <w:b/>
                <w:color w:val="auto"/>
                <w:sz w:val="24"/>
              </w:rPr>
            </w:pPr>
            <w:r>
              <w:rPr>
                <w:rFonts w:eastAsiaTheme="minorEastAsia"/>
                <w:b/>
                <w:color w:val="auto"/>
                <w:sz w:val="24"/>
              </w:rPr>
              <w:t>1、施工期工程分析</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本项目施工分为污水处理厂施工和管网敷设施工。</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⑴</w:t>
            </w:r>
            <w:r>
              <w:rPr>
                <w:rFonts w:eastAsiaTheme="minorEastAsia"/>
                <w:color w:val="auto"/>
                <w:sz w:val="24"/>
              </w:rPr>
              <w:t>污水处理厂施工</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本项目污水处理厂建设过程可分为前期准备、建筑施工和建成运行三个阶段，前期准备阶段主要为施工前期做准备，主要为厂址必选，地质勘探，方案工程设计，施工阶段主要为场地平整、基础工程，主体工程及装饰工程和辅助工程，</w:t>
            </w:r>
            <w:r>
              <w:rPr>
                <w:rFonts w:hint="eastAsia" w:eastAsiaTheme="minorEastAsia"/>
                <w:color w:val="auto"/>
                <w:sz w:val="24"/>
                <w:lang w:val="en-US" w:eastAsia="zh-CN"/>
              </w:rPr>
              <w:t>竣工</w:t>
            </w:r>
            <w:bookmarkStart w:id="18" w:name="_GoBack"/>
            <w:bookmarkEnd w:id="18"/>
            <w:r>
              <w:rPr>
                <w:rFonts w:eastAsiaTheme="minorEastAsia"/>
                <w:color w:val="auto"/>
                <w:sz w:val="24"/>
              </w:rPr>
              <w:t>验收施工期结束，进入运营期。项目施工期工艺流程图见图16。</w:t>
            </w:r>
          </w:p>
          <w:p>
            <w:pPr>
              <w:adjustRightInd w:val="0"/>
              <w:snapToGrid w:val="0"/>
              <w:spacing w:line="360" w:lineRule="auto"/>
              <w:rPr>
                <w:rFonts w:eastAsiaTheme="minorEastAsia"/>
                <w:color w:val="auto"/>
                <w:sz w:val="24"/>
              </w:rPr>
            </w:pPr>
            <w:r>
              <w:rPr>
                <w:rFonts w:eastAsiaTheme="minorEastAsia"/>
                <w:color w:val="auto"/>
              </w:rPr>
              <w:object>
                <v:shape id="_x0000_i1025" o:spt="75" type="#_x0000_t75" style="height:368.15pt;width:414.35pt;" o:ole="t" filled="f" o:preferrelative="t" stroked="f" coordsize="21600,21600">
                  <v:path/>
                  <v:fill on="f" focussize="0,0"/>
                  <v:stroke on="f" joinstyle="miter"/>
                  <v:imagedata r:id="rId14" o:title=""/>
                  <o:lock v:ext="edit" aspectratio="t"/>
                  <w10:wrap type="none"/>
                  <w10:anchorlock/>
                </v:shape>
                <o:OLEObject Type="Embed" ProgID="Visio.Drawing.11" ShapeID="_x0000_i1025" DrawAspect="Content" ObjectID="_1468075725" r:id="rId13">
                  <o:LockedField>false</o:LockedField>
                </o:OLEObject>
              </w:object>
            </w:r>
          </w:p>
          <w:p>
            <w:pPr>
              <w:adjustRightInd w:val="0"/>
              <w:snapToGrid w:val="0"/>
              <w:spacing w:line="360" w:lineRule="auto"/>
              <w:ind w:firstLine="482" w:firstLineChars="200"/>
              <w:jc w:val="center"/>
              <w:rPr>
                <w:rFonts w:eastAsiaTheme="minorEastAsia"/>
                <w:b/>
                <w:color w:val="auto"/>
                <w:sz w:val="24"/>
              </w:rPr>
            </w:pPr>
            <w:r>
              <w:rPr>
                <w:rFonts w:eastAsiaTheme="minorEastAsia"/>
                <w:b/>
                <w:color w:val="auto"/>
                <w:sz w:val="24"/>
              </w:rPr>
              <w:t>图16项目施工期主要污染工序</w:t>
            </w:r>
          </w:p>
          <w:p>
            <w:pPr>
              <w:adjustRightInd w:val="0"/>
              <w:snapToGrid w:val="0"/>
              <w:spacing w:line="360" w:lineRule="auto"/>
              <w:ind w:firstLine="470" w:firstLineChars="196"/>
              <w:rPr>
                <w:rFonts w:eastAsiaTheme="minorEastAsia"/>
                <w:bCs/>
                <w:color w:val="auto"/>
                <w:sz w:val="24"/>
              </w:rPr>
            </w:pPr>
            <w:r>
              <w:rPr>
                <w:rFonts w:hint="eastAsia" w:ascii="宋体" w:hAnsi="宋体" w:cs="宋体"/>
                <w:bCs/>
                <w:color w:val="auto"/>
                <w:sz w:val="24"/>
              </w:rPr>
              <w:t>⑵</w:t>
            </w:r>
            <w:r>
              <w:rPr>
                <w:rFonts w:eastAsiaTheme="minorEastAsia"/>
                <w:bCs/>
                <w:color w:val="auto"/>
                <w:sz w:val="24"/>
              </w:rPr>
              <w:t>管网敷设施工流程及产污环节图见图15。</w:t>
            </w:r>
          </w:p>
          <w:p>
            <w:pPr>
              <w:adjustRightInd w:val="0"/>
              <w:snapToGrid w:val="0"/>
              <w:spacing w:line="360" w:lineRule="auto"/>
              <w:jc w:val="center"/>
              <w:rPr>
                <w:rFonts w:eastAsiaTheme="minorEastAsia"/>
                <w:color w:val="auto"/>
              </w:rPr>
            </w:pPr>
            <w:r>
              <w:rPr>
                <w:rFonts w:eastAsiaTheme="minorEastAsia"/>
                <w:color w:val="auto"/>
              </w:rPr>
              <w:object>
                <v:shape id="_x0000_i1026" o:spt="75" type="#_x0000_t75" style="height:118.85pt;width:285.3pt;" o:ole="t" filled="f" o:preferrelative="t" stroked="f" coordsize="21600,21600">
                  <v:path/>
                  <v:fill on="f" focussize="0,0"/>
                  <v:stroke on="f" joinstyle="miter"/>
                  <v:imagedata r:id="rId16" o:title=""/>
                  <o:lock v:ext="edit" aspectratio="t"/>
                  <w10:wrap type="none"/>
                  <w10:anchorlock/>
                </v:shape>
                <o:OLEObject Type="Embed" ProgID="Visio.Drawing.11" ShapeID="_x0000_i1026" DrawAspect="Content" ObjectID="_1468075726" r:id="rId15">
                  <o:LockedField>false</o:LockedField>
                </o:OLEObject>
              </w:object>
            </w:r>
          </w:p>
          <w:p>
            <w:pPr>
              <w:adjustRightInd w:val="0"/>
              <w:snapToGrid w:val="0"/>
              <w:spacing w:line="360" w:lineRule="auto"/>
              <w:jc w:val="center"/>
              <w:rPr>
                <w:rFonts w:eastAsiaTheme="minorEastAsia"/>
                <w:b/>
                <w:bCs/>
                <w:color w:val="auto"/>
                <w:sz w:val="24"/>
              </w:rPr>
            </w:pPr>
            <w:r>
              <w:rPr>
                <w:rFonts w:eastAsiaTheme="minorEastAsia"/>
                <w:b/>
                <w:bCs/>
                <w:color w:val="auto"/>
                <w:sz w:val="24"/>
              </w:rPr>
              <w:t>图17项目管网施工工艺流程及产污节点图</w:t>
            </w:r>
          </w:p>
          <w:p>
            <w:pPr>
              <w:adjustRightInd w:val="0"/>
              <w:snapToGrid w:val="0"/>
              <w:spacing w:line="360" w:lineRule="auto"/>
              <w:ind w:firstLine="472" w:firstLineChars="196"/>
              <w:rPr>
                <w:rFonts w:eastAsiaTheme="minorEastAsia"/>
                <w:b/>
                <w:bCs/>
                <w:color w:val="auto"/>
                <w:sz w:val="24"/>
              </w:rPr>
            </w:pPr>
            <w:r>
              <w:rPr>
                <w:rFonts w:eastAsiaTheme="minorEastAsia"/>
                <w:b/>
                <w:bCs/>
                <w:color w:val="auto"/>
                <w:sz w:val="24"/>
              </w:rPr>
              <w:t>1.1 主要污染工序及产污因子</w:t>
            </w:r>
          </w:p>
          <w:p>
            <w:pPr>
              <w:pStyle w:val="168"/>
              <w:adjustRightInd w:val="0"/>
              <w:snapToGrid w:val="0"/>
              <w:spacing w:line="360" w:lineRule="auto"/>
              <w:ind w:firstLine="480"/>
              <w:rPr>
                <w:rFonts w:eastAsiaTheme="minorEastAsia"/>
                <w:color w:val="auto"/>
                <w:sz w:val="24"/>
              </w:rPr>
            </w:pPr>
            <w:r>
              <w:rPr>
                <w:rFonts w:hint="eastAsia" w:ascii="宋体" w:hAnsi="宋体" w:cs="宋体"/>
                <w:color w:val="auto"/>
                <w:sz w:val="24"/>
              </w:rPr>
              <w:t>⑴</w:t>
            </w:r>
            <w:r>
              <w:rPr>
                <w:rFonts w:eastAsiaTheme="minorEastAsia"/>
                <w:color w:val="auto"/>
                <w:sz w:val="24"/>
              </w:rPr>
              <w:t>废水：主要为施工人员产生的生活污水以及施工废水。</w:t>
            </w:r>
          </w:p>
          <w:p>
            <w:pPr>
              <w:pStyle w:val="168"/>
              <w:adjustRightInd w:val="0"/>
              <w:snapToGrid w:val="0"/>
              <w:spacing w:line="360" w:lineRule="auto"/>
              <w:ind w:firstLine="480"/>
              <w:rPr>
                <w:rFonts w:eastAsiaTheme="minorEastAsia"/>
                <w:color w:val="auto"/>
                <w:sz w:val="24"/>
              </w:rPr>
            </w:pPr>
            <w:r>
              <w:rPr>
                <w:rFonts w:hint="eastAsia" w:ascii="宋体" w:hAnsi="宋体" w:cs="宋体"/>
                <w:color w:val="auto"/>
                <w:sz w:val="24"/>
              </w:rPr>
              <w:t>⑵</w:t>
            </w:r>
            <w:r>
              <w:rPr>
                <w:rFonts w:eastAsiaTheme="minorEastAsia"/>
                <w:color w:val="auto"/>
                <w:sz w:val="24"/>
              </w:rPr>
              <w:t>废气：主要为施工扬尘和施工机械尾气。</w:t>
            </w:r>
          </w:p>
          <w:p>
            <w:pPr>
              <w:pStyle w:val="168"/>
              <w:adjustRightInd w:val="0"/>
              <w:snapToGrid w:val="0"/>
              <w:spacing w:line="360" w:lineRule="auto"/>
              <w:ind w:firstLine="480"/>
              <w:rPr>
                <w:rFonts w:eastAsiaTheme="minorEastAsia"/>
                <w:color w:val="auto"/>
                <w:sz w:val="24"/>
              </w:rPr>
            </w:pPr>
            <w:r>
              <w:rPr>
                <w:rFonts w:hint="eastAsia" w:ascii="宋体" w:hAnsi="宋体" w:cs="宋体"/>
                <w:color w:val="auto"/>
                <w:sz w:val="24"/>
              </w:rPr>
              <w:t>⑶</w:t>
            </w:r>
            <w:r>
              <w:rPr>
                <w:rFonts w:eastAsiaTheme="minorEastAsia"/>
                <w:color w:val="auto"/>
                <w:sz w:val="24"/>
              </w:rPr>
              <w:t>噪声：主要包括机械噪声、施工作业噪声和车辆运输噪声。</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⑷</w:t>
            </w:r>
            <w:r>
              <w:rPr>
                <w:rFonts w:eastAsiaTheme="minorEastAsia"/>
                <w:color w:val="auto"/>
                <w:sz w:val="24"/>
              </w:rPr>
              <w:t>固废：主要为施工人员产生的生活垃圾、以及建筑垃圾。</w:t>
            </w:r>
          </w:p>
          <w:p>
            <w:pPr>
              <w:adjustRightInd w:val="0"/>
              <w:snapToGrid w:val="0"/>
              <w:spacing w:line="360" w:lineRule="auto"/>
              <w:ind w:firstLine="472" w:firstLineChars="196"/>
              <w:rPr>
                <w:rFonts w:eastAsiaTheme="minorEastAsia"/>
                <w:b/>
                <w:bCs/>
                <w:color w:val="auto"/>
                <w:sz w:val="24"/>
              </w:rPr>
            </w:pPr>
            <w:r>
              <w:rPr>
                <w:rFonts w:eastAsiaTheme="minorEastAsia"/>
                <w:b/>
                <w:bCs/>
                <w:color w:val="auto"/>
                <w:sz w:val="24"/>
              </w:rPr>
              <w:t>1.2 施工期污染源</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1.2.1废气</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施工期空气污染源主要为施工扬尘、施工机械尾气以及施工装修废气等。</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①</w:t>
            </w:r>
            <w:r>
              <w:rPr>
                <w:rFonts w:eastAsiaTheme="minorEastAsia"/>
                <w:color w:val="auto"/>
                <w:sz w:val="24"/>
              </w:rPr>
              <w:t>施工扬尘</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在整个施工阶段，工地的扬尘主要是作业扬尘，如地面料场的风吹扬尘，汽车行驶的扬尘等。扬尘的排放与施工场地的面积、施工活动的频率、土壤泥沙颗粒含量成正比，还与当地气象条件如风速、湿度、日照等有关。</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根据类比调查，混凝土搅拌产生的粉尘浓度较高，料堆风吹扬尘也比较严重，起尘量与风速、含水量有关。因此，减少露天堆放，保证一定的含水量及减少裸露地面是减少风力起尘的有效手段。</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汽车行驶引起的道路扬尘约占扬尘总量的60%。据资料介绍，如果对汽车行驶路面只洒水不清扫，抑尘率达70~80%，若清扫后洒水，抑尘率达90%。当施工场地洒水频率为4~5次/天时，扬尘的影响距离可控制在20~50m范围内。</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②</w:t>
            </w:r>
            <w:r>
              <w:rPr>
                <w:rFonts w:eastAsiaTheme="minorEastAsia"/>
                <w:color w:val="auto"/>
                <w:sz w:val="24"/>
              </w:rPr>
              <w:t>施工机械废气</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根据相关资料可知，一台施工机械的工作耗油量为22.2kg/h，大气污染物排放量：CO为627g/h，NO</w:t>
            </w:r>
            <w:r>
              <w:rPr>
                <w:rFonts w:eastAsiaTheme="minorEastAsia"/>
                <w:color w:val="auto"/>
                <w:sz w:val="24"/>
                <w:vertAlign w:val="subscript"/>
              </w:rPr>
              <w:t>x</w:t>
            </w:r>
            <w:r>
              <w:rPr>
                <w:rFonts w:eastAsiaTheme="minorEastAsia"/>
                <w:color w:val="auto"/>
                <w:sz w:val="24"/>
              </w:rPr>
              <w:t>为905g/h，有机废气为193g/h。工程建设过程中施工机械为2台，每天轮流工作共计2h，则耗油量88.8kg/d，污染物产生量：CO为2.51kg/d，NO</w:t>
            </w:r>
            <w:r>
              <w:rPr>
                <w:rFonts w:eastAsiaTheme="minorEastAsia"/>
                <w:color w:val="auto"/>
                <w:sz w:val="24"/>
                <w:vertAlign w:val="subscript"/>
              </w:rPr>
              <w:t>x</w:t>
            </w:r>
            <w:r>
              <w:rPr>
                <w:rFonts w:eastAsiaTheme="minorEastAsia"/>
                <w:color w:val="auto"/>
                <w:sz w:val="24"/>
              </w:rPr>
              <w:t>为3.62kg/d，有机废气为0.772kg/d，可能会对近距离环境造成一定的影响。</w:t>
            </w:r>
          </w:p>
          <w:p>
            <w:pPr>
              <w:pStyle w:val="119"/>
              <w:adjustRightInd w:val="0"/>
              <w:snapToGrid w:val="0"/>
              <w:rPr>
                <w:rFonts w:hAnsi="Times New Roman" w:cs="Times New Roman" w:eastAsiaTheme="minorEastAsia"/>
                <w:color w:val="auto"/>
              </w:rPr>
            </w:pPr>
            <w:r>
              <w:rPr>
                <w:rFonts w:hint="eastAsia" w:ascii="宋体"/>
                <w:color w:val="auto"/>
              </w:rPr>
              <w:t>③</w:t>
            </w:r>
            <w:r>
              <w:rPr>
                <w:rFonts w:hAnsi="Times New Roman" w:cs="Times New Roman" w:eastAsiaTheme="minorEastAsia"/>
                <w:color w:val="auto"/>
              </w:rPr>
              <w:t>装修废气</w:t>
            </w:r>
          </w:p>
          <w:p>
            <w:pPr>
              <w:pStyle w:val="119"/>
              <w:adjustRightInd w:val="0"/>
              <w:snapToGrid w:val="0"/>
              <w:rPr>
                <w:rFonts w:hAnsi="Times New Roman" w:cs="Times New Roman" w:eastAsiaTheme="minorEastAsia"/>
                <w:color w:val="auto"/>
              </w:rPr>
            </w:pPr>
            <w:r>
              <w:rPr>
                <w:rFonts w:hAnsi="Times New Roman" w:cs="Times New Roman" w:eastAsiaTheme="minorEastAsia"/>
                <w:color w:val="auto"/>
              </w:rPr>
              <w:t>项目主体工程施工结束后，需对所建楼体进行装修。室内装修过程中，废气主要来源于装修所使用的油漆、胶、石材、地砖、木材等材料。废气中的有害物质主要是甲醛、苯等物质，对环境的危害较大。装饰工程中废气排放情况取决于所选的装修材料。</w:t>
            </w:r>
          </w:p>
          <w:p>
            <w:pPr>
              <w:widowControl/>
              <w:adjustRightInd w:val="0"/>
              <w:snapToGrid w:val="0"/>
              <w:spacing w:line="360" w:lineRule="auto"/>
              <w:ind w:firstLine="480" w:firstLineChars="200"/>
              <w:rPr>
                <w:rFonts w:eastAsiaTheme="minorEastAsia"/>
                <w:bCs/>
                <w:color w:val="auto"/>
                <w:sz w:val="24"/>
              </w:rPr>
            </w:pPr>
            <w:r>
              <w:rPr>
                <w:rFonts w:eastAsiaTheme="minorEastAsia"/>
                <w:bCs/>
                <w:color w:val="auto"/>
                <w:sz w:val="24"/>
              </w:rPr>
              <w:t>1.2.2废水</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本工程施工期废水主要为施工人员产生的生活污水以及施工废水。</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①</w:t>
            </w:r>
            <w:r>
              <w:rPr>
                <w:rFonts w:eastAsiaTheme="minorEastAsia"/>
                <w:color w:val="auto"/>
                <w:sz w:val="24"/>
              </w:rPr>
              <w:t>生活污水</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不同阶段施工人数不同，平均施工人员约10人/d，用水量按50L/人·d计，排污系数以0.8计，建设期为7个月（210d），则产生生活污水0.4m</w:t>
            </w:r>
            <w:r>
              <w:rPr>
                <w:rFonts w:eastAsiaTheme="minorEastAsia"/>
                <w:color w:val="auto"/>
                <w:sz w:val="24"/>
                <w:vertAlign w:val="superscript"/>
              </w:rPr>
              <w:t>3</w:t>
            </w:r>
            <w:r>
              <w:rPr>
                <w:rFonts w:eastAsiaTheme="minorEastAsia"/>
                <w:color w:val="auto"/>
                <w:sz w:val="24"/>
              </w:rPr>
              <w:t>/d，整个施工期生活污水量共计84m</w:t>
            </w:r>
            <w:r>
              <w:rPr>
                <w:rFonts w:eastAsiaTheme="minorEastAsia"/>
                <w:color w:val="auto"/>
                <w:sz w:val="24"/>
                <w:vertAlign w:val="superscript"/>
              </w:rPr>
              <w:t>3</w:t>
            </w:r>
            <w:r>
              <w:rPr>
                <w:rFonts w:eastAsiaTheme="minorEastAsia"/>
                <w:color w:val="auto"/>
                <w:sz w:val="24"/>
              </w:rPr>
              <w:t>。生活污水一般水质为COD400mg/L、BOD</w:t>
            </w:r>
            <w:r>
              <w:rPr>
                <w:rFonts w:eastAsiaTheme="minorEastAsia"/>
                <w:color w:val="auto"/>
                <w:sz w:val="24"/>
                <w:vertAlign w:val="subscript"/>
              </w:rPr>
              <w:t>5</w:t>
            </w:r>
            <w:r>
              <w:rPr>
                <w:rFonts w:eastAsiaTheme="minorEastAsia"/>
                <w:color w:val="auto"/>
                <w:sz w:val="24"/>
              </w:rPr>
              <w:t>200mg/L、氨氮40mg/L，则共产生COD0.0335t、BOD</w:t>
            </w:r>
            <w:r>
              <w:rPr>
                <w:rFonts w:eastAsiaTheme="minorEastAsia"/>
                <w:color w:val="auto"/>
                <w:sz w:val="24"/>
                <w:vertAlign w:val="subscript"/>
              </w:rPr>
              <w:t>5</w:t>
            </w:r>
            <w:r>
              <w:rPr>
                <w:rFonts w:eastAsiaTheme="minorEastAsia"/>
                <w:color w:val="auto"/>
                <w:sz w:val="24"/>
              </w:rPr>
              <w:t>0.017t、氨氮0.0035t。</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②</w:t>
            </w:r>
            <w:r>
              <w:rPr>
                <w:rFonts w:eastAsiaTheme="minorEastAsia"/>
                <w:color w:val="auto"/>
                <w:sz w:val="24"/>
              </w:rPr>
              <w:t>施工废水</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本工程施工废水主要污染因子为SS，其SS浓度约为1500~2000mg/L。施工过程中对泥浆废水进行沉淀澄清处理后回用。</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1.2.3噪声</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施工期噪声主要包括机械噪声、施工作业噪声和车辆运输噪声。主体工程施工建设过程主要分土石方工程阶段、基础施工阶段、结构施工阶段，各阶段的主要噪声源不同，因而噪声值不同。土石方工程阶段主要噪声源为装载机及各种运输车辆；基础施工主要噪声源为移动式空压机、打夯机等；结构施工阶段是建筑施工周期最长的阶段，使用的设备主要有各种运输设备、结构工程设备及一些辅助设备。</w:t>
            </w:r>
          </w:p>
          <w:p>
            <w:pPr>
              <w:widowControl/>
              <w:adjustRightInd w:val="0"/>
              <w:snapToGrid w:val="0"/>
              <w:spacing w:line="360" w:lineRule="auto"/>
              <w:ind w:firstLine="480" w:firstLineChars="200"/>
              <w:jc w:val="left"/>
              <w:rPr>
                <w:rFonts w:eastAsiaTheme="minorEastAsia"/>
                <w:bCs/>
                <w:color w:val="auto"/>
                <w:sz w:val="24"/>
              </w:rPr>
            </w:pPr>
            <w:r>
              <w:rPr>
                <w:rFonts w:eastAsiaTheme="minorEastAsia"/>
                <w:bCs/>
                <w:color w:val="auto"/>
                <w:sz w:val="24"/>
              </w:rPr>
              <w:t>根据本工程特点，施工时常用的施工设备及其噪声声压级见表47。</w:t>
            </w:r>
          </w:p>
          <w:p>
            <w:pPr>
              <w:widowControl/>
              <w:adjustRightInd w:val="0"/>
              <w:snapToGrid w:val="0"/>
              <w:spacing w:line="360" w:lineRule="auto"/>
              <w:ind w:firstLine="482" w:firstLineChars="200"/>
              <w:jc w:val="center"/>
              <w:rPr>
                <w:rFonts w:eastAsiaTheme="minorEastAsia"/>
                <w:b/>
                <w:bCs/>
                <w:color w:val="auto"/>
                <w:sz w:val="24"/>
              </w:rPr>
            </w:pPr>
            <w:r>
              <w:rPr>
                <w:rFonts w:eastAsiaTheme="minorEastAsia"/>
                <w:b/>
                <w:bCs/>
                <w:color w:val="auto"/>
                <w:sz w:val="24"/>
              </w:rPr>
              <w:t>表47主要施工噪声源强</w:t>
            </w:r>
          </w:p>
          <w:tbl>
            <w:tblPr>
              <w:tblStyle w:val="38"/>
              <w:tblW w:w="8731"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3"/>
              <w:gridCol w:w="2842"/>
              <w:gridCol w:w="380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2083" w:type="dxa"/>
                  <w:vAlign w:val="center"/>
                </w:tcPr>
                <w:p>
                  <w:pPr>
                    <w:snapToGrid w:val="0"/>
                    <w:jc w:val="center"/>
                    <w:rPr>
                      <w:rFonts w:eastAsiaTheme="minorEastAsia"/>
                      <w:bCs/>
                      <w:color w:val="auto"/>
                      <w:szCs w:val="21"/>
                    </w:rPr>
                  </w:pPr>
                  <w:r>
                    <w:rPr>
                      <w:rFonts w:eastAsiaTheme="minorEastAsia"/>
                      <w:bCs/>
                      <w:color w:val="auto"/>
                      <w:szCs w:val="21"/>
                    </w:rPr>
                    <w:t>施工阶段</w:t>
                  </w:r>
                </w:p>
              </w:tc>
              <w:tc>
                <w:tcPr>
                  <w:tcW w:w="2842" w:type="dxa"/>
                  <w:vAlign w:val="center"/>
                </w:tcPr>
                <w:p>
                  <w:pPr>
                    <w:snapToGrid w:val="0"/>
                    <w:jc w:val="center"/>
                    <w:rPr>
                      <w:rFonts w:eastAsiaTheme="minorEastAsia"/>
                      <w:bCs/>
                      <w:color w:val="auto"/>
                      <w:szCs w:val="21"/>
                    </w:rPr>
                  </w:pPr>
                  <w:r>
                    <w:rPr>
                      <w:rFonts w:eastAsiaTheme="minorEastAsia"/>
                      <w:bCs/>
                      <w:color w:val="auto"/>
                      <w:szCs w:val="21"/>
                    </w:rPr>
                    <w:t>噪声源</w:t>
                  </w:r>
                </w:p>
              </w:tc>
              <w:tc>
                <w:tcPr>
                  <w:tcW w:w="3806" w:type="dxa"/>
                  <w:vAlign w:val="center"/>
                </w:tcPr>
                <w:p>
                  <w:pPr>
                    <w:snapToGrid w:val="0"/>
                    <w:jc w:val="center"/>
                    <w:rPr>
                      <w:rFonts w:eastAsiaTheme="minorEastAsia"/>
                      <w:bCs/>
                      <w:color w:val="auto"/>
                      <w:szCs w:val="21"/>
                    </w:rPr>
                  </w:pPr>
                  <w:r>
                    <w:rPr>
                      <w:rFonts w:eastAsiaTheme="minorEastAsia"/>
                      <w:bCs/>
                      <w:color w:val="auto"/>
                      <w:szCs w:val="21"/>
                    </w:rPr>
                    <w:t>噪声值（dB（A））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9" w:hRule="atLeast"/>
                <w:jc w:val="center"/>
              </w:trPr>
              <w:tc>
                <w:tcPr>
                  <w:tcW w:w="2083" w:type="dxa"/>
                  <w:vAlign w:val="center"/>
                </w:tcPr>
                <w:p>
                  <w:pPr>
                    <w:snapToGrid w:val="0"/>
                    <w:jc w:val="center"/>
                    <w:rPr>
                      <w:rFonts w:eastAsiaTheme="minorEastAsia"/>
                      <w:bCs/>
                      <w:color w:val="auto"/>
                      <w:szCs w:val="21"/>
                    </w:rPr>
                  </w:pPr>
                  <w:r>
                    <w:rPr>
                      <w:rFonts w:eastAsiaTheme="minorEastAsia"/>
                      <w:bCs/>
                      <w:color w:val="auto"/>
                      <w:szCs w:val="21"/>
                    </w:rPr>
                    <w:t>土石方</w:t>
                  </w:r>
                </w:p>
              </w:tc>
              <w:tc>
                <w:tcPr>
                  <w:tcW w:w="2842" w:type="dxa"/>
                  <w:vAlign w:val="center"/>
                </w:tcPr>
                <w:p>
                  <w:pPr>
                    <w:snapToGrid w:val="0"/>
                    <w:jc w:val="center"/>
                    <w:rPr>
                      <w:rFonts w:eastAsiaTheme="minorEastAsia"/>
                      <w:bCs/>
                      <w:color w:val="auto"/>
                      <w:szCs w:val="21"/>
                    </w:rPr>
                  </w:pPr>
                  <w:r>
                    <w:rPr>
                      <w:rFonts w:eastAsiaTheme="minorEastAsia"/>
                      <w:bCs/>
                      <w:color w:val="auto"/>
                      <w:szCs w:val="21"/>
                    </w:rPr>
                    <w:t>重型运输车</w:t>
                  </w:r>
                </w:p>
              </w:tc>
              <w:tc>
                <w:tcPr>
                  <w:tcW w:w="3806" w:type="dxa"/>
                  <w:vAlign w:val="center"/>
                </w:tcPr>
                <w:p>
                  <w:pPr>
                    <w:snapToGrid w:val="0"/>
                    <w:jc w:val="center"/>
                    <w:rPr>
                      <w:rFonts w:eastAsiaTheme="minorEastAsia"/>
                      <w:bCs/>
                      <w:color w:val="auto"/>
                      <w:szCs w:val="21"/>
                    </w:rPr>
                  </w:pPr>
                  <w:r>
                    <w:rPr>
                      <w:rFonts w:eastAsiaTheme="minorEastAsia"/>
                      <w:bCs/>
                      <w:color w:val="auto"/>
                      <w:szCs w:val="21"/>
                    </w:rPr>
                    <w:t>82~90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2083" w:type="dxa"/>
                  <w:vAlign w:val="center"/>
                </w:tcPr>
                <w:p>
                  <w:pPr>
                    <w:snapToGrid w:val="0"/>
                    <w:jc w:val="center"/>
                    <w:rPr>
                      <w:rFonts w:eastAsiaTheme="minorEastAsia"/>
                      <w:bCs/>
                      <w:color w:val="auto"/>
                      <w:szCs w:val="21"/>
                    </w:rPr>
                  </w:pPr>
                  <w:r>
                    <w:rPr>
                      <w:rFonts w:eastAsiaTheme="minorEastAsia"/>
                      <w:bCs/>
                      <w:color w:val="auto"/>
                      <w:szCs w:val="21"/>
                    </w:rPr>
                    <w:t>基础</w:t>
                  </w:r>
                </w:p>
              </w:tc>
              <w:tc>
                <w:tcPr>
                  <w:tcW w:w="2842" w:type="dxa"/>
                  <w:vAlign w:val="center"/>
                </w:tcPr>
                <w:p>
                  <w:pPr>
                    <w:autoSpaceDE w:val="0"/>
                    <w:autoSpaceDN w:val="0"/>
                    <w:adjustRightInd w:val="0"/>
                    <w:jc w:val="center"/>
                    <w:rPr>
                      <w:rFonts w:eastAsiaTheme="minorEastAsia"/>
                      <w:color w:val="auto"/>
                      <w:kern w:val="0"/>
                      <w:sz w:val="24"/>
                    </w:rPr>
                  </w:pPr>
                  <w:r>
                    <w:rPr>
                      <w:rFonts w:eastAsiaTheme="minorEastAsia"/>
                      <w:color w:val="auto"/>
                      <w:kern w:val="0"/>
                      <w:szCs w:val="21"/>
                    </w:rPr>
                    <w:t>移动式空压机</w:t>
                  </w:r>
                </w:p>
              </w:tc>
              <w:tc>
                <w:tcPr>
                  <w:tcW w:w="3806" w:type="dxa"/>
                  <w:vAlign w:val="center"/>
                </w:tcPr>
                <w:p>
                  <w:pPr>
                    <w:snapToGrid w:val="0"/>
                    <w:jc w:val="center"/>
                    <w:rPr>
                      <w:rFonts w:eastAsiaTheme="minorEastAsia"/>
                      <w:bCs/>
                      <w:color w:val="auto"/>
                      <w:szCs w:val="21"/>
                    </w:rPr>
                  </w:pPr>
                  <w:r>
                    <w:rPr>
                      <w:rFonts w:eastAsiaTheme="minorEastAsia"/>
                      <w:bCs/>
                      <w:color w:val="auto"/>
                      <w:szCs w:val="21"/>
                    </w:rPr>
                    <w:t>88~92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9" w:hRule="atLeast"/>
                <w:jc w:val="center"/>
              </w:trPr>
              <w:tc>
                <w:tcPr>
                  <w:tcW w:w="2083" w:type="dxa"/>
                  <w:vMerge w:val="restart"/>
                  <w:vAlign w:val="center"/>
                </w:tcPr>
                <w:p>
                  <w:pPr>
                    <w:snapToGrid w:val="0"/>
                    <w:jc w:val="center"/>
                    <w:rPr>
                      <w:rFonts w:eastAsiaTheme="minorEastAsia"/>
                      <w:bCs/>
                      <w:color w:val="auto"/>
                      <w:szCs w:val="21"/>
                    </w:rPr>
                  </w:pPr>
                  <w:r>
                    <w:rPr>
                      <w:rFonts w:eastAsiaTheme="minorEastAsia"/>
                      <w:bCs/>
                      <w:color w:val="auto"/>
                      <w:szCs w:val="21"/>
                    </w:rPr>
                    <w:t>结构</w:t>
                  </w:r>
                </w:p>
              </w:tc>
              <w:tc>
                <w:tcPr>
                  <w:tcW w:w="2842" w:type="dxa"/>
                  <w:vAlign w:val="center"/>
                </w:tcPr>
                <w:p>
                  <w:pPr>
                    <w:snapToGrid w:val="0"/>
                    <w:jc w:val="center"/>
                    <w:rPr>
                      <w:rFonts w:eastAsiaTheme="minorEastAsia"/>
                      <w:bCs/>
                      <w:color w:val="auto"/>
                      <w:szCs w:val="21"/>
                    </w:rPr>
                  </w:pPr>
                  <w:r>
                    <w:rPr>
                      <w:rFonts w:eastAsiaTheme="minorEastAsia"/>
                      <w:bCs/>
                      <w:color w:val="auto"/>
                      <w:szCs w:val="21"/>
                    </w:rPr>
                    <w:t>混凝土振捣器</w:t>
                  </w:r>
                </w:p>
              </w:tc>
              <w:tc>
                <w:tcPr>
                  <w:tcW w:w="3806" w:type="dxa"/>
                  <w:vAlign w:val="center"/>
                </w:tcPr>
                <w:p>
                  <w:pPr>
                    <w:snapToGrid w:val="0"/>
                    <w:jc w:val="center"/>
                    <w:rPr>
                      <w:rFonts w:eastAsiaTheme="minorEastAsia"/>
                      <w:bCs/>
                      <w:color w:val="auto"/>
                      <w:szCs w:val="21"/>
                    </w:rPr>
                  </w:pPr>
                  <w:r>
                    <w:rPr>
                      <w:rFonts w:eastAsiaTheme="minorEastAsia"/>
                      <w:bCs/>
                      <w:color w:val="auto"/>
                      <w:szCs w:val="21"/>
                    </w:rPr>
                    <w:t>85~90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9" w:hRule="atLeast"/>
                <w:jc w:val="center"/>
              </w:trPr>
              <w:tc>
                <w:tcPr>
                  <w:tcW w:w="2083" w:type="dxa"/>
                  <w:vMerge w:val="continue"/>
                  <w:vAlign w:val="center"/>
                </w:tcPr>
                <w:p>
                  <w:pPr>
                    <w:snapToGrid w:val="0"/>
                    <w:jc w:val="center"/>
                    <w:rPr>
                      <w:rFonts w:eastAsiaTheme="minorEastAsia"/>
                      <w:bCs/>
                      <w:color w:val="auto"/>
                      <w:szCs w:val="21"/>
                    </w:rPr>
                  </w:pPr>
                </w:p>
              </w:tc>
              <w:tc>
                <w:tcPr>
                  <w:tcW w:w="2842" w:type="dxa"/>
                  <w:vAlign w:val="center"/>
                </w:tcPr>
                <w:p>
                  <w:pPr>
                    <w:snapToGrid w:val="0"/>
                    <w:jc w:val="center"/>
                    <w:rPr>
                      <w:rFonts w:eastAsiaTheme="minorEastAsia"/>
                      <w:bCs/>
                      <w:color w:val="auto"/>
                      <w:szCs w:val="21"/>
                    </w:rPr>
                  </w:pPr>
                  <w:r>
                    <w:rPr>
                      <w:rFonts w:eastAsiaTheme="minorEastAsia"/>
                      <w:bCs/>
                      <w:color w:val="auto"/>
                      <w:szCs w:val="21"/>
                    </w:rPr>
                    <w:t>商砼搅拌车</w:t>
                  </w:r>
                </w:p>
              </w:tc>
              <w:tc>
                <w:tcPr>
                  <w:tcW w:w="3806" w:type="dxa"/>
                  <w:vAlign w:val="center"/>
                </w:tcPr>
                <w:p>
                  <w:pPr>
                    <w:snapToGrid w:val="0"/>
                    <w:jc w:val="center"/>
                    <w:rPr>
                      <w:rFonts w:eastAsiaTheme="minorEastAsia"/>
                      <w:bCs/>
                      <w:color w:val="auto"/>
                      <w:szCs w:val="21"/>
                    </w:rPr>
                  </w:pPr>
                  <w:r>
                    <w:rPr>
                      <w:rFonts w:eastAsiaTheme="minorEastAsia"/>
                      <w:bCs/>
                      <w:color w:val="auto"/>
                      <w:szCs w:val="21"/>
                    </w:rPr>
                    <w:t>80~88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9" w:hRule="atLeast"/>
                <w:jc w:val="center"/>
              </w:trPr>
              <w:tc>
                <w:tcPr>
                  <w:tcW w:w="2083" w:type="dxa"/>
                  <w:vMerge w:val="continue"/>
                  <w:vAlign w:val="center"/>
                </w:tcPr>
                <w:p>
                  <w:pPr>
                    <w:snapToGrid w:val="0"/>
                    <w:jc w:val="center"/>
                    <w:rPr>
                      <w:rFonts w:eastAsiaTheme="minorEastAsia"/>
                      <w:bCs/>
                      <w:color w:val="auto"/>
                      <w:szCs w:val="21"/>
                    </w:rPr>
                  </w:pPr>
                </w:p>
              </w:tc>
              <w:tc>
                <w:tcPr>
                  <w:tcW w:w="2842" w:type="dxa"/>
                  <w:vAlign w:val="center"/>
                </w:tcPr>
                <w:p>
                  <w:pPr>
                    <w:snapToGrid w:val="0"/>
                    <w:jc w:val="center"/>
                    <w:rPr>
                      <w:rFonts w:eastAsiaTheme="minorEastAsia"/>
                      <w:bCs/>
                      <w:color w:val="auto"/>
                      <w:szCs w:val="21"/>
                    </w:rPr>
                  </w:pPr>
                  <w:r>
                    <w:rPr>
                      <w:rFonts w:eastAsiaTheme="minorEastAsia"/>
                      <w:bCs/>
                      <w:color w:val="auto"/>
                      <w:szCs w:val="21"/>
                    </w:rPr>
                    <w:t>混凝土输送泵</w:t>
                  </w:r>
                </w:p>
              </w:tc>
              <w:tc>
                <w:tcPr>
                  <w:tcW w:w="3806" w:type="dxa"/>
                  <w:vAlign w:val="center"/>
                </w:tcPr>
                <w:p>
                  <w:pPr>
                    <w:snapToGrid w:val="0"/>
                    <w:jc w:val="center"/>
                    <w:rPr>
                      <w:rFonts w:eastAsiaTheme="minorEastAsia"/>
                      <w:bCs/>
                      <w:color w:val="auto"/>
                      <w:szCs w:val="21"/>
                    </w:rPr>
                  </w:pPr>
                  <w:r>
                    <w:rPr>
                      <w:rFonts w:eastAsiaTheme="minorEastAsia"/>
                      <w:bCs/>
                      <w:color w:val="auto"/>
                      <w:szCs w:val="21"/>
                    </w:rPr>
                    <w:t>88~95</w:t>
                  </w:r>
                </w:p>
              </w:tc>
            </w:tr>
          </w:tbl>
          <w:p>
            <w:pPr>
              <w:adjustRightInd w:val="0"/>
              <w:snapToGrid w:val="0"/>
              <w:ind w:firstLine="361" w:firstLineChars="200"/>
              <w:rPr>
                <w:rFonts w:eastAsiaTheme="minorEastAsia"/>
                <w:b/>
                <w:bCs/>
                <w:color w:val="auto"/>
                <w:sz w:val="18"/>
                <w:szCs w:val="18"/>
              </w:rPr>
            </w:pPr>
            <w:r>
              <w:rPr>
                <w:rFonts w:eastAsiaTheme="minorEastAsia"/>
                <w:b/>
                <w:color w:val="auto"/>
                <w:sz w:val="18"/>
                <w:szCs w:val="18"/>
              </w:rPr>
              <w:t>注：表中噪声值为距离噪声源1m处声压级，参考《环境噪声与振动控制工程技术导则》。</w:t>
            </w:r>
          </w:p>
          <w:p>
            <w:pPr>
              <w:pStyle w:val="21"/>
              <w:adjustRightInd w:val="0"/>
              <w:snapToGrid w:val="0"/>
              <w:ind w:firstLine="480" w:firstLineChars="200"/>
              <w:rPr>
                <w:rFonts w:eastAsiaTheme="minorEastAsia"/>
                <w:color w:val="auto"/>
                <w:sz w:val="24"/>
                <w:szCs w:val="24"/>
              </w:rPr>
            </w:pPr>
            <w:r>
              <w:rPr>
                <w:rFonts w:eastAsiaTheme="minorEastAsia"/>
                <w:color w:val="auto"/>
                <w:sz w:val="24"/>
                <w:szCs w:val="24"/>
              </w:rPr>
              <w:t>1.2.4固体废物</w:t>
            </w:r>
          </w:p>
          <w:p>
            <w:pPr>
              <w:pStyle w:val="119"/>
              <w:adjustRightInd w:val="0"/>
              <w:snapToGrid w:val="0"/>
              <w:rPr>
                <w:rFonts w:hAnsi="Times New Roman" w:cs="Times New Roman" w:eastAsiaTheme="minorEastAsia"/>
                <w:color w:val="auto"/>
                <w:szCs w:val="24"/>
              </w:rPr>
            </w:pPr>
            <w:r>
              <w:rPr>
                <w:rFonts w:hAnsi="Times New Roman" w:cs="Times New Roman" w:eastAsiaTheme="minorEastAsia"/>
                <w:color w:val="auto"/>
                <w:szCs w:val="24"/>
              </w:rPr>
              <w:t>本项目施工过程中产生的固体废物主要来源于施工过程中产生的建筑垃圾、施工人员产生的生活垃圾以及施工过程中开挖产生</w:t>
            </w:r>
            <w:r>
              <w:rPr>
                <w:rFonts w:hint="eastAsia" w:hAnsi="Times New Roman" w:cs="Times New Roman" w:eastAsiaTheme="minorEastAsia"/>
                <w:color w:val="auto"/>
                <w:szCs w:val="24"/>
                <w:lang w:eastAsia="zh-CN"/>
              </w:rPr>
              <w:t>的</w:t>
            </w:r>
            <w:r>
              <w:rPr>
                <w:rFonts w:hAnsi="Times New Roman" w:cs="Times New Roman" w:eastAsiaTheme="minorEastAsia"/>
                <w:color w:val="auto"/>
                <w:szCs w:val="24"/>
              </w:rPr>
              <w:t>弃土石方。</w:t>
            </w:r>
          </w:p>
          <w:p>
            <w:pPr>
              <w:adjustRightInd w:val="0"/>
              <w:snapToGrid w:val="0"/>
              <w:spacing w:line="360" w:lineRule="auto"/>
              <w:ind w:firstLine="480" w:firstLineChars="200"/>
              <w:rPr>
                <w:rFonts w:eastAsiaTheme="minorEastAsia"/>
                <w:color w:val="auto"/>
                <w:kern w:val="0"/>
                <w:sz w:val="24"/>
              </w:rPr>
            </w:pPr>
            <w:r>
              <w:rPr>
                <w:rFonts w:hint="eastAsia" w:ascii="宋体" w:hAnsi="宋体" w:cs="宋体"/>
                <w:color w:val="auto"/>
                <w:kern w:val="0"/>
                <w:sz w:val="24"/>
              </w:rPr>
              <w:t>①</w:t>
            </w:r>
            <w:r>
              <w:rPr>
                <w:rFonts w:eastAsiaTheme="minorEastAsia"/>
                <w:color w:val="auto"/>
                <w:kern w:val="0"/>
                <w:sz w:val="24"/>
              </w:rPr>
              <w:t>建筑垃圾</w:t>
            </w:r>
          </w:p>
          <w:p>
            <w:pPr>
              <w:pStyle w:val="181"/>
              <w:adjustRightInd w:val="0"/>
              <w:snapToGrid w:val="0"/>
              <w:spacing w:after="0"/>
              <w:ind w:firstLine="480"/>
              <w:rPr>
                <w:rFonts w:cs="Times New Roman" w:eastAsiaTheme="minorEastAsia"/>
                <w:color w:val="auto"/>
                <w:szCs w:val="24"/>
                <w:vertAlign w:val="subscript"/>
              </w:rPr>
            </w:pPr>
            <w:r>
              <w:rPr>
                <w:rFonts w:cs="Times New Roman" w:eastAsiaTheme="minorEastAsia"/>
                <w:color w:val="auto"/>
                <w:szCs w:val="24"/>
              </w:rPr>
              <w:t>J</w:t>
            </w:r>
            <w:r>
              <w:rPr>
                <w:rFonts w:cs="Times New Roman" w:eastAsiaTheme="minorEastAsia"/>
                <w:color w:val="auto"/>
                <w:szCs w:val="24"/>
                <w:vertAlign w:val="subscript"/>
              </w:rPr>
              <w:t>S</w:t>
            </w:r>
            <w:r>
              <w:rPr>
                <w:rFonts w:cs="Times New Roman" w:eastAsiaTheme="minorEastAsia"/>
                <w:color w:val="auto"/>
                <w:szCs w:val="24"/>
              </w:rPr>
              <w:t>=Q</w:t>
            </w:r>
            <w:r>
              <w:rPr>
                <w:rFonts w:cs="Times New Roman" w:eastAsiaTheme="minorEastAsia"/>
                <w:color w:val="auto"/>
                <w:szCs w:val="24"/>
                <w:vertAlign w:val="subscript"/>
              </w:rPr>
              <w:t>S</w:t>
            </w:r>
            <w:r>
              <w:rPr>
                <w:rFonts w:cs="Times New Roman" w:eastAsiaTheme="minorEastAsia"/>
                <w:color w:val="auto"/>
                <w:szCs w:val="24"/>
              </w:rPr>
              <w:sym w:font="Symbol" w:char="F0B4"/>
            </w:r>
            <w:r>
              <w:rPr>
                <w:rFonts w:cs="Times New Roman" w:eastAsiaTheme="minorEastAsia"/>
                <w:color w:val="auto"/>
                <w:szCs w:val="24"/>
              </w:rPr>
              <w:t>C</w:t>
            </w:r>
            <w:r>
              <w:rPr>
                <w:rFonts w:cs="Times New Roman" w:eastAsiaTheme="minorEastAsia"/>
                <w:color w:val="auto"/>
                <w:szCs w:val="24"/>
                <w:vertAlign w:val="subscript"/>
              </w:rPr>
              <w:t>S</w:t>
            </w:r>
          </w:p>
          <w:p>
            <w:pPr>
              <w:pStyle w:val="181"/>
              <w:adjustRightInd w:val="0"/>
              <w:snapToGrid w:val="0"/>
              <w:spacing w:after="0"/>
              <w:ind w:firstLine="480"/>
              <w:rPr>
                <w:rFonts w:cs="Times New Roman" w:eastAsiaTheme="minorEastAsia"/>
                <w:color w:val="auto"/>
                <w:szCs w:val="24"/>
              </w:rPr>
            </w:pPr>
            <w:r>
              <w:rPr>
                <w:rFonts w:cs="Times New Roman" w:eastAsiaTheme="minorEastAsia"/>
                <w:color w:val="auto"/>
                <w:szCs w:val="24"/>
              </w:rPr>
              <w:t>式中：J</w:t>
            </w:r>
            <w:r>
              <w:rPr>
                <w:rFonts w:cs="Times New Roman" w:eastAsiaTheme="minorEastAsia"/>
                <w:color w:val="auto"/>
                <w:szCs w:val="24"/>
                <w:vertAlign w:val="subscript"/>
              </w:rPr>
              <w:t>S</w:t>
            </w:r>
            <w:r>
              <w:rPr>
                <w:rFonts w:cs="Times New Roman" w:eastAsiaTheme="minorEastAsia"/>
                <w:color w:val="auto"/>
                <w:szCs w:val="24"/>
              </w:rPr>
              <w:t>：建筑垃圾总产生量（t）；</w:t>
            </w:r>
          </w:p>
          <w:p>
            <w:pPr>
              <w:pStyle w:val="181"/>
              <w:adjustRightInd w:val="0"/>
              <w:snapToGrid w:val="0"/>
              <w:spacing w:after="0"/>
              <w:ind w:firstLine="480"/>
              <w:rPr>
                <w:rFonts w:cs="Times New Roman" w:eastAsiaTheme="minorEastAsia"/>
                <w:color w:val="auto"/>
                <w:szCs w:val="24"/>
              </w:rPr>
            </w:pPr>
            <w:r>
              <w:rPr>
                <w:rFonts w:cs="Times New Roman" w:eastAsiaTheme="minorEastAsia"/>
                <w:color w:val="auto"/>
                <w:szCs w:val="24"/>
              </w:rPr>
              <w:t>Q</w:t>
            </w:r>
            <w:r>
              <w:rPr>
                <w:rFonts w:cs="Times New Roman" w:eastAsiaTheme="minorEastAsia"/>
                <w:color w:val="auto"/>
                <w:szCs w:val="24"/>
                <w:vertAlign w:val="subscript"/>
              </w:rPr>
              <w:t>S</w:t>
            </w:r>
            <w:r>
              <w:rPr>
                <w:rFonts w:cs="Times New Roman" w:eastAsiaTheme="minorEastAsia"/>
                <w:color w:val="auto"/>
                <w:szCs w:val="24"/>
              </w:rPr>
              <w:t>：新建总建筑面积（m</w:t>
            </w:r>
            <w:r>
              <w:rPr>
                <w:rFonts w:cs="Times New Roman" w:eastAsiaTheme="minorEastAsia"/>
                <w:color w:val="auto"/>
                <w:szCs w:val="24"/>
                <w:vertAlign w:val="superscript"/>
              </w:rPr>
              <w:t>2</w:t>
            </w:r>
            <w:r>
              <w:rPr>
                <w:rFonts w:cs="Times New Roman" w:eastAsiaTheme="minorEastAsia"/>
                <w:color w:val="auto"/>
                <w:szCs w:val="24"/>
              </w:rPr>
              <w:t>），</w:t>
            </w:r>
            <w:r>
              <w:rPr>
                <w:rFonts w:cs="Times New Roman" w:eastAsiaTheme="minorEastAsia"/>
                <w:color w:val="auto"/>
              </w:rPr>
              <w:t>根据项目可行性研究报告，建筑面积92.07m</w:t>
            </w:r>
            <w:r>
              <w:rPr>
                <w:rFonts w:cs="Times New Roman" w:eastAsiaTheme="minorEastAsia"/>
                <w:color w:val="auto"/>
                <w:vertAlign w:val="superscript"/>
              </w:rPr>
              <w:t>2</w:t>
            </w:r>
            <w:r>
              <w:rPr>
                <w:rFonts w:cs="Times New Roman" w:eastAsiaTheme="minorEastAsia"/>
                <w:color w:val="auto"/>
              </w:rPr>
              <w:t>。</w:t>
            </w:r>
          </w:p>
          <w:p>
            <w:pPr>
              <w:pStyle w:val="119"/>
              <w:adjustRightInd w:val="0"/>
              <w:snapToGrid w:val="0"/>
              <w:rPr>
                <w:rFonts w:hAnsi="Times New Roman" w:cs="Times New Roman" w:eastAsiaTheme="minorEastAsia"/>
                <w:color w:val="auto"/>
                <w:szCs w:val="24"/>
              </w:rPr>
            </w:pPr>
            <w:r>
              <w:rPr>
                <w:rFonts w:hAnsi="Times New Roman" w:cs="Times New Roman" w:eastAsiaTheme="minorEastAsia"/>
                <w:color w:val="auto"/>
              </w:rPr>
              <w:t>C</w:t>
            </w:r>
            <w:r>
              <w:rPr>
                <w:rFonts w:hAnsi="Times New Roman" w:cs="Times New Roman" w:eastAsiaTheme="minorEastAsia"/>
                <w:color w:val="auto"/>
                <w:vertAlign w:val="subscript"/>
              </w:rPr>
              <w:t>S</w:t>
            </w:r>
            <w:r>
              <w:rPr>
                <w:rFonts w:hAnsi="Times New Roman" w:cs="Times New Roman" w:eastAsiaTheme="minorEastAsia"/>
                <w:color w:val="auto"/>
              </w:rPr>
              <w:t>：单位面积垃圾量，</w:t>
            </w:r>
            <w:r>
              <w:rPr>
                <w:rFonts w:hAnsi="Times New Roman" w:cs="Times New Roman" w:eastAsiaTheme="minorEastAsia"/>
                <w:color w:val="auto"/>
                <w:kern w:val="0"/>
              </w:rPr>
              <w:t>新建建筑物基本为钢砼结构结构，</w:t>
            </w:r>
            <w:r>
              <w:rPr>
                <w:rFonts w:hAnsi="Times New Roman" w:cs="Times New Roman" w:eastAsiaTheme="minorEastAsia"/>
                <w:color w:val="auto"/>
                <w:kern w:val="0"/>
                <w:szCs w:val="24"/>
              </w:rPr>
              <w:t>单位面积垃圾量</w:t>
            </w:r>
            <w:r>
              <w:rPr>
                <w:rFonts w:hAnsi="Times New Roman" w:cs="Times New Roman" w:eastAsiaTheme="minorEastAsia"/>
                <w:color w:val="auto"/>
                <w:kern w:val="0"/>
              </w:rPr>
              <w:t>取每平方米0.03t计算；</w:t>
            </w:r>
          </w:p>
          <w:p>
            <w:pPr>
              <w:adjustRightInd w:val="0"/>
              <w:snapToGrid w:val="0"/>
              <w:spacing w:line="360" w:lineRule="auto"/>
              <w:ind w:firstLine="480" w:firstLineChars="200"/>
              <w:rPr>
                <w:rFonts w:eastAsiaTheme="minorEastAsia"/>
                <w:color w:val="auto"/>
                <w:sz w:val="24"/>
              </w:rPr>
            </w:pPr>
            <w:r>
              <w:rPr>
                <w:rFonts w:eastAsiaTheme="minorEastAsia"/>
                <w:color w:val="auto"/>
                <w:kern w:val="0"/>
                <w:sz w:val="24"/>
              </w:rPr>
              <w:t>经计算建筑垃圾产生量约2.76t，</w:t>
            </w:r>
            <w:r>
              <w:rPr>
                <w:rFonts w:eastAsiaTheme="minorEastAsia"/>
                <w:color w:val="auto"/>
                <w:sz w:val="24"/>
              </w:rPr>
              <w:t>建筑垃圾</w:t>
            </w:r>
            <w:r>
              <w:rPr>
                <w:rFonts w:eastAsiaTheme="minorEastAsia"/>
                <w:bCs/>
                <w:color w:val="auto"/>
                <w:sz w:val="24"/>
              </w:rPr>
              <w:t>主要以无机废物为主，如废弃的砖土、混凝土块、废建材等</w:t>
            </w:r>
            <w:r>
              <w:rPr>
                <w:rFonts w:eastAsiaTheme="minorEastAsia"/>
                <w:color w:val="auto"/>
                <w:sz w:val="24"/>
              </w:rPr>
              <w:t>，集中收集后运往当地市政部门指定的地点合理处置。</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kern w:val="0"/>
                <w:sz w:val="24"/>
              </w:rPr>
              <w:t>②</w:t>
            </w:r>
            <w:r>
              <w:rPr>
                <w:rFonts w:eastAsiaTheme="minorEastAsia"/>
                <w:color w:val="auto"/>
                <w:kern w:val="0"/>
                <w:sz w:val="24"/>
              </w:rPr>
              <w:t>施工人员生活垃圾</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依照我国生活污染物排放系数，施工人员生活垃圾产生量按1.0kg/人·d，按施工期期10人计，产生生活垃圾约1.05t。</w:t>
            </w:r>
            <w:r>
              <w:rPr>
                <w:rFonts w:eastAsiaTheme="minorEastAsia"/>
                <w:color w:val="auto"/>
                <w:spacing w:val="6"/>
                <w:sz w:val="24"/>
              </w:rPr>
              <w:t>生活垃圾定点收集，统一收集后送宁县</w:t>
            </w:r>
            <w:r>
              <w:rPr>
                <w:rFonts w:eastAsiaTheme="minorEastAsia"/>
                <w:color w:val="auto"/>
                <w:sz w:val="24"/>
              </w:rPr>
              <w:t>垃圾处理场处置。</w:t>
            </w:r>
          </w:p>
          <w:p>
            <w:pPr>
              <w:pStyle w:val="181"/>
              <w:adjustRightInd w:val="0"/>
              <w:snapToGrid w:val="0"/>
              <w:spacing w:after="0"/>
              <w:ind w:firstLine="480"/>
              <w:rPr>
                <w:rFonts w:cs="Times New Roman" w:eastAsiaTheme="minorEastAsia"/>
                <w:color w:val="auto"/>
              </w:rPr>
            </w:pPr>
            <w:r>
              <w:rPr>
                <w:rFonts w:hint="eastAsia" w:ascii="宋体" w:hAnsi="宋体" w:cs="宋体"/>
                <w:color w:val="auto"/>
              </w:rPr>
              <w:t>③</w:t>
            </w:r>
            <w:r>
              <w:rPr>
                <w:rFonts w:cs="Times New Roman" w:eastAsiaTheme="minorEastAsia"/>
                <w:color w:val="auto"/>
              </w:rPr>
              <w:t>施工过程中产生的废弃土石方</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根据拟建场地地形自然标高及建筑物标高等，该项目污水处理厂采用总体平场的方式，以保证场区的土石方平衡。本项目总挖方4008.36m</w:t>
            </w:r>
            <w:r>
              <w:rPr>
                <w:rFonts w:eastAsiaTheme="minorEastAsia"/>
                <w:color w:val="auto"/>
                <w:sz w:val="24"/>
                <w:vertAlign w:val="superscript"/>
              </w:rPr>
              <w:t>2</w:t>
            </w:r>
            <w:r>
              <w:rPr>
                <w:rFonts w:eastAsiaTheme="minorEastAsia"/>
                <w:color w:val="auto"/>
                <w:sz w:val="24"/>
              </w:rPr>
              <w:t>（其中污水处理厂挖方1003.96m</w:t>
            </w:r>
            <w:r>
              <w:rPr>
                <w:rFonts w:eastAsiaTheme="minorEastAsia"/>
                <w:color w:val="auto"/>
                <w:sz w:val="24"/>
                <w:vertAlign w:val="superscript"/>
              </w:rPr>
              <w:t>2</w:t>
            </w:r>
            <w:r>
              <w:rPr>
                <w:rFonts w:eastAsiaTheme="minorEastAsia"/>
                <w:color w:val="auto"/>
                <w:sz w:val="24"/>
              </w:rPr>
              <w:t>，污水收集管网挖方3004.4m</w:t>
            </w:r>
            <w:r>
              <w:rPr>
                <w:rFonts w:eastAsiaTheme="minorEastAsia"/>
                <w:color w:val="auto"/>
                <w:sz w:val="24"/>
                <w:vertAlign w:val="superscript"/>
              </w:rPr>
              <w:t>2</w:t>
            </w:r>
            <w:r>
              <w:rPr>
                <w:rFonts w:eastAsiaTheme="minorEastAsia"/>
                <w:color w:val="auto"/>
                <w:sz w:val="24"/>
              </w:rPr>
              <w:t>），填方3863.36m</w:t>
            </w:r>
            <w:r>
              <w:rPr>
                <w:rFonts w:eastAsiaTheme="minorEastAsia"/>
                <w:color w:val="auto"/>
                <w:sz w:val="24"/>
                <w:vertAlign w:val="superscript"/>
              </w:rPr>
              <w:t>2</w:t>
            </w:r>
            <w:r>
              <w:rPr>
                <w:rFonts w:eastAsiaTheme="minorEastAsia"/>
                <w:color w:val="auto"/>
                <w:sz w:val="24"/>
              </w:rPr>
              <w:t>。根据项目土石方平衡计算，本项目剩余土石方145m</w:t>
            </w:r>
            <w:r>
              <w:rPr>
                <w:rFonts w:eastAsiaTheme="minorEastAsia"/>
                <w:color w:val="auto"/>
                <w:sz w:val="24"/>
                <w:vertAlign w:val="superscript"/>
              </w:rPr>
              <w:t>2</w:t>
            </w:r>
            <w:r>
              <w:rPr>
                <w:rFonts w:eastAsiaTheme="minorEastAsia"/>
                <w:color w:val="auto"/>
                <w:sz w:val="24"/>
              </w:rPr>
              <w:t>。剩余土方较少，用于场地周围土地平整，不外排。项目主要土石方调配情况见表48。</w:t>
            </w:r>
          </w:p>
          <w:p>
            <w:pPr>
              <w:adjustRightInd w:val="0"/>
              <w:snapToGrid w:val="0"/>
              <w:spacing w:line="360" w:lineRule="auto"/>
              <w:jc w:val="center"/>
              <w:rPr>
                <w:rFonts w:eastAsiaTheme="minorEastAsia"/>
                <w:b/>
                <w:color w:val="auto"/>
                <w:sz w:val="24"/>
              </w:rPr>
            </w:pPr>
            <w:r>
              <w:rPr>
                <w:rFonts w:eastAsiaTheme="minorEastAsia"/>
                <w:b/>
                <w:color w:val="auto"/>
                <w:sz w:val="24"/>
              </w:rPr>
              <w:t>表48项目土石方产生情况表</w:t>
            </w:r>
          </w:p>
          <w:tbl>
            <w:tblPr>
              <w:tblStyle w:val="38"/>
              <w:tblW w:w="8731" w:type="dxa"/>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276"/>
              <w:gridCol w:w="1417"/>
              <w:gridCol w:w="993"/>
              <w:gridCol w:w="1275"/>
              <w:gridCol w:w="993"/>
              <w:gridCol w:w="992"/>
              <w:gridCol w:w="1076"/>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9" w:hRule="atLeast"/>
              </w:trPr>
              <w:tc>
                <w:tcPr>
                  <w:tcW w:w="709" w:type="dxa"/>
                  <w:vAlign w:val="center"/>
                </w:tcPr>
                <w:p>
                  <w:pPr>
                    <w:adjustRightInd w:val="0"/>
                    <w:snapToGrid w:val="0"/>
                    <w:jc w:val="center"/>
                    <w:rPr>
                      <w:rFonts w:eastAsiaTheme="minorEastAsia"/>
                      <w:color w:val="auto"/>
                      <w:szCs w:val="21"/>
                    </w:rPr>
                  </w:pPr>
                  <w:r>
                    <w:rPr>
                      <w:rFonts w:eastAsiaTheme="minorEastAsia"/>
                      <w:color w:val="auto"/>
                      <w:szCs w:val="21"/>
                    </w:rPr>
                    <w:t>序号</w:t>
                  </w:r>
                </w:p>
              </w:tc>
              <w:tc>
                <w:tcPr>
                  <w:tcW w:w="1276" w:type="dxa"/>
                  <w:vAlign w:val="center"/>
                </w:tcPr>
                <w:p>
                  <w:pPr>
                    <w:adjustRightInd w:val="0"/>
                    <w:snapToGrid w:val="0"/>
                    <w:jc w:val="center"/>
                    <w:rPr>
                      <w:rFonts w:eastAsiaTheme="minorEastAsia"/>
                      <w:color w:val="auto"/>
                      <w:szCs w:val="21"/>
                    </w:rPr>
                  </w:pPr>
                  <w:r>
                    <w:rPr>
                      <w:rFonts w:eastAsiaTheme="minorEastAsia"/>
                      <w:color w:val="auto"/>
                      <w:szCs w:val="21"/>
                    </w:rPr>
                    <w:t>工程内容</w:t>
                  </w:r>
                </w:p>
              </w:tc>
              <w:tc>
                <w:tcPr>
                  <w:tcW w:w="1417" w:type="dxa"/>
                  <w:vAlign w:val="center"/>
                </w:tcPr>
                <w:p>
                  <w:pPr>
                    <w:adjustRightInd w:val="0"/>
                    <w:snapToGrid w:val="0"/>
                    <w:jc w:val="center"/>
                    <w:rPr>
                      <w:rFonts w:eastAsiaTheme="minorEastAsia"/>
                      <w:color w:val="auto"/>
                      <w:szCs w:val="21"/>
                    </w:rPr>
                  </w:pPr>
                  <w:r>
                    <w:rPr>
                      <w:rFonts w:eastAsiaTheme="minorEastAsia"/>
                      <w:color w:val="auto"/>
                      <w:szCs w:val="21"/>
                    </w:rPr>
                    <w:t>建设规模</w:t>
                  </w:r>
                </w:p>
              </w:tc>
              <w:tc>
                <w:tcPr>
                  <w:tcW w:w="993" w:type="dxa"/>
                  <w:vAlign w:val="center"/>
                </w:tcPr>
                <w:p>
                  <w:pPr>
                    <w:adjustRightInd w:val="0"/>
                    <w:snapToGrid w:val="0"/>
                    <w:jc w:val="center"/>
                    <w:rPr>
                      <w:rFonts w:eastAsiaTheme="minorEastAsia"/>
                      <w:color w:val="auto"/>
                      <w:szCs w:val="21"/>
                    </w:rPr>
                  </w:pPr>
                  <w:r>
                    <w:rPr>
                      <w:rFonts w:eastAsiaTheme="minorEastAsia"/>
                      <w:color w:val="auto"/>
                      <w:szCs w:val="21"/>
                    </w:rPr>
                    <w:t>挖方m</w:t>
                  </w:r>
                  <w:r>
                    <w:rPr>
                      <w:rFonts w:eastAsiaTheme="minorEastAsia"/>
                      <w:color w:val="auto"/>
                      <w:szCs w:val="21"/>
                      <w:vertAlign w:val="superscript"/>
                    </w:rPr>
                    <w:t>3</w:t>
                  </w:r>
                </w:p>
              </w:tc>
              <w:tc>
                <w:tcPr>
                  <w:tcW w:w="1275" w:type="dxa"/>
                  <w:vAlign w:val="center"/>
                </w:tcPr>
                <w:p>
                  <w:pPr>
                    <w:adjustRightInd w:val="0"/>
                    <w:snapToGrid w:val="0"/>
                    <w:jc w:val="center"/>
                    <w:rPr>
                      <w:rFonts w:eastAsiaTheme="minorEastAsia"/>
                      <w:color w:val="auto"/>
                      <w:szCs w:val="21"/>
                    </w:rPr>
                  </w:pPr>
                  <w:r>
                    <w:rPr>
                      <w:rFonts w:eastAsiaTheme="minorEastAsia"/>
                      <w:color w:val="auto"/>
                      <w:szCs w:val="21"/>
                    </w:rPr>
                    <w:t>填方m</w:t>
                  </w:r>
                  <w:r>
                    <w:rPr>
                      <w:rFonts w:eastAsiaTheme="minorEastAsia"/>
                      <w:color w:val="auto"/>
                      <w:szCs w:val="21"/>
                      <w:vertAlign w:val="superscript"/>
                    </w:rPr>
                    <w:t>3</w:t>
                  </w:r>
                </w:p>
              </w:tc>
              <w:tc>
                <w:tcPr>
                  <w:tcW w:w="993" w:type="dxa"/>
                  <w:vAlign w:val="center"/>
                </w:tcPr>
                <w:p>
                  <w:pPr>
                    <w:adjustRightInd w:val="0"/>
                    <w:snapToGrid w:val="0"/>
                    <w:jc w:val="center"/>
                    <w:rPr>
                      <w:rFonts w:eastAsiaTheme="minorEastAsia"/>
                      <w:color w:val="auto"/>
                      <w:szCs w:val="21"/>
                    </w:rPr>
                  </w:pPr>
                  <w:r>
                    <w:rPr>
                      <w:rFonts w:eastAsiaTheme="minorEastAsia"/>
                      <w:color w:val="auto"/>
                      <w:szCs w:val="21"/>
                    </w:rPr>
                    <w:t>借方m</w:t>
                  </w:r>
                  <w:r>
                    <w:rPr>
                      <w:rFonts w:eastAsiaTheme="minorEastAsia"/>
                      <w:color w:val="auto"/>
                      <w:szCs w:val="21"/>
                      <w:vertAlign w:val="superscript"/>
                    </w:rPr>
                    <w:t>3</w:t>
                  </w: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回用m</w:t>
                  </w:r>
                  <w:r>
                    <w:rPr>
                      <w:rFonts w:eastAsiaTheme="minorEastAsia"/>
                      <w:color w:val="auto"/>
                      <w:szCs w:val="21"/>
                      <w:vertAlign w:val="superscript"/>
                    </w:rPr>
                    <w:t>3</w:t>
                  </w:r>
                </w:p>
              </w:tc>
              <w:tc>
                <w:tcPr>
                  <w:tcW w:w="1076" w:type="dxa"/>
                  <w:vAlign w:val="center"/>
                </w:tcPr>
                <w:p>
                  <w:pPr>
                    <w:adjustRightInd w:val="0"/>
                    <w:snapToGrid w:val="0"/>
                    <w:jc w:val="center"/>
                    <w:rPr>
                      <w:rFonts w:eastAsiaTheme="minorEastAsia"/>
                      <w:color w:val="auto"/>
                      <w:szCs w:val="21"/>
                    </w:rPr>
                  </w:pPr>
                  <w:r>
                    <w:rPr>
                      <w:rFonts w:eastAsiaTheme="minorEastAsia"/>
                      <w:color w:val="auto"/>
                      <w:szCs w:val="21"/>
                    </w:rPr>
                    <w:t>弃方m</w:t>
                  </w:r>
                  <w:r>
                    <w:rPr>
                      <w:rFonts w:eastAsiaTheme="minorEastAsia"/>
                      <w:color w:val="auto"/>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9" w:hRule="atLeast"/>
              </w:trPr>
              <w:tc>
                <w:tcPr>
                  <w:tcW w:w="709" w:type="dxa"/>
                  <w:vAlign w:val="center"/>
                </w:tcPr>
                <w:p>
                  <w:pPr>
                    <w:adjustRightInd w:val="0"/>
                    <w:snapToGrid w:val="0"/>
                    <w:jc w:val="center"/>
                    <w:rPr>
                      <w:rFonts w:eastAsiaTheme="minorEastAsia"/>
                      <w:color w:val="auto"/>
                      <w:szCs w:val="21"/>
                    </w:rPr>
                  </w:pPr>
                  <w:r>
                    <w:rPr>
                      <w:rFonts w:eastAsiaTheme="minorEastAsia"/>
                      <w:color w:val="auto"/>
                      <w:szCs w:val="21"/>
                    </w:rPr>
                    <w:t>1</w:t>
                  </w:r>
                </w:p>
              </w:tc>
              <w:tc>
                <w:tcPr>
                  <w:tcW w:w="1276" w:type="dxa"/>
                  <w:vAlign w:val="center"/>
                </w:tcPr>
                <w:p>
                  <w:pPr>
                    <w:adjustRightInd w:val="0"/>
                    <w:snapToGrid w:val="0"/>
                    <w:jc w:val="center"/>
                    <w:rPr>
                      <w:rFonts w:eastAsiaTheme="minorEastAsia"/>
                      <w:color w:val="auto"/>
                      <w:szCs w:val="21"/>
                    </w:rPr>
                  </w:pPr>
                  <w:r>
                    <w:rPr>
                      <w:rFonts w:eastAsiaTheme="minorEastAsia"/>
                      <w:color w:val="auto"/>
                      <w:szCs w:val="21"/>
                    </w:rPr>
                    <w:t>场地平整</w:t>
                  </w:r>
                </w:p>
              </w:tc>
              <w:tc>
                <w:tcPr>
                  <w:tcW w:w="1417" w:type="dxa"/>
                  <w:vAlign w:val="center"/>
                </w:tcPr>
                <w:p>
                  <w:pPr>
                    <w:adjustRightInd w:val="0"/>
                    <w:snapToGrid w:val="0"/>
                    <w:jc w:val="center"/>
                    <w:rPr>
                      <w:rFonts w:eastAsiaTheme="minorEastAsia"/>
                      <w:color w:val="auto"/>
                      <w:szCs w:val="21"/>
                    </w:rPr>
                  </w:pPr>
                  <w:r>
                    <w:rPr>
                      <w:rFonts w:eastAsiaTheme="minorEastAsia"/>
                      <w:color w:val="auto"/>
                      <w:szCs w:val="21"/>
                    </w:rPr>
                    <w:t>1000m</w:t>
                  </w:r>
                  <w:r>
                    <w:rPr>
                      <w:rFonts w:eastAsiaTheme="minorEastAsia"/>
                      <w:color w:val="auto"/>
                      <w:szCs w:val="21"/>
                      <w:vertAlign w:val="superscript"/>
                    </w:rPr>
                    <w:t>2</w:t>
                  </w:r>
                </w:p>
              </w:tc>
              <w:tc>
                <w:tcPr>
                  <w:tcW w:w="993" w:type="dxa"/>
                  <w:vAlign w:val="center"/>
                </w:tcPr>
                <w:p>
                  <w:pPr>
                    <w:adjustRightInd w:val="0"/>
                    <w:snapToGrid w:val="0"/>
                    <w:jc w:val="center"/>
                    <w:rPr>
                      <w:rFonts w:eastAsiaTheme="minorEastAsia"/>
                      <w:color w:val="auto"/>
                      <w:szCs w:val="21"/>
                    </w:rPr>
                  </w:pPr>
                </w:p>
              </w:tc>
              <w:tc>
                <w:tcPr>
                  <w:tcW w:w="1275" w:type="dxa"/>
                  <w:vAlign w:val="center"/>
                </w:tcPr>
                <w:p>
                  <w:pPr>
                    <w:adjustRightInd w:val="0"/>
                    <w:snapToGrid w:val="0"/>
                    <w:jc w:val="center"/>
                    <w:rPr>
                      <w:rFonts w:eastAsiaTheme="minorEastAsia"/>
                      <w:color w:val="auto"/>
                      <w:szCs w:val="21"/>
                    </w:rPr>
                  </w:pPr>
                  <w:r>
                    <w:rPr>
                      <w:rFonts w:eastAsiaTheme="minorEastAsia"/>
                      <w:color w:val="auto"/>
                      <w:szCs w:val="21"/>
                    </w:rPr>
                    <w:t>910</w:t>
                  </w:r>
                </w:p>
              </w:tc>
              <w:tc>
                <w:tcPr>
                  <w:tcW w:w="993" w:type="dxa"/>
                  <w:vAlign w:val="center"/>
                </w:tcPr>
                <w:p>
                  <w:pPr>
                    <w:adjustRightInd w:val="0"/>
                    <w:snapToGrid w:val="0"/>
                    <w:jc w:val="center"/>
                    <w:rPr>
                      <w:rFonts w:eastAsiaTheme="minorEastAsia"/>
                      <w:color w:val="auto"/>
                      <w:szCs w:val="21"/>
                    </w:rPr>
                  </w:pPr>
                  <w:r>
                    <w:rPr>
                      <w:rFonts w:eastAsiaTheme="minorEastAsia"/>
                      <w:color w:val="auto"/>
                      <w:szCs w:val="21"/>
                    </w:rPr>
                    <w:t>910</w:t>
                  </w:r>
                </w:p>
              </w:tc>
              <w:tc>
                <w:tcPr>
                  <w:tcW w:w="992" w:type="dxa"/>
                  <w:vAlign w:val="center"/>
                </w:tcPr>
                <w:p>
                  <w:pPr>
                    <w:adjustRightInd w:val="0"/>
                    <w:snapToGrid w:val="0"/>
                    <w:jc w:val="center"/>
                    <w:rPr>
                      <w:rFonts w:eastAsiaTheme="minorEastAsia"/>
                      <w:color w:val="auto"/>
                      <w:szCs w:val="21"/>
                    </w:rPr>
                  </w:pPr>
                </w:p>
              </w:tc>
              <w:tc>
                <w:tcPr>
                  <w:tcW w:w="1076" w:type="dxa"/>
                  <w:vAlign w:val="center"/>
                </w:tcPr>
                <w:p>
                  <w:pPr>
                    <w:adjustRightInd w:val="0"/>
                    <w:snapToGrid w:val="0"/>
                    <w:jc w:val="center"/>
                    <w:rPr>
                      <w:rFonts w:eastAsiaTheme="min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9" w:hRule="atLeast"/>
              </w:trPr>
              <w:tc>
                <w:tcPr>
                  <w:tcW w:w="709" w:type="dxa"/>
                  <w:vAlign w:val="center"/>
                </w:tcPr>
                <w:p>
                  <w:pPr>
                    <w:adjustRightInd w:val="0"/>
                    <w:snapToGrid w:val="0"/>
                    <w:jc w:val="center"/>
                    <w:rPr>
                      <w:rFonts w:eastAsiaTheme="minorEastAsia"/>
                      <w:color w:val="auto"/>
                      <w:szCs w:val="21"/>
                    </w:rPr>
                  </w:pPr>
                  <w:r>
                    <w:rPr>
                      <w:rFonts w:eastAsiaTheme="minorEastAsia"/>
                      <w:color w:val="auto"/>
                      <w:szCs w:val="21"/>
                    </w:rPr>
                    <w:t>2</w:t>
                  </w:r>
                </w:p>
              </w:tc>
              <w:tc>
                <w:tcPr>
                  <w:tcW w:w="1276" w:type="dxa"/>
                  <w:vAlign w:val="center"/>
                </w:tcPr>
                <w:p>
                  <w:pPr>
                    <w:adjustRightInd w:val="0"/>
                    <w:snapToGrid w:val="0"/>
                    <w:jc w:val="center"/>
                    <w:rPr>
                      <w:rFonts w:eastAsiaTheme="minorEastAsia"/>
                      <w:color w:val="auto"/>
                      <w:szCs w:val="21"/>
                    </w:rPr>
                  </w:pPr>
                  <w:r>
                    <w:rPr>
                      <w:rFonts w:eastAsiaTheme="minorEastAsia"/>
                      <w:color w:val="auto"/>
                      <w:szCs w:val="21"/>
                    </w:rPr>
                    <w:t>污水主管</w:t>
                  </w:r>
                </w:p>
              </w:tc>
              <w:tc>
                <w:tcPr>
                  <w:tcW w:w="1417" w:type="dxa"/>
                  <w:vAlign w:val="center"/>
                </w:tcPr>
                <w:p>
                  <w:pPr>
                    <w:adjustRightInd w:val="0"/>
                    <w:snapToGrid w:val="0"/>
                    <w:jc w:val="center"/>
                    <w:rPr>
                      <w:rFonts w:eastAsiaTheme="minorEastAsia"/>
                      <w:color w:val="auto"/>
                      <w:szCs w:val="21"/>
                    </w:rPr>
                  </w:pPr>
                  <w:r>
                    <w:rPr>
                      <w:rFonts w:eastAsiaTheme="minorEastAsia"/>
                      <w:color w:val="auto"/>
                      <w:szCs w:val="21"/>
                    </w:rPr>
                    <w:t>2100m</w:t>
                  </w:r>
                </w:p>
              </w:tc>
              <w:tc>
                <w:tcPr>
                  <w:tcW w:w="993" w:type="dxa"/>
                  <w:vAlign w:val="center"/>
                </w:tcPr>
                <w:p>
                  <w:pPr>
                    <w:adjustRightInd w:val="0"/>
                    <w:snapToGrid w:val="0"/>
                    <w:jc w:val="center"/>
                    <w:rPr>
                      <w:rFonts w:eastAsiaTheme="minorEastAsia"/>
                      <w:color w:val="auto"/>
                      <w:szCs w:val="21"/>
                    </w:rPr>
                  </w:pPr>
                  <w:r>
                    <w:rPr>
                      <w:rFonts w:eastAsiaTheme="minorEastAsia"/>
                      <w:color w:val="auto"/>
                      <w:szCs w:val="21"/>
                    </w:rPr>
                    <w:t>2436</w:t>
                  </w:r>
                </w:p>
              </w:tc>
              <w:tc>
                <w:tcPr>
                  <w:tcW w:w="1275" w:type="dxa"/>
                  <w:vAlign w:val="center"/>
                </w:tcPr>
                <w:p>
                  <w:pPr>
                    <w:adjustRightInd w:val="0"/>
                    <w:snapToGrid w:val="0"/>
                    <w:jc w:val="center"/>
                    <w:rPr>
                      <w:rFonts w:eastAsiaTheme="minorEastAsia"/>
                      <w:color w:val="auto"/>
                      <w:szCs w:val="21"/>
                    </w:rPr>
                  </w:pPr>
                  <w:r>
                    <w:rPr>
                      <w:rFonts w:eastAsiaTheme="minorEastAsia"/>
                      <w:color w:val="auto"/>
                      <w:szCs w:val="21"/>
                    </w:rPr>
                    <w:t>1936</w:t>
                  </w:r>
                </w:p>
              </w:tc>
              <w:tc>
                <w:tcPr>
                  <w:tcW w:w="993" w:type="dxa"/>
                  <w:vAlign w:val="center"/>
                </w:tcPr>
                <w:p>
                  <w:pPr>
                    <w:adjustRightInd w:val="0"/>
                    <w:snapToGrid w:val="0"/>
                    <w:jc w:val="center"/>
                    <w:rPr>
                      <w:rFonts w:eastAsiaTheme="minorEastAsia"/>
                      <w:color w:val="auto"/>
                      <w:szCs w:val="21"/>
                    </w:rPr>
                  </w:pP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400</w:t>
                  </w:r>
                </w:p>
              </w:tc>
              <w:tc>
                <w:tcPr>
                  <w:tcW w:w="1076" w:type="dxa"/>
                  <w:vAlign w:val="center"/>
                </w:tcPr>
                <w:p>
                  <w:pPr>
                    <w:adjustRightInd w:val="0"/>
                    <w:snapToGrid w:val="0"/>
                    <w:jc w:val="center"/>
                    <w:rPr>
                      <w:rFonts w:eastAsiaTheme="minorEastAsia"/>
                      <w:color w:val="auto"/>
                      <w:szCs w:val="21"/>
                    </w:rPr>
                  </w:pPr>
                  <w:r>
                    <w:rPr>
                      <w:rFonts w:eastAsiaTheme="minorEastAsia"/>
                      <w:color w:val="auto"/>
                      <w:szCs w:val="21"/>
                    </w:rPr>
                    <w:t>100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9" w:hRule="atLeast"/>
              </w:trPr>
              <w:tc>
                <w:tcPr>
                  <w:tcW w:w="709" w:type="dxa"/>
                  <w:vAlign w:val="center"/>
                </w:tcPr>
                <w:p>
                  <w:pPr>
                    <w:adjustRightInd w:val="0"/>
                    <w:snapToGrid w:val="0"/>
                    <w:jc w:val="center"/>
                    <w:rPr>
                      <w:rFonts w:eastAsiaTheme="minorEastAsia"/>
                      <w:color w:val="auto"/>
                      <w:szCs w:val="21"/>
                    </w:rPr>
                  </w:pPr>
                  <w:r>
                    <w:rPr>
                      <w:rFonts w:eastAsiaTheme="minorEastAsia"/>
                      <w:color w:val="auto"/>
                      <w:szCs w:val="21"/>
                    </w:rPr>
                    <w:t>3</w:t>
                  </w:r>
                </w:p>
              </w:tc>
              <w:tc>
                <w:tcPr>
                  <w:tcW w:w="1276" w:type="dxa"/>
                  <w:vAlign w:val="center"/>
                </w:tcPr>
                <w:p>
                  <w:pPr>
                    <w:adjustRightInd w:val="0"/>
                    <w:snapToGrid w:val="0"/>
                    <w:jc w:val="center"/>
                    <w:rPr>
                      <w:rFonts w:eastAsiaTheme="minorEastAsia"/>
                      <w:color w:val="auto"/>
                      <w:szCs w:val="21"/>
                    </w:rPr>
                  </w:pPr>
                  <w:r>
                    <w:rPr>
                      <w:rFonts w:eastAsiaTheme="minorEastAsia"/>
                      <w:color w:val="auto"/>
                      <w:szCs w:val="21"/>
                    </w:rPr>
                    <w:t>污水预留管</w:t>
                  </w:r>
                </w:p>
              </w:tc>
              <w:tc>
                <w:tcPr>
                  <w:tcW w:w="1417" w:type="dxa"/>
                  <w:vAlign w:val="center"/>
                </w:tcPr>
                <w:p>
                  <w:pPr>
                    <w:adjustRightInd w:val="0"/>
                    <w:snapToGrid w:val="0"/>
                    <w:jc w:val="center"/>
                    <w:rPr>
                      <w:rFonts w:eastAsiaTheme="minorEastAsia"/>
                      <w:color w:val="auto"/>
                      <w:szCs w:val="21"/>
                    </w:rPr>
                  </w:pPr>
                  <w:r>
                    <w:rPr>
                      <w:rFonts w:eastAsiaTheme="minorEastAsia"/>
                      <w:color w:val="auto"/>
                      <w:szCs w:val="21"/>
                    </w:rPr>
                    <w:t>350m</w:t>
                  </w:r>
                </w:p>
              </w:tc>
              <w:tc>
                <w:tcPr>
                  <w:tcW w:w="993" w:type="dxa"/>
                  <w:vAlign w:val="center"/>
                </w:tcPr>
                <w:p>
                  <w:pPr>
                    <w:adjustRightInd w:val="0"/>
                    <w:snapToGrid w:val="0"/>
                    <w:jc w:val="center"/>
                    <w:rPr>
                      <w:rFonts w:eastAsiaTheme="minorEastAsia"/>
                      <w:color w:val="auto"/>
                      <w:szCs w:val="21"/>
                    </w:rPr>
                  </w:pPr>
                  <w:r>
                    <w:rPr>
                      <w:rFonts w:eastAsiaTheme="minorEastAsia"/>
                      <w:color w:val="auto"/>
                      <w:szCs w:val="21"/>
                    </w:rPr>
                    <w:t>406</w:t>
                  </w:r>
                </w:p>
              </w:tc>
              <w:tc>
                <w:tcPr>
                  <w:tcW w:w="1275" w:type="dxa"/>
                  <w:vAlign w:val="center"/>
                </w:tcPr>
                <w:p>
                  <w:pPr>
                    <w:adjustRightInd w:val="0"/>
                    <w:snapToGrid w:val="0"/>
                    <w:jc w:val="center"/>
                    <w:rPr>
                      <w:rFonts w:eastAsiaTheme="minorEastAsia"/>
                      <w:color w:val="auto"/>
                      <w:szCs w:val="21"/>
                    </w:rPr>
                  </w:pPr>
                  <w:r>
                    <w:rPr>
                      <w:rFonts w:eastAsiaTheme="minorEastAsia"/>
                      <w:color w:val="auto"/>
                      <w:szCs w:val="21"/>
                    </w:rPr>
                    <w:t>306</w:t>
                  </w:r>
                </w:p>
              </w:tc>
              <w:tc>
                <w:tcPr>
                  <w:tcW w:w="993" w:type="dxa"/>
                  <w:vAlign w:val="center"/>
                </w:tcPr>
                <w:p>
                  <w:pPr>
                    <w:adjustRightInd w:val="0"/>
                    <w:snapToGrid w:val="0"/>
                    <w:jc w:val="center"/>
                    <w:rPr>
                      <w:rFonts w:eastAsiaTheme="minorEastAsia"/>
                      <w:color w:val="auto"/>
                      <w:szCs w:val="21"/>
                    </w:rPr>
                  </w:pP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60</w:t>
                  </w:r>
                </w:p>
              </w:tc>
              <w:tc>
                <w:tcPr>
                  <w:tcW w:w="1076" w:type="dxa"/>
                  <w:vAlign w:val="center"/>
                </w:tcPr>
                <w:p>
                  <w:pPr>
                    <w:adjustRightInd w:val="0"/>
                    <w:snapToGrid w:val="0"/>
                    <w:jc w:val="center"/>
                    <w:rPr>
                      <w:rFonts w:eastAsiaTheme="minorEastAsia"/>
                      <w:color w:val="auto"/>
                      <w:szCs w:val="21"/>
                    </w:rPr>
                  </w:pPr>
                  <w:r>
                    <w:rPr>
                      <w:rFonts w:eastAsiaTheme="minorEastAsia"/>
                      <w:color w:val="auto"/>
                      <w:szCs w:val="21"/>
                    </w:rPr>
                    <w:t>40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9" w:hRule="atLeast"/>
              </w:trPr>
              <w:tc>
                <w:tcPr>
                  <w:tcW w:w="709" w:type="dxa"/>
                  <w:vAlign w:val="center"/>
                </w:tcPr>
                <w:p>
                  <w:pPr>
                    <w:adjustRightInd w:val="0"/>
                    <w:snapToGrid w:val="0"/>
                    <w:jc w:val="center"/>
                    <w:rPr>
                      <w:rFonts w:eastAsiaTheme="minorEastAsia"/>
                      <w:color w:val="auto"/>
                      <w:szCs w:val="21"/>
                    </w:rPr>
                  </w:pPr>
                  <w:r>
                    <w:rPr>
                      <w:rFonts w:eastAsiaTheme="minorEastAsia"/>
                      <w:color w:val="auto"/>
                      <w:szCs w:val="21"/>
                    </w:rPr>
                    <w:t>4</w:t>
                  </w:r>
                </w:p>
              </w:tc>
              <w:tc>
                <w:tcPr>
                  <w:tcW w:w="1276" w:type="dxa"/>
                  <w:vAlign w:val="center"/>
                </w:tcPr>
                <w:p>
                  <w:pPr>
                    <w:adjustRightInd w:val="0"/>
                    <w:snapToGrid w:val="0"/>
                    <w:jc w:val="center"/>
                    <w:rPr>
                      <w:rFonts w:eastAsiaTheme="minorEastAsia"/>
                      <w:color w:val="auto"/>
                      <w:szCs w:val="21"/>
                    </w:rPr>
                  </w:pPr>
                  <w:r>
                    <w:rPr>
                      <w:rFonts w:eastAsiaTheme="minorEastAsia"/>
                      <w:color w:val="auto"/>
                      <w:szCs w:val="21"/>
                    </w:rPr>
                    <w:t>污水主管（下沟）</w:t>
                  </w:r>
                </w:p>
              </w:tc>
              <w:tc>
                <w:tcPr>
                  <w:tcW w:w="1417" w:type="dxa"/>
                  <w:vAlign w:val="center"/>
                </w:tcPr>
                <w:p>
                  <w:pPr>
                    <w:adjustRightInd w:val="0"/>
                    <w:snapToGrid w:val="0"/>
                    <w:jc w:val="center"/>
                    <w:rPr>
                      <w:rFonts w:eastAsiaTheme="minorEastAsia"/>
                      <w:color w:val="auto"/>
                      <w:szCs w:val="21"/>
                    </w:rPr>
                  </w:pPr>
                  <w:r>
                    <w:rPr>
                      <w:rFonts w:eastAsiaTheme="minorEastAsia"/>
                      <w:color w:val="auto"/>
                      <w:szCs w:val="21"/>
                    </w:rPr>
                    <w:t>140m</w:t>
                  </w:r>
                </w:p>
              </w:tc>
              <w:tc>
                <w:tcPr>
                  <w:tcW w:w="993" w:type="dxa"/>
                  <w:vAlign w:val="center"/>
                </w:tcPr>
                <w:p>
                  <w:pPr>
                    <w:adjustRightInd w:val="0"/>
                    <w:snapToGrid w:val="0"/>
                    <w:jc w:val="center"/>
                    <w:rPr>
                      <w:rFonts w:eastAsiaTheme="minorEastAsia"/>
                      <w:color w:val="auto"/>
                      <w:szCs w:val="21"/>
                    </w:rPr>
                  </w:pPr>
                  <w:r>
                    <w:rPr>
                      <w:rFonts w:eastAsiaTheme="minorEastAsia"/>
                      <w:color w:val="auto"/>
                      <w:szCs w:val="21"/>
                    </w:rPr>
                    <w:t>162.4</w:t>
                  </w:r>
                </w:p>
              </w:tc>
              <w:tc>
                <w:tcPr>
                  <w:tcW w:w="1275" w:type="dxa"/>
                  <w:vAlign w:val="center"/>
                </w:tcPr>
                <w:p>
                  <w:pPr>
                    <w:adjustRightInd w:val="0"/>
                    <w:snapToGrid w:val="0"/>
                    <w:jc w:val="center"/>
                    <w:rPr>
                      <w:rFonts w:eastAsiaTheme="minorEastAsia"/>
                      <w:color w:val="auto"/>
                      <w:szCs w:val="21"/>
                    </w:rPr>
                  </w:pPr>
                  <w:r>
                    <w:rPr>
                      <w:rFonts w:eastAsiaTheme="minorEastAsia"/>
                      <w:color w:val="auto"/>
                      <w:szCs w:val="21"/>
                    </w:rPr>
                    <w:t>112.4</w:t>
                  </w:r>
                </w:p>
              </w:tc>
              <w:tc>
                <w:tcPr>
                  <w:tcW w:w="993" w:type="dxa"/>
                  <w:vAlign w:val="center"/>
                </w:tcPr>
                <w:p>
                  <w:pPr>
                    <w:adjustRightInd w:val="0"/>
                    <w:snapToGrid w:val="0"/>
                    <w:jc w:val="center"/>
                    <w:rPr>
                      <w:rFonts w:eastAsiaTheme="minorEastAsia"/>
                      <w:color w:val="auto"/>
                      <w:szCs w:val="21"/>
                    </w:rPr>
                  </w:pP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45</w:t>
                  </w:r>
                </w:p>
              </w:tc>
              <w:tc>
                <w:tcPr>
                  <w:tcW w:w="1076" w:type="dxa"/>
                  <w:vAlign w:val="center"/>
                </w:tcPr>
                <w:p>
                  <w:pPr>
                    <w:adjustRightInd w:val="0"/>
                    <w:snapToGrid w:val="0"/>
                    <w:jc w:val="center"/>
                    <w:rPr>
                      <w:rFonts w:eastAsiaTheme="minorEastAsia"/>
                      <w:color w:val="auto"/>
                      <w:szCs w:val="21"/>
                    </w:rPr>
                  </w:pPr>
                  <w:r>
                    <w:rPr>
                      <w:rFonts w:eastAsiaTheme="minorEastAsia"/>
                      <w:color w:val="auto"/>
                      <w:szCs w:val="21"/>
                    </w:rPr>
                    <w:t>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9" w:hRule="atLeast"/>
              </w:trPr>
              <w:tc>
                <w:tcPr>
                  <w:tcW w:w="709" w:type="dxa"/>
                  <w:vAlign w:val="center"/>
                </w:tcPr>
                <w:p>
                  <w:pPr>
                    <w:adjustRightInd w:val="0"/>
                    <w:snapToGrid w:val="0"/>
                    <w:jc w:val="center"/>
                    <w:rPr>
                      <w:rFonts w:eastAsiaTheme="minorEastAsia"/>
                      <w:color w:val="auto"/>
                      <w:szCs w:val="21"/>
                    </w:rPr>
                  </w:pPr>
                  <w:r>
                    <w:rPr>
                      <w:rFonts w:eastAsiaTheme="minorEastAsia"/>
                      <w:color w:val="auto"/>
                      <w:szCs w:val="21"/>
                    </w:rPr>
                    <w:t>5</w:t>
                  </w:r>
                </w:p>
              </w:tc>
              <w:tc>
                <w:tcPr>
                  <w:tcW w:w="1276" w:type="dxa"/>
                  <w:vAlign w:val="center"/>
                </w:tcPr>
                <w:p>
                  <w:pPr>
                    <w:adjustRightInd w:val="0"/>
                    <w:snapToGrid w:val="0"/>
                    <w:jc w:val="center"/>
                    <w:rPr>
                      <w:rFonts w:eastAsiaTheme="minorEastAsia"/>
                      <w:color w:val="auto"/>
                      <w:szCs w:val="21"/>
                    </w:rPr>
                  </w:pPr>
                  <w:r>
                    <w:rPr>
                      <w:rFonts w:eastAsiaTheme="minorEastAsia"/>
                      <w:color w:val="auto"/>
                      <w:szCs w:val="21"/>
                    </w:rPr>
                    <w:t>预处理池</w:t>
                  </w:r>
                </w:p>
              </w:tc>
              <w:tc>
                <w:tcPr>
                  <w:tcW w:w="1417" w:type="dxa"/>
                  <w:vAlign w:val="center"/>
                </w:tcPr>
                <w:p>
                  <w:pPr>
                    <w:adjustRightInd w:val="0"/>
                    <w:snapToGrid w:val="0"/>
                    <w:jc w:val="center"/>
                    <w:rPr>
                      <w:rFonts w:eastAsiaTheme="minorEastAsia"/>
                      <w:color w:val="auto"/>
                      <w:szCs w:val="21"/>
                    </w:rPr>
                  </w:pPr>
                  <w:r>
                    <w:rPr>
                      <w:rFonts w:eastAsiaTheme="minorEastAsia"/>
                      <w:color w:val="auto"/>
                      <w:szCs w:val="21"/>
                    </w:rPr>
                    <w:t>80m</w:t>
                  </w:r>
                  <w:r>
                    <w:rPr>
                      <w:rFonts w:eastAsiaTheme="minorEastAsia"/>
                      <w:color w:val="auto"/>
                      <w:szCs w:val="21"/>
                      <w:vertAlign w:val="superscript"/>
                    </w:rPr>
                    <w:t>3</w:t>
                  </w:r>
                </w:p>
              </w:tc>
              <w:tc>
                <w:tcPr>
                  <w:tcW w:w="993" w:type="dxa"/>
                  <w:vAlign w:val="center"/>
                </w:tcPr>
                <w:p>
                  <w:pPr>
                    <w:adjustRightInd w:val="0"/>
                    <w:snapToGrid w:val="0"/>
                    <w:jc w:val="center"/>
                    <w:rPr>
                      <w:rFonts w:eastAsiaTheme="minorEastAsia"/>
                      <w:color w:val="auto"/>
                      <w:szCs w:val="21"/>
                    </w:rPr>
                  </w:pPr>
                  <w:r>
                    <w:rPr>
                      <w:rFonts w:eastAsiaTheme="minorEastAsia"/>
                      <w:color w:val="auto"/>
                      <w:szCs w:val="21"/>
                    </w:rPr>
                    <w:t>110</w:t>
                  </w:r>
                </w:p>
              </w:tc>
              <w:tc>
                <w:tcPr>
                  <w:tcW w:w="1275" w:type="dxa"/>
                  <w:vAlign w:val="center"/>
                </w:tcPr>
                <w:p>
                  <w:pPr>
                    <w:adjustRightInd w:val="0"/>
                    <w:snapToGrid w:val="0"/>
                    <w:jc w:val="center"/>
                    <w:rPr>
                      <w:rFonts w:eastAsiaTheme="minorEastAsia"/>
                      <w:color w:val="auto"/>
                      <w:szCs w:val="21"/>
                    </w:rPr>
                  </w:pPr>
                  <w:r>
                    <w:rPr>
                      <w:rFonts w:eastAsiaTheme="minorEastAsia"/>
                      <w:color w:val="auto"/>
                      <w:szCs w:val="21"/>
                    </w:rPr>
                    <w:t>40</w:t>
                  </w:r>
                </w:p>
              </w:tc>
              <w:tc>
                <w:tcPr>
                  <w:tcW w:w="993" w:type="dxa"/>
                  <w:vAlign w:val="center"/>
                </w:tcPr>
                <w:p>
                  <w:pPr>
                    <w:adjustRightInd w:val="0"/>
                    <w:snapToGrid w:val="0"/>
                    <w:jc w:val="center"/>
                    <w:rPr>
                      <w:rFonts w:eastAsiaTheme="minorEastAsia"/>
                      <w:color w:val="auto"/>
                      <w:szCs w:val="21"/>
                    </w:rPr>
                  </w:pP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70</w:t>
                  </w:r>
                </w:p>
              </w:tc>
              <w:tc>
                <w:tcPr>
                  <w:tcW w:w="1076" w:type="dxa"/>
                  <w:vAlign w:val="center"/>
                </w:tcPr>
                <w:p>
                  <w:pPr>
                    <w:adjustRightInd w:val="0"/>
                    <w:snapToGrid w:val="0"/>
                    <w:jc w:val="center"/>
                    <w:rPr>
                      <w:rFonts w:eastAsiaTheme="min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9" w:hRule="atLeast"/>
              </w:trPr>
              <w:tc>
                <w:tcPr>
                  <w:tcW w:w="709" w:type="dxa"/>
                  <w:vAlign w:val="center"/>
                </w:tcPr>
                <w:p>
                  <w:pPr>
                    <w:adjustRightInd w:val="0"/>
                    <w:snapToGrid w:val="0"/>
                    <w:jc w:val="center"/>
                    <w:rPr>
                      <w:rFonts w:eastAsiaTheme="minorEastAsia"/>
                      <w:color w:val="auto"/>
                      <w:szCs w:val="21"/>
                    </w:rPr>
                  </w:pPr>
                  <w:r>
                    <w:rPr>
                      <w:rFonts w:eastAsiaTheme="minorEastAsia"/>
                      <w:color w:val="auto"/>
                      <w:szCs w:val="21"/>
                    </w:rPr>
                    <w:t>6</w:t>
                  </w:r>
                </w:p>
              </w:tc>
              <w:tc>
                <w:tcPr>
                  <w:tcW w:w="1276" w:type="dxa"/>
                  <w:vAlign w:val="center"/>
                </w:tcPr>
                <w:p>
                  <w:pPr>
                    <w:adjustRightInd w:val="0"/>
                    <w:snapToGrid w:val="0"/>
                    <w:jc w:val="center"/>
                    <w:rPr>
                      <w:rFonts w:eastAsiaTheme="minorEastAsia"/>
                      <w:color w:val="auto"/>
                      <w:szCs w:val="21"/>
                    </w:rPr>
                  </w:pPr>
                  <w:r>
                    <w:rPr>
                      <w:rFonts w:eastAsiaTheme="minorEastAsia"/>
                      <w:color w:val="auto"/>
                      <w:szCs w:val="21"/>
                    </w:rPr>
                    <w:t>格栅池</w:t>
                  </w:r>
                </w:p>
              </w:tc>
              <w:tc>
                <w:tcPr>
                  <w:tcW w:w="1417" w:type="dxa"/>
                  <w:vAlign w:val="center"/>
                </w:tcPr>
                <w:p>
                  <w:pPr>
                    <w:adjustRightInd w:val="0"/>
                    <w:snapToGrid w:val="0"/>
                    <w:jc w:val="center"/>
                    <w:rPr>
                      <w:rFonts w:eastAsiaTheme="minorEastAsia"/>
                      <w:color w:val="auto"/>
                      <w:szCs w:val="21"/>
                    </w:rPr>
                  </w:pPr>
                  <w:r>
                    <w:rPr>
                      <w:rFonts w:eastAsiaTheme="minorEastAsia"/>
                      <w:color w:val="auto"/>
                      <w:szCs w:val="21"/>
                    </w:rPr>
                    <w:t>73.6m</w:t>
                  </w:r>
                  <w:r>
                    <w:rPr>
                      <w:rFonts w:eastAsiaTheme="minorEastAsia"/>
                      <w:color w:val="auto"/>
                      <w:szCs w:val="21"/>
                      <w:vertAlign w:val="superscript"/>
                    </w:rPr>
                    <w:t>3</w:t>
                  </w:r>
                </w:p>
              </w:tc>
              <w:tc>
                <w:tcPr>
                  <w:tcW w:w="993" w:type="dxa"/>
                  <w:vAlign w:val="center"/>
                </w:tcPr>
                <w:p>
                  <w:pPr>
                    <w:adjustRightInd w:val="0"/>
                    <w:snapToGrid w:val="0"/>
                    <w:jc w:val="center"/>
                    <w:rPr>
                      <w:rFonts w:eastAsiaTheme="minorEastAsia"/>
                      <w:color w:val="auto"/>
                      <w:szCs w:val="21"/>
                    </w:rPr>
                  </w:pPr>
                  <w:r>
                    <w:rPr>
                      <w:rFonts w:eastAsiaTheme="minorEastAsia"/>
                      <w:color w:val="auto"/>
                      <w:szCs w:val="21"/>
                    </w:rPr>
                    <w:t>101.2</w:t>
                  </w:r>
                </w:p>
              </w:tc>
              <w:tc>
                <w:tcPr>
                  <w:tcW w:w="1275" w:type="dxa"/>
                  <w:vAlign w:val="center"/>
                </w:tcPr>
                <w:p>
                  <w:pPr>
                    <w:adjustRightInd w:val="0"/>
                    <w:snapToGrid w:val="0"/>
                    <w:jc w:val="center"/>
                    <w:rPr>
                      <w:rFonts w:eastAsiaTheme="minorEastAsia"/>
                      <w:color w:val="auto"/>
                      <w:szCs w:val="21"/>
                    </w:rPr>
                  </w:pPr>
                  <w:r>
                    <w:rPr>
                      <w:rFonts w:eastAsiaTheme="minorEastAsia"/>
                      <w:color w:val="auto"/>
                      <w:szCs w:val="21"/>
                    </w:rPr>
                    <w:t>31.2</w:t>
                  </w:r>
                </w:p>
              </w:tc>
              <w:tc>
                <w:tcPr>
                  <w:tcW w:w="993" w:type="dxa"/>
                  <w:vAlign w:val="center"/>
                </w:tcPr>
                <w:p>
                  <w:pPr>
                    <w:adjustRightInd w:val="0"/>
                    <w:snapToGrid w:val="0"/>
                    <w:jc w:val="center"/>
                    <w:rPr>
                      <w:rFonts w:eastAsiaTheme="minorEastAsia"/>
                      <w:color w:val="auto"/>
                      <w:szCs w:val="21"/>
                    </w:rPr>
                  </w:pP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70</w:t>
                  </w:r>
                </w:p>
              </w:tc>
              <w:tc>
                <w:tcPr>
                  <w:tcW w:w="1076" w:type="dxa"/>
                  <w:vAlign w:val="center"/>
                </w:tcPr>
                <w:p>
                  <w:pPr>
                    <w:adjustRightInd w:val="0"/>
                    <w:snapToGrid w:val="0"/>
                    <w:jc w:val="center"/>
                    <w:rPr>
                      <w:rFonts w:eastAsiaTheme="min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9" w:hRule="atLeast"/>
              </w:trPr>
              <w:tc>
                <w:tcPr>
                  <w:tcW w:w="709" w:type="dxa"/>
                  <w:vAlign w:val="center"/>
                </w:tcPr>
                <w:p>
                  <w:pPr>
                    <w:adjustRightInd w:val="0"/>
                    <w:snapToGrid w:val="0"/>
                    <w:jc w:val="center"/>
                    <w:rPr>
                      <w:rFonts w:eastAsiaTheme="minorEastAsia"/>
                      <w:color w:val="auto"/>
                      <w:szCs w:val="21"/>
                    </w:rPr>
                  </w:pPr>
                  <w:r>
                    <w:rPr>
                      <w:rFonts w:eastAsiaTheme="minorEastAsia"/>
                      <w:color w:val="auto"/>
                      <w:szCs w:val="21"/>
                    </w:rPr>
                    <w:t>7</w:t>
                  </w:r>
                </w:p>
              </w:tc>
              <w:tc>
                <w:tcPr>
                  <w:tcW w:w="1276" w:type="dxa"/>
                  <w:vAlign w:val="center"/>
                </w:tcPr>
                <w:p>
                  <w:pPr>
                    <w:adjustRightInd w:val="0"/>
                    <w:snapToGrid w:val="0"/>
                    <w:jc w:val="center"/>
                    <w:rPr>
                      <w:rFonts w:eastAsiaTheme="minorEastAsia"/>
                      <w:color w:val="auto"/>
                      <w:szCs w:val="21"/>
                    </w:rPr>
                  </w:pPr>
                  <w:r>
                    <w:rPr>
                      <w:rFonts w:eastAsiaTheme="minorEastAsia"/>
                      <w:color w:val="auto"/>
                      <w:szCs w:val="21"/>
                    </w:rPr>
                    <w:t>调节池</w:t>
                  </w:r>
                </w:p>
              </w:tc>
              <w:tc>
                <w:tcPr>
                  <w:tcW w:w="1417" w:type="dxa"/>
                  <w:vAlign w:val="center"/>
                </w:tcPr>
                <w:p>
                  <w:pPr>
                    <w:adjustRightInd w:val="0"/>
                    <w:snapToGrid w:val="0"/>
                    <w:jc w:val="center"/>
                    <w:rPr>
                      <w:rFonts w:eastAsiaTheme="minorEastAsia"/>
                      <w:color w:val="auto"/>
                      <w:szCs w:val="21"/>
                    </w:rPr>
                  </w:pPr>
                  <w:r>
                    <w:rPr>
                      <w:rFonts w:eastAsiaTheme="minorEastAsia"/>
                      <w:color w:val="auto"/>
                      <w:szCs w:val="21"/>
                    </w:rPr>
                    <w:t>256m</w:t>
                  </w:r>
                  <w:r>
                    <w:rPr>
                      <w:rFonts w:eastAsiaTheme="minorEastAsia"/>
                      <w:color w:val="auto"/>
                      <w:szCs w:val="21"/>
                      <w:vertAlign w:val="superscript"/>
                    </w:rPr>
                    <w:t>3</w:t>
                  </w:r>
                </w:p>
              </w:tc>
              <w:tc>
                <w:tcPr>
                  <w:tcW w:w="993" w:type="dxa"/>
                  <w:vAlign w:val="center"/>
                </w:tcPr>
                <w:p>
                  <w:pPr>
                    <w:adjustRightInd w:val="0"/>
                    <w:snapToGrid w:val="0"/>
                    <w:jc w:val="center"/>
                    <w:rPr>
                      <w:rFonts w:eastAsiaTheme="minorEastAsia"/>
                      <w:color w:val="auto"/>
                      <w:szCs w:val="21"/>
                    </w:rPr>
                  </w:pPr>
                  <w:r>
                    <w:rPr>
                      <w:rFonts w:eastAsiaTheme="minorEastAsia"/>
                      <w:color w:val="auto"/>
                      <w:szCs w:val="21"/>
                    </w:rPr>
                    <w:t>352</w:t>
                  </w:r>
                </w:p>
              </w:tc>
              <w:tc>
                <w:tcPr>
                  <w:tcW w:w="1275" w:type="dxa"/>
                  <w:vAlign w:val="center"/>
                </w:tcPr>
                <w:p>
                  <w:pPr>
                    <w:adjustRightInd w:val="0"/>
                    <w:snapToGrid w:val="0"/>
                    <w:jc w:val="center"/>
                    <w:rPr>
                      <w:rFonts w:eastAsiaTheme="minorEastAsia"/>
                      <w:color w:val="auto"/>
                      <w:szCs w:val="21"/>
                    </w:rPr>
                  </w:pPr>
                  <w:r>
                    <w:rPr>
                      <w:rFonts w:eastAsiaTheme="minorEastAsia"/>
                      <w:color w:val="auto"/>
                      <w:szCs w:val="21"/>
                    </w:rPr>
                    <w:t>100</w:t>
                  </w:r>
                </w:p>
              </w:tc>
              <w:tc>
                <w:tcPr>
                  <w:tcW w:w="993" w:type="dxa"/>
                  <w:vAlign w:val="center"/>
                </w:tcPr>
                <w:p>
                  <w:pPr>
                    <w:adjustRightInd w:val="0"/>
                    <w:snapToGrid w:val="0"/>
                    <w:jc w:val="center"/>
                    <w:rPr>
                      <w:rFonts w:eastAsiaTheme="minorEastAsia"/>
                      <w:color w:val="auto"/>
                      <w:szCs w:val="21"/>
                    </w:rPr>
                  </w:pP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252</w:t>
                  </w:r>
                </w:p>
              </w:tc>
              <w:tc>
                <w:tcPr>
                  <w:tcW w:w="1076" w:type="dxa"/>
                  <w:vAlign w:val="center"/>
                </w:tcPr>
                <w:p>
                  <w:pPr>
                    <w:adjustRightInd w:val="0"/>
                    <w:snapToGrid w:val="0"/>
                    <w:jc w:val="center"/>
                    <w:rPr>
                      <w:rFonts w:eastAsiaTheme="min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9" w:hRule="atLeast"/>
              </w:trPr>
              <w:tc>
                <w:tcPr>
                  <w:tcW w:w="709" w:type="dxa"/>
                  <w:vAlign w:val="center"/>
                </w:tcPr>
                <w:p>
                  <w:pPr>
                    <w:adjustRightInd w:val="0"/>
                    <w:snapToGrid w:val="0"/>
                    <w:jc w:val="center"/>
                    <w:rPr>
                      <w:rFonts w:eastAsiaTheme="minorEastAsia"/>
                      <w:color w:val="auto"/>
                      <w:szCs w:val="21"/>
                    </w:rPr>
                  </w:pPr>
                  <w:r>
                    <w:rPr>
                      <w:rFonts w:eastAsiaTheme="minorEastAsia"/>
                      <w:color w:val="auto"/>
                      <w:szCs w:val="21"/>
                    </w:rPr>
                    <w:t>8</w:t>
                  </w:r>
                </w:p>
              </w:tc>
              <w:tc>
                <w:tcPr>
                  <w:tcW w:w="1276" w:type="dxa"/>
                  <w:vAlign w:val="center"/>
                </w:tcPr>
                <w:p>
                  <w:pPr>
                    <w:adjustRightInd w:val="0"/>
                    <w:snapToGrid w:val="0"/>
                    <w:jc w:val="center"/>
                    <w:rPr>
                      <w:rFonts w:eastAsiaTheme="minorEastAsia"/>
                      <w:color w:val="auto"/>
                      <w:szCs w:val="21"/>
                    </w:rPr>
                  </w:pPr>
                  <w:r>
                    <w:rPr>
                      <w:rFonts w:eastAsiaTheme="minorEastAsia"/>
                      <w:color w:val="auto"/>
                      <w:szCs w:val="21"/>
                    </w:rPr>
                    <w:t>一体化设备</w:t>
                  </w:r>
                </w:p>
              </w:tc>
              <w:tc>
                <w:tcPr>
                  <w:tcW w:w="1417" w:type="dxa"/>
                  <w:vAlign w:val="center"/>
                </w:tcPr>
                <w:p>
                  <w:pPr>
                    <w:adjustRightInd w:val="0"/>
                    <w:snapToGrid w:val="0"/>
                    <w:jc w:val="center"/>
                    <w:rPr>
                      <w:rFonts w:eastAsiaTheme="minorEastAsia"/>
                      <w:color w:val="auto"/>
                      <w:szCs w:val="21"/>
                    </w:rPr>
                  </w:pPr>
                  <w:r>
                    <w:rPr>
                      <w:rFonts w:eastAsiaTheme="minorEastAsia"/>
                      <w:color w:val="auto"/>
                      <w:szCs w:val="21"/>
                    </w:rPr>
                    <w:t>114.4m</w:t>
                  </w:r>
                  <w:r>
                    <w:rPr>
                      <w:rFonts w:eastAsiaTheme="minorEastAsia"/>
                      <w:color w:val="auto"/>
                      <w:szCs w:val="21"/>
                      <w:vertAlign w:val="superscript"/>
                    </w:rPr>
                    <w:t>3</w:t>
                  </w:r>
                  <w:r>
                    <w:rPr>
                      <w:rFonts w:eastAsiaTheme="minorEastAsia"/>
                      <w:color w:val="auto"/>
                      <w:kern w:val="0"/>
                      <w:szCs w:val="21"/>
                    </w:rPr>
                    <w:t>×</w:t>
                  </w:r>
                  <w:r>
                    <w:rPr>
                      <w:rFonts w:eastAsiaTheme="minorEastAsia"/>
                      <w:color w:val="auto"/>
                      <w:szCs w:val="21"/>
                    </w:rPr>
                    <w:t>2台</w:t>
                  </w:r>
                </w:p>
              </w:tc>
              <w:tc>
                <w:tcPr>
                  <w:tcW w:w="993" w:type="dxa"/>
                  <w:vAlign w:val="center"/>
                </w:tcPr>
                <w:p>
                  <w:pPr>
                    <w:adjustRightInd w:val="0"/>
                    <w:snapToGrid w:val="0"/>
                    <w:jc w:val="center"/>
                    <w:rPr>
                      <w:rFonts w:eastAsiaTheme="minorEastAsia"/>
                      <w:color w:val="auto"/>
                      <w:szCs w:val="21"/>
                    </w:rPr>
                  </w:pPr>
                  <w:r>
                    <w:rPr>
                      <w:rFonts w:eastAsiaTheme="minorEastAsia"/>
                      <w:color w:val="auto"/>
                      <w:szCs w:val="21"/>
                    </w:rPr>
                    <w:t>306.8</w:t>
                  </w:r>
                </w:p>
              </w:tc>
              <w:tc>
                <w:tcPr>
                  <w:tcW w:w="1275" w:type="dxa"/>
                  <w:vAlign w:val="center"/>
                </w:tcPr>
                <w:p>
                  <w:pPr>
                    <w:adjustRightInd w:val="0"/>
                    <w:snapToGrid w:val="0"/>
                    <w:jc w:val="center"/>
                    <w:rPr>
                      <w:rFonts w:eastAsiaTheme="minorEastAsia"/>
                      <w:color w:val="auto"/>
                      <w:szCs w:val="21"/>
                    </w:rPr>
                  </w:pPr>
                  <w:r>
                    <w:rPr>
                      <w:rFonts w:eastAsiaTheme="minorEastAsia"/>
                      <w:color w:val="auto"/>
                      <w:szCs w:val="21"/>
                    </w:rPr>
                    <w:t>100.8</w:t>
                  </w:r>
                </w:p>
              </w:tc>
              <w:tc>
                <w:tcPr>
                  <w:tcW w:w="993" w:type="dxa"/>
                  <w:vAlign w:val="center"/>
                </w:tcPr>
                <w:p>
                  <w:pPr>
                    <w:adjustRightInd w:val="0"/>
                    <w:snapToGrid w:val="0"/>
                    <w:jc w:val="center"/>
                    <w:rPr>
                      <w:rFonts w:eastAsiaTheme="minorEastAsia"/>
                      <w:color w:val="auto"/>
                      <w:szCs w:val="21"/>
                    </w:rPr>
                  </w:pP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206</w:t>
                  </w:r>
                </w:p>
              </w:tc>
              <w:tc>
                <w:tcPr>
                  <w:tcW w:w="1076" w:type="dxa"/>
                  <w:vAlign w:val="center"/>
                </w:tcPr>
                <w:p>
                  <w:pPr>
                    <w:adjustRightInd w:val="0"/>
                    <w:snapToGrid w:val="0"/>
                    <w:jc w:val="center"/>
                    <w:rPr>
                      <w:rFonts w:eastAsiaTheme="min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9" w:hRule="atLeast"/>
              </w:trPr>
              <w:tc>
                <w:tcPr>
                  <w:tcW w:w="709" w:type="dxa"/>
                  <w:vAlign w:val="center"/>
                </w:tcPr>
                <w:p>
                  <w:pPr>
                    <w:adjustRightInd w:val="0"/>
                    <w:snapToGrid w:val="0"/>
                    <w:jc w:val="center"/>
                    <w:rPr>
                      <w:rFonts w:eastAsiaTheme="minorEastAsia"/>
                      <w:color w:val="auto"/>
                      <w:szCs w:val="21"/>
                    </w:rPr>
                  </w:pPr>
                  <w:r>
                    <w:rPr>
                      <w:rFonts w:eastAsiaTheme="minorEastAsia"/>
                      <w:color w:val="auto"/>
                      <w:szCs w:val="21"/>
                    </w:rPr>
                    <w:t>9</w:t>
                  </w:r>
                </w:p>
              </w:tc>
              <w:tc>
                <w:tcPr>
                  <w:tcW w:w="1276" w:type="dxa"/>
                  <w:vAlign w:val="center"/>
                </w:tcPr>
                <w:p>
                  <w:pPr>
                    <w:adjustRightInd w:val="0"/>
                    <w:snapToGrid w:val="0"/>
                    <w:jc w:val="center"/>
                    <w:rPr>
                      <w:rFonts w:eastAsiaTheme="minorEastAsia"/>
                      <w:color w:val="auto"/>
                      <w:szCs w:val="21"/>
                    </w:rPr>
                  </w:pPr>
                  <w:r>
                    <w:rPr>
                      <w:rFonts w:eastAsiaTheme="minorEastAsia"/>
                      <w:color w:val="auto"/>
                      <w:szCs w:val="21"/>
                    </w:rPr>
                    <w:t>巴氏计量槽</w:t>
                  </w:r>
                </w:p>
              </w:tc>
              <w:tc>
                <w:tcPr>
                  <w:tcW w:w="1417" w:type="dxa"/>
                  <w:vAlign w:val="center"/>
                </w:tcPr>
                <w:p>
                  <w:pPr>
                    <w:adjustRightInd w:val="0"/>
                    <w:snapToGrid w:val="0"/>
                    <w:jc w:val="center"/>
                    <w:rPr>
                      <w:rFonts w:eastAsiaTheme="minorEastAsia"/>
                      <w:color w:val="auto"/>
                      <w:szCs w:val="21"/>
                    </w:rPr>
                  </w:pPr>
                  <w:r>
                    <w:rPr>
                      <w:rFonts w:eastAsiaTheme="minorEastAsia"/>
                      <w:color w:val="auto"/>
                      <w:szCs w:val="21"/>
                    </w:rPr>
                    <w:t>2.16m</w:t>
                  </w:r>
                  <w:r>
                    <w:rPr>
                      <w:rFonts w:eastAsiaTheme="minorEastAsia"/>
                      <w:color w:val="auto"/>
                      <w:szCs w:val="21"/>
                      <w:vertAlign w:val="superscript"/>
                    </w:rPr>
                    <w:t>3</w:t>
                  </w:r>
                </w:p>
              </w:tc>
              <w:tc>
                <w:tcPr>
                  <w:tcW w:w="993" w:type="dxa"/>
                  <w:vAlign w:val="center"/>
                </w:tcPr>
                <w:p>
                  <w:pPr>
                    <w:adjustRightInd w:val="0"/>
                    <w:snapToGrid w:val="0"/>
                    <w:jc w:val="center"/>
                    <w:rPr>
                      <w:rFonts w:eastAsiaTheme="minorEastAsia"/>
                      <w:color w:val="auto"/>
                      <w:szCs w:val="21"/>
                    </w:rPr>
                  </w:pPr>
                  <w:r>
                    <w:rPr>
                      <w:rFonts w:eastAsiaTheme="minorEastAsia"/>
                      <w:color w:val="auto"/>
                      <w:szCs w:val="21"/>
                    </w:rPr>
                    <w:t>3.96</w:t>
                  </w:r>
                </w:p>
              </w:tc>
              <w:tc>
                <w:tcPr>
                  <w:tcW w:w="1275" w:type="dxa"/>
                  <w:vAlign w:val="center"/>
                </w:tcPr>
                <w:p>
                  <w:pPr>
                    <w:adjustRightInd w:val="0"/>
                    <w:snapToGrid w:val="0"/>
                    <w:jc w:val="center"/>
                    <w:rPr>
                      <w:rFonts w:eastAsiaTheme="minorEastAsia"/>
                      <w:color w:val="auto"/>
                      <w:szCs w:val="21"/>
                    </w:rPr>
                  </w:pPr>
                  <w:r>
                    <w:rPr>
                      <w:rFonts w:eastAsiaTheme="minorEastAsia"/>
                      <w:color w:val="auto"/>
                      <w:szCs w:val="21"/>
                    </w:rPr>
                    <w:t>1.96</w:t>
                  </w:r>
                </w:p>
              </w:tc>
              <w:tc>
                <w:tcPr>
                  <w:tcW w:w="993" w:type="dxa"/>
                  <w:vAlign w:val="center"/>
                </w:tcPr>
                <w:p>
                  <w:pPr>
                    <w:adjustRightInd w:val="0"/>
                    <w:snapToGrid w:val="0"/>
                    <w:jc w:val="center"/>
                    <w:rPr>
                      <w:rFonts w:eastAsiaTheme="minorEastAsia"/>
                      <w:color w:val="auto"/>
                      <w:szCs w:val="21"/>
                    </w:rPr>
                  </w:pP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2</w:t>
                  </w:r>
                </w:p>
              </w:tc>
              <w:tc>
                <w:tcPr>
                  <w:tcW w:w="1076" w:type="dxa"/>
                  <w:vAlign w:val="center"/>
                </w:tcPr>
                <w:p>
                  <w:pPr>
                    <w:adjustRightInd w:val="0"/>
                    <w:snapToGrid w:val="0"/>
                    <w:jc w:val="center"/>
                    <w:rPr>
                      <w:rFonts w:eastAsiaTheme="min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9" w:hRule="atLeast"/>
              </w:trPr>
              <w:tc>
                <w:tcPr>
                  <w:tcW w:w="709" w:type="dxa"/>
                  <w:vAlign w:val="center"/>
                </w:tcPr>
                <w:p>
                  <w:pPr>
                    <w:adjustRightInd w:val="0"/>
                    <w:snapToGrid w:val="0"/>
                    <w:jc w:val="center"/>
                    <w:rPr>
                      <w:rFonts w:eastAsiaTheme="minorEastAsia"/>
                      <w:color w:val="auto"/>
                      <w:szCs w:val="21"/>
                    </w:rPr>
                  </w:pPr>
                  <w:r>
                    <w:rPr>
                      <w:rFonts w:eastAsiaTheme="minorEastAsia"/>
                      <w:color w:val="auto"/>
                      <w:szCs w:val="21"/>
                    </w:rPr>
                    <w:t>10</w:t>
                  </w:r>
                </w:p>
              </w:tc>
              <w:tc>
                <w:tcPr>
                  <w:tcW w:w="1276" w:type="dxa"/>
                  <w:vAlign w:val="center"/>
                </w:tcPr>
                <w:p>
                  <w:pPr>
                    <w:adjustRightInd w:val="0"/>
                    <w:snapToGrid w:val="0"/>
                    <w:jc w:val="center"/>
                    <w:rPr>
                      <w:rFonts w:eastAsiaTheme="minorEastAsia"/>
                      <w:color w:val="auto"/>
                      <w:szCs w:val="21"/>
                    </w:rPr>
                  </w:pPr>
                  <w:r>
                    <w:rPr>
                      <w:rFonts w:eastAsiaTheme="minorEastAsia"/>
                      <w:color w:val="auto"/>
                      <w:szCs w:val="21"/>
                    </w:rPr>
                    <w:t>储泥池</w:t>
                  </w:r>
                </w:p>
              </w:tc>
              <w:tc>
                <w:tcPr>
                  <w:tcW w:w="1417" w:type="dxa"/>
                  <w:vAlign w:val="center"/>
                </w:tcPr>
                <w:p>
                  <w:pPr>
                    <w:adjustRightInd w:val="0"/>
                    <w:snapToGrid w:val="0"/>
                    <w:jc w:val="center"/>
                    <w:rPr>
                      <w:rFonts w:eastAsiaTheme="minorEastAsia"/>
                      <w:color w:val="auto"/>
                      <w:szCs w:val="21"/>
                    </w:rPr>
                  </w:pPr>
                  <w:r>
                    <w:rPr>
                      <w:rFonts w:eastAsiaTheme="minorEastAsia"/>
                      <w:color w:val="auto"/>
                      <w:szCs w:val="21"/>
                    </w:rPr>
                    <w:t>15.625m</w:t>
                  </w:r>
                  <w:r>
                    <w:rPr>
                      <w:rFonts w:eastAsiaTheme="minorEastAsia"/>
                      <w:color w:val="auto"/>
                      <w:szCs w:val="21"/>
                      <w:vertAlign w:val="superscript"/>
                    </w:rPr>
                    <w:t>3</w:t>
                  </w:r>
                </w:p>
              </w:tc>
              <w:tc>
                <w:tcPr>
                  <w:tcW w:w="993" w:type="dxa"/>
                  <w:vAlign w:val="center"/>
                </w:tcPr>
                <w:p>
                  <w:pPr>
                    <w:adjustRightInd w:val="0"/>
                    <w:snapToGrid w:val="0"/>
                    <w:jc w:val="center"/>
                    <w:rPr>
                      <w:rFonts w:eastAsiaTheme="minorEastAsia"/>
                      <w:color w:val="auto"/>
                      <w:szCs w:val="21"/>
                    </w:rPr>
                  </w:pPr>
                  <w:r>
                    <w:rPr>
                      <w:rFonts w:eastAsiaTheme="minorEastAsia"/>
                      <w:color w:val="auto"/>
                      <w:szCs w:val="21"/>
                    </w:rPr>
                    <w:t>25</w:t>
                  </w:r>
                </w:p>
              </w:tc>
              <w:tc>
                <w:tcPr>
                  <w:tcW w:w="1275" w:type="dxa"/>
                  <w:vAlign w:val="center"/>
                </w:tcPr>
                <w:p>
                  <w:pPr>
                    <w:adjustRightInd w:val="0"/>
                    <w:snapToGrid w:val="0"/>
                    <w:jc w:val="center"/>
                    <w:rPr>
                      <w:rFonts w:eastAsiaTheme="minorEastAsia"/>
                      <w:color w:val="auto"/>
                      <w:szCs w:val="21"/>
                    </w:rPr>
                  </w:pPr>
                  <w:r>
                    <w:rPr>
                      <w:rFonts w:eastAsiaTheme="minorEastAsia"/>
                      <w:color w:val="auto"/>
                      <w:szCs w:val="21"/>
                    </w:rPr>
                    <w:t>10</w:t>
                  </w:r>
                </w:p>
              </w:tc>
              <w:tc>
                <w:tcPr>
                  <w:tcW w:w="993" w:type="dxa"/>
                  <w:vAlign w:val="center"/>
                </w:tcPr>
                <w:p>
                  <w:pPr>
                    <w:adjustRightInd w:val="0"/>
                    <w:snapToGrid w:val="0"/>
                    <w:jc w:val="center"/>
                    <w:rPr>
                      <w:rFonts w:eastAsiaTheme="minorEastAsia"/>
                      <w:color w:val="auto"/>
                      <w:szCs w:val="21"/>
                    </w:rPr>
                  </w:pP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15</w:t>
                  </w:r>
                </w:p>
              </w:tc>
              <w:tc>
                <w:tcPr>
                  <w:tcW w:w="1076" w:type="dxa"/>
                  <w:vAlign w:val="center"/>
                </w:tcPr>
                <w:p>
                  <w:pPr>
                    <w:adjustRightInd w:val="0"/>
                    <w:snapToGrid w:val="0"/>
                    <w:jc w:val="center"/>
                    <w:rPr>
                      <w:rFonts w:eastAsiaTheme="min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9" w:hRule="atLeast"/>
              </w:trPr>
              <w:tc>
                <w:tcPr>
                  <w:tcW w:w="709" w:type="dxa"/>
                  <w:vAlign w:val="center"/>
                </w:tcPr>
                <w:p>
                  <w:pPr>
                    <w:adjustRightInd w:val="0"/>
                    <w:snapToGrid w:val="0"/>
                    <w:jc w:val="center"/>
                    <w:rPr>
                      <w:rFonts w:eastAsiaTheme="minorEastAsia"/>
                      <w:color w:val="auto"/>
                      <w:szCs w:val="21"/>
                    </w:rPr>
                  </w:pPr>
                  <w:r>
                    <w:rPr>
                      <w:rFonts w:eastAsiaTheme="minorEastAsia"/>
                      <w:color w:val="auto"/>
                      <w:szCs w:val="21"/>
                    </w:rPr>
                    <w:t>11</w:t>
                  </w:r>
                </w:p>
              </w:tc>
              <w:tc>
                <w:tcPr>
                  <w:tcW w:w="1276" w:type="dxa"/>
                  <w:vAlign w:val="center"/>
                </w:tcPr>
                <w:p>
                  <w:pPr>
                    <w:adjustRightInd w:val="0"/>
                    <w:snapToGrid w:val="0"/>
                    <w:jc w:val="center"/>
                    <w:rPr>
                      <w:rFonts w:eastAsiaTheme="minorEastAsia"/>
                      <w:color w:val="auto"/>
                      <w:szCs w:val="21"/>
                    </w:rPr>
                  </w:pPr>
                  <w:r>
                    <w:rPr>
                      <w:rFonts w:eastAsiaTheme="minorEastAsia"/>
                      <w:color w:val="auto"/>
                      <w:szCs w:val="21"/>
                    </w:rPr>
                    <w:t>管理用房</w:t>
                  </w:r>
                </w:p>
              </w:tc>
              <w:tc>
                <w:tcPr>
                  <w:tcW w:w="1417" w:type="dxa"/>
                  <w:vAlign w:val="center"/>
                </w:tcPr>
                <w:p>
                  <w:pPr>
                    <w:adjustRightInd w:val="0"/>
                    <w:snapToGrid w:val="0"/>
                    <w:jc w:val="center"/>
                    <w:rPr>
                      <w:rFonts w:eastAsiaTheme="minorEastAsia"/>
                      <w:color w:val="auto"/>
                      <w:szCs w:val="21"/>
                    </w:rPr>
                  </w:pPr>
                  <w:r>
                    <w:rPr>
                      <w:rFonts w:eastAsiaTheme="minorEastAsia"/>
                      <w:color w:val="auto"/>
                      <w:szCs w:val="21"/>
                    </w:rPr>
                    <w:t>30m</w:t>
                  </w:r>
                  <w:r>
                    <w:rPr>
                      <w:rFonts w:eastAsiaTheme="minorEastAsia"/>
                      <w:color w:val="auto"/>
                      <w:szCs w:val="21"/>
                      <w:vertAlign w:val="superscript"/>
                    </w:rPr>
                    <w:t>2</w:t>
                  </w:r>
                </w:p>
              </w:tc>
              <w:tc>
                <w:tcPr>
                  <w:tcW w:w="993" w:type="dxa"/>
                  <w:vAlign w:val="center"/>
                </w:tcPr>
                <w:p>
                  <w:pPr>
                    <w:adjustRightInd w:val="0"/>
                    <w:snapToGrid w:val="0"/>
                    <w:jc w:val="center"/>
                    <w:rPr>
                      <w:rFonts w:eastAsiaTheme="minorEastAsia"/>
                      <w:color w:val="auto"/>
                      <w:szCs w:val="21"/>
                    </w:rPr>
                  </w:pPr>
                  <w:r>
                    <w:rPr>
                      <w:rFonts w:eastAsiaTheme="minorEastAsia"/>
                      <w:color w:val="auto"/>
                      <w:szCs w:val="21"/>
                    </w:rPr>
                    <w:t>45</w:t>
                  </w:r>
                </w:p>
              </w:tc>
              <w:tc>
                <w:tcPr>
                  <w:tcW w:w="1275" w:type="dxa"/>
                  <w:vAlign w:val="center"/>
                </w:tcPr>
                <w:p>
                  <w:pPr>
                    <w:adjustRightInd w:val="0"/>
                    <w:snapToGrid w:val="0"/>
                    <w:jc w:val="center"/>
                    <w:rPr>
                      <w:rFonts w:eastAsiaTheme="minorEastAsia"/>
                      <w:color w:val="auto"/>
                      <w:szCs w:val="21"/>
                    </w:rPr>
                  </w:pPr>
                  <w:r>
                    <w:rPr>
                      <w:rFonts w:eastAsiaTheme="minorEastAsia"/>
                      <w:color w:val="auto"/>
                      <w:szCs w:val="21"/>
                    </w:rPr>
                    <w:t>135</w:t>
                  </w:r>
                </w:p>
              </w:tc>
              <w:tc>
                <w:tcPr>
                  <w:tcW w:w="993" w:type="dxa"/>
                  <w:vAlign w:val="center"/>
                </w:tcPr>
                <w:p>
                  <w:pPr>
                    <w:adjustRightInd w:val="0"/>
                    <w:snapToGrid w:val="0"/>
                    <w:jc w:val="center"/>
                    <w:rPr>
                      <w:rFonts w:eastAsiaTheme="minorEastAsia"/>
                      <w:color w:val="auto"/>
                      <w:szCs w:val="21"/>
                    </w:rPr>
                  </w:pPr>
                  <w:r>
                    <w:rPr>
                      <w:rFonts w:eastAsiaTheme="minorEastAsia"/>
                      <w:color w:val="auto"/>
                      <w:szCs w:val="21"/>
                    </w:rPr>
                    <w:t>90</w:t>
                  </w:r>
                </w:p>
              </w:tc>
              <w:tc>
                <w:tcPr>
                  <w:tcW w:w="992" w:type="dxa"/>
                  <w:vAlign w:val="center"/>
                </w:tcPr>
                <w:p>
                  <w:pPr>
                    <w:adjustRightInd w:val="0"/>
                    <w:snapToGrid w:val="0"/>
                    <w:jc w:val="center"/>
                    <w:rPr>
                      <w:rFonts w:eastAsiaTheme="minorEastAsia"/>
                      <w:color w:val="auto"/>
                      <w:szCs w:val="21"/>
                    </w:rPr>
                  </w:pPr>
                </w:p>
              </w:tc>
              <w:tc>
                <w:tcPr>
                  <w:tcW w:w="1076" w:type="dxa"/>
                  <w:vAlign w:val="center"/>
                </w:tcPr>
                <w:p>
                  <w:pPr>
                    <w:adjustRightInd w:val="0"/>
                    <w:snapToGrid w:val="0"/>
                    <w:jc w:val="center"/>
                    <w:rPr>
                      <w:rFonts w:eastAsiaTheme="min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9" w:hRule="atLeast"/>
              </w:trPr>
              <w:tc>
                <w:tcPr>
                  <w:tcW w:w="709" w:type="dxa"/>
                  <w:vAlign w:val="center"/>
                </w:tcPr>
                <w:p>
                  <w:pPr>
                    <w:adjustRightInd w:val="0"/>
                    <w:snapToGrid w:val="0"/>
                    <w:jc w:val="center"/>
                    <w:rPr>
                      <w:rFonts w:eastAsiaTheme="minorEastAsia"/>
                      <w:color w:val="auto"/>
                      <w:szCs w:val="21"/>
                    </w:rPr>
                  </w:pPr>
                  <w:r>
                    <w:rPr>
                      <w:rFonts w:eastAsiaTheme="minorEastAsia"/>
                      <w:color w:val="auto"/>
                      <w:szCs w:val="21"/>
                    </w:rPr>
                    <w:t>12</w:t>
                  </w:r>
                </w:p>
              </w:tc>
              <w:tc>
                <w:tcPr>
                  <w:tcW w:w="1276" w:type="dxa"/>
                  <w:vAlign w:val="center"/>
                </w:tcPr>
                <w:p>
                  <w:pPr>
                    <w:adjustRightInd w:val="0"/>
                    <w:snapToGrid w:val="0"/>
                    <w:jc w:val="center"/>
                    <w:rPr>
                      <w:rFonts w:eastAsiaTheme="minorEastAsia"/>
                      <w:color w:val="auto"/>
                      <w:szCs w:val="21"/>
                    </w:rPr>
                  </w:pPr>
                  <w:r>
                    <w:rPr>
                      <w:rFonts w:eastAsiaTheme="minorEastAsia"/>
                      <w:color w:val="auto"/>
                      <w:szCs w:val="21"/>
                    </w:rPr>
                    <w:t>设备用房</w:t>
                  </w:r>
                </w:p>
              </w:tc>
              <w:tc>
                <w:tcPr>
                  <w:tcW w:w="1417" w:type="dxa"/>
                  <w:vAlign w:val="center"/>
                </w:tcPr>
                <w:p>
                  <w:pPr>
                    <w:adjustRightInd w:val="0"/>
                    <w:snapToGrid w:val="0"/>
                    <w:jc w:val="center"/>
                    <w:rPr>
                      <w:rFonts w:eastAsiaTheme="minorEastAsia"/>
                      <w:color w:val="auto"/>
                      <w:szCs w:val="21"/>
                    </w:rPr>
                  </w:pPr>
                  <w:r>
                    <w:rPr>
                      <w:rFonts w:eastAsiaTheme="minorEastAsia"/>
                      <w:color w:val="auto"/>
                      <w:szCs w:val="21"/>
                    </w:rPr>
                    <w:t>40m</w:t>
                  </w:r>
                  <w:r>
                    <w:rPr>
                      <w:rFonts w:eastAsiaTheme="minorEastAsia"/>
                      <w:color w:val="auto"/>
                      <w:szCs w:val="21"/>
                      <w:vertAlign w:val="superscript"/>
                    </w:rPr>
                    <w:t>2</w:t>
                  </w:r>
                </w:p>
              </w:tc>
              <w:tc>
                <w:tcPr>
                  <w:tcW w:w="993" w:type="dxa"/>
                  <w:vAlign w:val="center"/>
                </w:tcPr>
                <w:p>
                  <w:pPr>
                    <w:adjustRightInd w:val="0"/>
                    <w:snapToGrid w:val="0"/>
                    <w:jc w:val="center"/>
                    <w:rPr>
                      <w:rFonts w:eastAsiaTheme="minorEastAsia"/>
                      <w:color w:val="auto"/>
                      <w:szCs w:val="21"/>
                    </w:rPr>
                  </w:pPr>
                  <w:r>
                    <w:rPr>
                      <w:rFonts w:eastAsiaTheme="minorEastAsia"/>
                      <w:color w:val="auto"/>
                      <w:szCs w:val="21"/>
                    </w:rPr>
                    <w:t>60</w:t>
                  </w:r>
                </w:p>
              </w:tc>
              <w:tc>
                <w:tcPr>
                  <w:tcW w:w="1275" w:type="dxa"/>
                  <w:vAlign w:val="center"/>
                </w:tcPr>
                <w:p>
                  <w:pPr>
                    <w:adjustRightInd w:val="0"/>
                    <w:snapToGrid w:val="0"/>
                    <w:jc w:val="center"/>
                    <w:rPr>
                      <w:rFonts w:eastAsiaTheme="minorEastAsia"/>
                      <w:color w:val="auto"/>
                      <w:szCs w:val="21"/>
                    </w:rPr>
                  </w:pPr>
                  <w:r>
                    <w:rPr>
                      <w:rFonts w:eastAsiaTheme="minorEastAsia"/>
                      <w:color w:val="auto"/>
                      <w:szCs w:val="21"/>
                    </w:rPr>
                    <w:t>180</w:t>
                  </w:r>
                </w:p>
              </w:tc>
              <w:tc>
                <w:tcPr>
                  <w:tcW w:w="993" w:type="dxa"/>
                  <w:vAlign w:val="center"/>
                </w:tcPr>
                <w:p>
                  <w:pPr>
                    <w:adjustRightInd w:val="0"/>
                    <w:snapToGrid w:val="0"/>
                    <w:jc w:val="center"/>
                    <w:rPr>
                      <w:rFonts w:eastAsiaTheme="minorEastAsia"/>
                      <w:color w:val="auto"/>
                      <w:szCs w:val="21"/>
                    </w:rPr>
                  </w:pPr>
                  <w:r>
                    <w:rPr>
                      <w:rFonts w:eastAsiaTheme="minorEastAsia"/>
                      <w:color w:val="auto"/>
                      <w:szCs w:val="21"/>
                    </w:rPr>
                    <w:t>120</w:t>
                  </w:r>
                </w:p>
              </w:tc>
              <w:tc>
                <w:tcPr>
                  <w:tcW w:w="992" w:type="dxa"/>
                  <w:vAlign w:val="center"/>
                </w:tcPr>
                <w:p>
                  <w:pPr>
                    <w:adjustRightInd w:val="0"/>
                    <w:snapToGrid w:val="0"/>
                    <w:jc w:val="center"/>
                    <w:rPr>
                      <w:rFonts w:eastAsiaTheme="minorEastAsia"/>
                      <w:color w:val="auto"/>
                      <w:szCs w:val="21"/>
                    </w:rPr>
                  </w:pPr>
                </w:p>
              </w:tc>
              <w:tc>
                <w:tcPr>
                  <w:tcW w:w="1076" w:type="dxa"/>
                  <w:vAlign w:val="center"/>
                </w:tcPr>
                <w:p>
                  <w:pPr>
                    <w:adjustRightInd w:val="0"/>
                    <w:snapToGrid w:val="0"/>
                    <w:jc w:val="center"/>
                    <w:rPr>
                      <w:rFonts w:eastAsiaTheme="min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9" w:hRule="atLeast"/>
              </w:trPr>
              <w:tc>
                <w:tcPr>
                  <w:tcW w:w="1985" w:type="dxa"/>
                  <w:gridSpan w:val="2"/>
                  <w:vAlign w:val="center"/>
                </w:tcPr>
                <w:p>
                  <w:pPr>
                    <w:adjustRightInd w:val="0"/>
                    <w:snapToGrid w:val="0"/>
                    <w:jc w:val="center"/>
                    <w:rPr>
                      <w:rFonts w:eastAsiaTheme="minorEastAsia"/>
                      <w:color w:val="auto"/>
                      <w:szCs w:val="21"/>
                    </w:rPr>
                  </w:pPr>
                  <w:r>
                    <w:rPr>
                      <w:rFonts w:eastAsiaTheme="minorEastAsia"/>
                      <w:color w:val="auto"/>
                      <w:szCs w:val="21"/>
                    </w:rPr>
                    <w:t>合计</w:t>
                  </w:r>
                </w:p>
              </w:tc>
              <w:tc>
                <w:tcPr>
                  <w:tcW w:w="1417" w:type="dxa"/>
                  <w:vAlign w:val="center"/>
                </w:tcPr>
                <w:p>
                  <w:pPr>
                    <w:adjustRightInd w:val="0"/>
                    <w:snapToGrid w:val="0"/>
                    <w:jc w:val="center"/>
                    <w:rPr>
                      <w:rFonts w:eastAsiaTheme="minorEastAsia"/>
                      <w:color w:val="auto"/>
                      <w:szCs w:val="21"/>
                    </w:rPr>
                  </w:pPr>
                  <w:r>
                    <w:rPr>
                      <w:rFonts w:eastAsiaTheme="minorEastAsia"/>
                      <w:color w:val="auto"/>
                      <w:szCs w:val="21"/>
                    </w:rPr>
                    <w:t>/</w:t>
                  </w:r>
                </w:p>
              </w:tc>
              <w:tc>
                <w:tcPr>
                  <w:tcW w:w="993" w:type="dxa"/>
                  <w:vAlign w:val="center"/>
                </w:tcPr>
                <w:tbl>
                  <w:tblPr>
                    <w:tblStyle w:val="38"/>
                    <w:tblW w:w="5400" w:type="dxa"/>
                    <w:tblInd w:w="0" w:type="dxa"/>
                    <w:tblLayout w:type="fixed"/>
                    <w:tblCellMar>
                      <w:top w:w="15" w:type="dxa"/>
                      <w:left w:w="108" w:type="dxa"/>
                      <w:bottom w:w="15" w:type="dxa"/>
                      <w:right w:w="108" w:type="dxa"/>
                    </w:tblCellMar>
                  </w:tblPr>
                  <w:tblGrid>
                    <w:gridCol w:w="1080"/>
                    <w:gridCol w:w="1080"/>
                    <w:gridCol w:w="1080"/>
                    <w:gridCol w:w="1080"/>
                    <w:gridCol w:w="1080"/>
                  </w:tblGrid>
                  <w:tr>
                    <w:tblPrEx>
                      <w:tblCellMar>
                        <w:top w:w="15" w:type="dxa"/>
                        <w:left w:w="108" w:type="dxa"/>
                        <w:bottom w:w="15" w:type="dxa"/>
                        <w:right w:w="108" w:type="dxa"/>
                      </w:tblCellMar>
                    </w:tblPrEx>
                    <w:trPr>
                      <w:trHeight w:val="286" w:hRule="atLeast"/>
                    </w:trPr>
                    <w:tc>
                      <w:tcPr>
                        <w:tcW w:w="1080" w:type="dxa"/>
                        <w:vAlign w:val="center"/>
                      </w:tcPr>
                      <w:p>
                        <w:pPr>
                          <w:widowControl/>
                          <w:jc w:val="left"/>
                          <w:rPr>
                            <w:rFonts w:eastAsiaTheme="minorEastAsia"/>
                            <w:color w:val="auto"/>
                            <w:kern w:val="0"/>
                            <w:sz w:val="22"/>
                            <w:szCs w:val="22"/>
                          </w:rPr>
                        </w:pPr>
                        <w:r>
                          <w:rPr>
                            <w:rFonts w:eastAsiaTheme="minorEastAsia"/>
                            <w:color w:val="auto"/>
                            <w:kern w:val="0"/>
                            <w:sz w:val="22"/>
                            <w:szCs w:val="22"/>
                          </w:rPr>
                          <w:t>4008.36</w:t>
                        </w:r>
                      </w:p>
                    </w:tc>
                    <w:tc>
                      <w:tcPr>
                        <w:tcW w:w="1080" w:type="dxa"/>
                        <w:vAlign w:val="center"/>
                      </w:tcPr>
                      <w:p>
                        <w:pPr>
                          <w:widowControl/>
                          <w:jc w:val="left"/>
                          <w:rPr>
                            <w:rFonts w:eastAsiaTheme="minorEastAsia"/>
                            <w:color w:val="auto"/>
                            <w:kern w:val="0"/>
                            <w:sz w:val="22"/>
                            <w:szCs w:val="22"/>
                          </w:rPr>
                        </w:pPr>
                        <w:r>
                          <w:rPr>
                            <w:rFonts w:eastAsiaTheme="minorEastAsia"/>
                            <w:color w:val="auto"/>
                            <w:kern w:val="0"/>
                            <w:sz w:val="22"/>
                            <w:szCs w:val="22"/>
                          </w:rPr>
                          <w:t>2738.36</w:t>
                        </w:r>
                      </w:p>
                    </w:tc>
                    <w:tc>
                      <w:tcPr>
                        <w:tcW w:w="1080" w:type="dxa"/>
                        <w:vAlign w:val="center"/>
                      </w:tcPr>
                      <w:p>
                        <w:pPr>
                          <w:widowControl/>
                          <w:jc w:val="left"/>
                          <w:rPr>
                            <w:rFonts w:eastAsiaTheme="minorEastAsia"/>
                            <w:color w:val="auto"/>
                            <w:kern w:val="0"/>
                            <w:sz w:val="22"/>
                            <w:szCs w:val="22"/>
                          </w:rPr>
                        </w:pPr>
                        <w:r>
                          <w:rPr>
                            <w:rFonts w:eastAsiaTheme="minorEastAsia"/>
                            <w:color w:val="auto"/>
                            <w:kern w:val="0"/>
                            <w:sz w:val="22"/>
                            <w:szCs w:val="22"/>
                          </w:rPr>
                          <w:t>615</w:t>
                        </w:r>
                      </w:p>
                    </w:tc>
                    <w:tc>
                      <w:tcPr>
                        <w:tcW w:w="1080" w:type="dxa"/>
                        <w:vAlign w:val="center"/>
                      </w:tcPr>
                      <w:p>
                        <w:pPr>
                          <w:widowControl/>
                          <w:jc w:val="left"/>
                          <w:rPr>
                            <w:rFonts w:eastAsiaTheme="minorEastAsia"/>
                            <w:color w:val="auto"/>
                            <w:kern w:val="0"/>
                            <w:sz w:val="22"/>
                            <w:szCs w:val="22"/>
                          </w:rPr>
                        </w:pPr>
                        <w:r>
                          <w:rPr>
                            <w:rFonts w:eastAsiaTheme="minorEastAsia"/>
                            <w:color w:val="auto"/>
                            <w:kern w:val="0"/>
                            <w:sz w:val="22"/>
                            <w:szCs w:val="22"/>
                          </w:rPr>
                          <w:t>615</w:t>
                        </w:r>
                      </w:p>
                    </w:tc>
                    <w:tc>
                      <w:tcPr>
                        <w:tcW w:w="1080" w:type="dxa"/>
                        <w:vAlign w:val="center"/>
                      </w:tcPr>
                      <w:p>
                        <w:pPr>
                          <w:widowControl/>
                          <w:jc w:val="left"/>
                          <w:rPr>
                            <w:rFonts w:eastAsiaTheme="minorEastAsia"/>
                            <w:color w:val="auto"/>
                            <w:kern w:val="0"/>
                            <w:sz w:val="22"/>
                            <w:szCs w:val="22"/>
                          </w:rPr>
                        </w:pPr>
                        <w:r>
                          <w:rPr>
                            <w:rFonts w:eastAsiaTheme="minorEastAsia"/>
                            <w:color w:val="auto"/>
                            <w:kern w:val="0"/>
                            <w:sz w:val="22"/>
                            <w:szCs w:val="22"/>
                          </w:rPr>
                          <w:t>1270</w:t>
                        </w:r>
                      </w:p>
                    </w:tc>
                  </w:tr>
                </w:tbl>
                <w:p>
                  <w:pPr>
                    <w:adjustRightInd w:val="0"/>
                    <w:snapToGrid w:val="0"/>
                    <w:jc w:val="center"/>
                    <w:rPr>
                      <w:rFonts w:eastAsiaTheme="minorEastAsia"/>
                      <w:color w:val="auto"/>
                      <w:szCs w:val="21"/>
                    </w:rPr>
                  </w:pPr>
                </w:p>
              </w:tc>
              <w:tc>
                <w:tcPr>
                  <w:tcW w:w="1275" w:type="dxa"/>
                  <w:vAlign w:val="center"/>
                </w:tcPr>
                <w:p>
                  <w:pPr>
                    <w:adjustRightInd w:val="0"/>
                    <w:snapToGrid w:val="0"/>
                    <w:jc w:val="center"/>
                    <w:rPr>
                      <w:rFonts w:eastAsiaTheme="minorEastAsia"/>
                      <w:color w:val="auto"/>
                      <w:szCs w:val="21"/>
                    </w:rPr>
                  </w:pPr>
                  <w:r>
                    <w:rPr>
                      <w:rFonts w:eastAsiaTheme="minorEastAsia"/>
                      <w:color w:val="auto"/>
                      <w:szCs w:val="21"/>
                    </w:rPr>
                    <w:t>3863.36</w:t>
                  </w:r>
                </w:p>
              </w:tc>
              <w:tc>
                <w:tcPr>
                  <w:tcW w:w="993" w:type="dxa"/>
                  <w:vAlign w:val="center"/>
                </w:tcPr>
                <w:p>
                  <w:pPr>
                    <w:adjustRightInd w:val="0"/>
                    <w:snapToGrid w:val="0"/>
                    <w:jc w:val="center"/>
                    <w:rPr>
                      <w:rFonts w:eastAsiaTheme="minorEastAsia"/>
                      <w:color w:val="auto"/>
                      <w:szCs w:val="21"/>
                    </w:rPr>
                  </w:pPr>
                  <w:r>
                    <w:rPr>
                      <w:rFonts w:eastAsiaTheme="minorEastAsia"/>
                      <w:color w:val="auto"/>
                      <w:szCs w:val="21"/>
                    </w:rPr>
                    <w:t>1120</w:t>
                  </w:r>
                </w:p>
              </w:tc>
              <w:tc>
                <w:tcPr>
                  <w:tcW w:w="992" w:type="dxa"/>
                  <w:vAlign w:val="center"/>
                </w:tcPr>
                <w:p>
                  <w:pPr>
                    <w:adjustRightInd w:val="0"/>
                    <w:snapToGrid w:val="0"/>
                    <w:jc w:val="center"/>
                    <w:rPr>
                      <w:rFonts w:eastAsiaTheme="minorEastAsia"/>
                      <w:color w:val="auto"/>
                      <w:szCs w:val="21"/>
                    </w:rPr>
                  </w:pPr>
                  <w:r>
                    <w:rPr>
                      <w:rFonts w:eastAsiaTheme="minorEastAsia"/>
                      <w:color w:val="auto"/>
                      <w:szCs w:val="21"/>
                    </w:rPr>
                    <w:t>1120</w:t>
                  </w:r>
                </w:p>
              </w:tc>
              <w:tc>
                <w:tcPr>
                  <w:tcW w:w="1076" w:type="dxa"/>
                  <w:vAlign w:val="center"/>
                </w:tcPr>
                <w:p>
                  <w:pPr>
                    <w:adjustRightInd w:val="0"/>
                    <w:snapToGrid w:val="0"/>
                    <w:jc w:val="center"/>
                    <w:rPr>
                      <w:rFonts w:eastAsiaTheme="minorEastAsia"/>
                      <w:color w:val="auto"/>
                      <w:szCs w:val="21"/>
                    </w:rPr>
                  </w:pPr>
                  <w:r>
                    <w:rPr>
                      <w:rFonts w:eastAsiaTheme="minorEastAsia"/>
                      <w:color w:val="auto"/>
                      <w:szCs w:val="21"/>
                    </w:rPr>
                    <w:t>145</w:t>
                  </w:r>
                </w:p>
              </w:tc>
            </w:tr>
          </w:tbl>
          <w:p>
            <w:pPr>
              <w:adjustRightInd w:val="0"/>
              <w:snapToGrid w:val="0"/>
              <w:spacing w:line="360" w:lineRule="auto"/>
              <w:ind w:firstLine="480" w:firstLineChars="200"/>
              <w:jc w:val="left"/>
              <w:rPr>
                <w:rFonts w:eastAsiaTheme="minorEastAsia"/>
                <w:color w:val="auto"/>
                <w:sz w:val="24"/>
              </w:rPr>
            </w:pPr>
            <w:r>
              <w:rPr>
                <w:rFonts w:eastAsiaTheme="minorEastAsia"/>
                <w:color w:val="auto"/>
                <w:sz w:val="24"/>
              </w:rPr>
              <w:t>项目土石方平衡见图18。</w:t>
            </w:r>
          </w:p>
          <w:p>
            <w:pPr>
              <w:adjustRightInd w:val="0"/>
              <w:snapToGrid w:val="0"/>
              <w:spacing w:line="360" w:lineRule="auto"/>
              <w:jc w:val="center"/>
              <w:rPr>
                <w:rFonts w:eastAsiaTheme="minorEastAsia"/>
                <w:color w:val="auto"/>
                <w:sz w:val="24"/>
              </w:rPr>
            </w:pPr>
            <w:r>
              <w:rPr>
                <w:rFonts w:eastAsiaTheme="minorEastAsia"/>
                <w:color w:val="auto"/>
              </w:rPr>
              <w:object>
                <v:shape id="_x0000_i1027" o:spt="75" type="#_x0000_t75" style="height:311.75pt;width:464.6pt;" o:ole="t" filled="f" o:preferrelative="t" stroked="f" coordsize="21600,21600">
                  <v:path/>
                  <v:fill on="f" focussize="0,0"/>
                  <v:stroke on="f" joinstyle="miter"/>
                  <v:imagedata r:id="rId18" o:title=""/>
                  <o:lock v:ext="edit" aspectratio="t"/>
                  <w10:wrap type="none"/>
                  <w10:anchorlock/>
                </v:shape>
                <o:OLEObject Type="Embed" ProgID="Visio.Drawing.11" ShapeID="_x0000_i1027" DrawAspect="Content" ObjectID="_1468075727" r:id="rId17">
                  <o:LockedField>false</o:LockedField>
                </o:OLEObject>
              </w:object>
            </w:r>
            <w:r>
              <w:rPr>
                <w:rFonts w:eastAsiaTheme="minorEastAsia"/>
                <w:b/>
                <w:color w:val="auto"/>
                <w:sz w:val="24"/>
              </w:rPr>
              <w:t>图18项目土石方平衡图</w:t>
            </w:r>
          </w:p>
          <w:p>
            <w:pPr>
              <w:adjustRightInd w:val="0"/>
              <w:snapToGrid w:val="0"/>
              <w:spacing w:line="360" w:lineRule="auto"/>
              <w:ind w:firstLine="472" w:firstLineChars="196"/>
              <w:rPr>
                <w:rFonts w:eastAsiaTheme="minorEastAsia"/>
                <w:b/>
                <w:color w:val="auto"/>
                <w:sz w:val="24"/>
              </w:rPr>
            </w:pPr>
            <w:r>
              <w:rPr>
                <w:rFonts w:eastAsiaTheme="minorEastAsia"/>
                <w:b/>
                <w:color w:val="auto"/>
                <w:sz w:val="24"/>
              </w:rPr>
              <w:t>2、运营期工程分析</w:t>
            </w:r>
          </w:p>
          <w:p>
            <w:pPr>
              <w:adjustRightInd w:val="0"/>
              <w:snapToGrid w:val="0"/>
              <w:spacing w:line="360" w:lineRule="auto"/>
              <w:ind w:firstLine="470" w:firstLineChars="196"/>
              <w:rPr>
                <w:rFonts w:eastAsiaTheme="minorEastAsia"/>
                <w:color w:val="auto"/>
                <w:sz w:val="24"/>
              </w:rPr>
            </w:pPr>
            <w:r>
              <w:rPr>
                <w:rFonts w:eastAsiaTheme="minorEastAsia"/>
                <w:color w:val="auto"/>
                <w:sz w:val="24"/>
              </w:rPr>
              <w:t>2.1污水处理工艺比选</w:t>
            </w:r>
          </w:p>
          <w:p>
            <w:pPr>
              <w:adjustRightInd w:val="0"/>
              <w:snapToGrid w:val="0"/>
              <w:spacing w:line="360" w:lineRule="auto"/>
              <w:ind w:firstLine="470" w:firstLineChars="196"/>
              <w:rPr>
                <w:rFonts w:eastAsiaTheme="minorEastAsia"/>
                <w:color w:val="auto"/>
                <w:sz w:val="24"/>
              </w:rPr>
            </w:pPr>
            <w:r>
              <w:rPr>
                <w:rFonts w:eastAsiaTheme="minorEastAsia"/>
                <w:color w:val="auto"/>
                <w:sz w:val="24"/>
              </w:rPr>
              <w:t>根据本项目可行性研究报告，本项目分别对A</w:t>
            </w:r>
            <w:r>
              <w:rPr>
                <w:rFonts w:eastAsiaTheme="minorEastAsia"/>
                <w:color w:val="auto"/>
                <w:sz w:val="24"/>
                <w:vertAlign w:val="superscript"/>
              </w:rPr>
              <w:t>2</w:t>
            </w:r>
            <w:r>
              <w:rPr>
                <w:rFonts w:eastAsiaTheme="minorEastAsia"/>
                <w:color w:val="auto"/>
                <w:sz w:val="24"/>
              </w:rPr>
              <w:t>/O工艺、传统 MBR 工艺、新型A2/O+MBR工艺三个方案进行技术经济比较结果见表49。</w:t>
            </w:r>
          </w:p>
          <w:p>
            <w:pPr>
              <w:adjustRightInd w:val="0"/>
              <w:snapToGrid w:val="0"/>
              <w:spacing w:line="360" w:lineRule="auto"/>
              <w:jc w:val="center"/>
              <w:rPr>
                <w:rFonts w:eastAsiaTheme="minorEastAsia"/>
                <w:b/>
                <w:color w:val="auto"/>
                <w:sz w:val="24"/>
              </w:rPr>
            </w:pPr>
            <w:r>
              <w:rPr>
                <w:rFonts w:eastAsiaTheme="minorEastAsia"/>
                <w:b/>
                <w:color w:val="auto"/>
                <w:sz w:val="24"/>
              </w:rPr>
              <w:t>表49三种污水处理工艺综合比较表</w:t>
            </w:r>
          </w:p>
          <w:tbl>
            <w:tblPr>
              <w:tblStyle w:val="39"/>
              <w:tblW w:w="8840"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65"/>
              <w:gridCol w:w="1726"/>
              <w:gridCol w:w="1983"/>
              <w:gridCol w:w="1872"/>
              <w:gridCol w:w="2094"/>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2891" w:type="dxa"/>
                  <w:gridSpan w:val="2"/>
                  <w:vAlign w:val="center"/>
                </w:tcPr>
                <w:p>
                  <w:pPr>
                    <w:adjustRightInd w:val="0"/>
                    <w:snapToGrid w:val="0"/>
                    <w:jc w:val="center"/>
                    <w:rPr>
                      <w:rFonts w:eastAsiaTheme="minorEastAsia"/>
                      <w:color w:val="auto"/>
                      <w:szCs w:val="21"/>
                    </w:rPr>
                  </w:pPr>
                  <w:r>
                    <w:rPr>
                      <w:rFonts w:eastAsiaTheme="minorEastAsia"/>
                      <w:color w:val="auto"/>
                      <w:szCs w:val="21"/>
                    </w:rPr>
                    <w:t>项目</w:t>
                  </w:r>
                </w:p>
              </w:tc>
              <w:tc>
                <w:tcPr>
                  <w:tcW w:w="1983" w:type="dxa"/>
                  <w:vAlign w:val="center"/>
                </w:tcPr>
                <w:p>
                  <w:pPr>
                    <w:adjustRightInd w:val="0"/>
                    <w:snapToGrid w:val="0"/>
                    <w:jc w:val="center"/>
                    <w:rPr>
                      <w:rFonts w:eastAsiaTheme="minorEastAsia"/>
                      <w:color w:val="auto"/>
                      <w:szCs w:val="21"/>
                    </w:rPr>
                  </w:pPr>
                  <w:r>
                    <w:rPr>
                      <w:rFonts w:eastAsiaTheme="minorEastAsia"/>
                      <w:color w:val="auto"/>
                      <w:szCs w:val="21"/>
                    </w:rPr>
                    <w:t>A</w:t>
                  </w:r>
                  <w:r>
                    <w:rPr>
                      <w:rFonts w:eastAsiaTheme="minorEastAsia"/>
                      <w:color w:val="auto"/>
                      <w:szCs w:val="21"/>
                      <w:vertAlign w:val="superscript"/>
                    </w:rPr>
                    <w:t>2</w:t>
                  </w:r>
                  <w:r>
                    <w:rPr>
                      <w:rFonts w:eastAsiaTheme="minorEastAsia"/>
                      <w:color w:val="auto"/>
                      <w:szCs w:val="21"/>
                    </w:rPr>
                    <w:t>/O工艺</w:t>
                  </w:r>
                </w:p>
              </w:tc>
              <w:tc>
                <w:tcPr>
                  <w:tcW w:w="1872" w:type="dxa"/>
                  <w:vAlign w:val="center"/>
                </w:tcPr>
                <w:p>
                  <w:pPr>
                    <w:adjustRightInd w:val="0"/>
                    <w:snapToGrid w:val="0"/>
                    <w:jc w:val="center"/>
                    <w:rPr>
                      <w:rFonts w:eastAsiaTheme="minorEastAsia"/>
                      <w:color w:val="auto"/>
                      <w:szCs w:val="21"/>
                    </w:rPr>
                  </w:pPr>
                  <w:r>
                    <w:rPr>
                      <w:rFonts w:eastAsiaTheme="minorEastAsia"/>
                      <w:color w:val="auto"/>
                      <w:szCs w:val="21"/>
                    </w:rPr>
                    <w:t>传统 MBR  工艺</w:t>
                  </w:r>
                </w:p>
              </w:tc>
              <w:tc>
                <w:tcPr>
                  <w:tcW w:w="2094" w:type="dxa"/>
                  <w:vAlign w:val="center"/>
                </w:tcPr>
                <w:p>
                  <w:pPr>
                    <w:adjustRightInd w:val="0"/>
                    <w:snapToGrid w:val="0"/>
                    <w:jc w:val="center"/>
                    <w:rPr>
                      <w:rFonts w:eastAsiaTheme="minorEastAsia"/>
                      <w:color w:val="auto"/>
                      <w:szCs w:val="21"/>
                    </w:rPr>
                  </w:pPr>
                  <w:r>
                    <w:rPr>
                      <w:rFonts w:eastAsiaTheme="minorEastAsia"/>
                      <w:color w:val="auto"/>
                      <w:szCs w:val="21"/>
                    </w:rPr>
                    <w:t>A</w:t>
                  </w:r>
                  <w:r>
                    <w:rPr>
                      <w:rFonts w:eastAsiaTheme="minorEastAsia"/>
                      <w:color w:val="auto"/>
                      <w:szCs w:val="21"/>
                      <w:vertAlign w:val="superscript"/>
                    </w:rPr>
                    <w:t>2</w:t>
                  </w:r>
                  <w:r>
                    <w:rPr>
                      <w:rFonts w:eastAsiaTheme="minorEastAsia"/>
                      <w:color w:val="auto"/>
                      <w:szCs w:val="21"/>
                    </w:rPr>
                    <w:t>/O+MBR</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restart"/>
                  <w:vAlign w:val="center"/>
                </w:tcPr>
                <w:p>
                  <w:pPr>
                    <w:adjustRightInd w:val="0"/>
                    <w:snapToGrid w:val="0"/>
                    <w:jc w:val="center"/>
                    <w:rPr>
                      <w:rFonts w:eastAsiaTheme="minorEastAsia"/>
                      <w:color w:val="auto"/>
                      <w:szCs w:val="21"/>
                    </w:rPr>
                  </w:pPr>
                  <w:r>
                    <w:rPr>
                      <w:rFonts w:eastAsiaTheme="minorEastAsia"/>
                      <w:color w:val="auto"/>
                      <w:szCs w:val="21"/>
                    </w:rPr>
                    <w:t>工艺效果</w:t>
                  </w:r>
                </w:p>
              </w:tc>
              <w:tc>
                <w:tcPr>
                  <w:tcW w:w="1726" w:type="dxa"/>
                  <w:vAlign w:val="center"/>
                </w:tcPr>
                <w:p>
                  <w:pPr>
                    <w:adjustRightInd w:val="0"/>
                    <w:snapToGrid w:val="0"/>
                    <w:jc w:val="center"/>
                    <w:rPr>
                      <w:rFonts w:eastAsiaTheme="minorEastAsia"/>
                      <w:color w:val="auto"/>
                      <w:szCs w:val="21"/>
                    </w:rPr>
                  </w:pPr>
                  <w:r>
                    <w:rPr>
                      <w:rFonts w:eastAsiaTheme="minorEastAsia"/>
                      <w:color w:val="auto"/>
                      <w:szCs w:val="21"/>
                    </w:rPr>
                    <w:t>进水水质</w:t>
                  </w:r>
                </w:p>
              </w:tc>
              <w:tc>
                <w:tcPr>
                  <w:tcW w:w="1983" w:type="dxa"/>
                  <w:vAlign w:val="center"/>
                </w:tcPr>
                <w:p>
                  <w:pPr>
                    <w:adjustRightInd w:val="0"/>
                    <w:snapToGrid w:val="0"/>
                    <w:jc w:val="center"/>
                    <w:rPr>
                      <w:rFonts w:eastAsiaTheme="minorEastAsia"/>
                      <w:color w:val="auto"/>
                      <w:szCs w:val="21"/>
                    </w:rPr>
                  </w:pPr>
                  <w:r>
                    <w:rPr>
                      <w:rFonts w:eastAsiaTheme="minorEastAsia"/>
                      <w:color w:val="auto"/>
                      <w:szCs w:val="21"/>
                    </w:rPr>
                    <w:t>COD 200~300mg/</w:t>
                  </w:r>
                </w:p>
              </w:tc>
              <w:tc>
                <w:tcPr>
                  <w:tcW w:w="1872" w:type="dxa"/>
                  <w:vAlign w:val="center"/>
                </w:tcPr>
                <w:p>
                  <w:pPr>
                    <w:adjustRightInd w:val="0"/>
                    <w:snapToGrid w:val="0"/>
                    <w:jc w:val="center"/>
                    <w:rPr>
                      <w:rFonts w:eastAsiaTheme="minorEastAsia"/>
                      <w:color w:val="auto"/>
                      <w:szCs w:val="21"/>
                    </w:rPr>
                  </w:pPr>
                  <w:r>
                    <w:rPr>
                      <w:rFonts w:eastAsiaTheme="minorEastAsia"/>
                      <w:color w:val="auto"/>
                      <w:szCs w:val="21"/>
                    </w:rPr>
                    <w:t>COD ≤500mg/L</w:t>
                  </w:r>
                </w:p>
              </w:tc>
              <w:tc>
                <w:tcPr>
                  <w:tcW w:w="2094" w:type="dxa"/>
                  <w:vAlign w:val="center"/>
                </w:tcPr>
                <w:p>
                  <w:pPr>
                    <w:adjustRightInd w:val="0"/>
                    <w:snapToGrid w:val="0"/>
                    <w:jc w:val="center"/>
                    <w:rPr>
                      <w:rFonts w:eastAsiaTheme="minorEastAsia"/>
                      <w:color w:val="auto"/>
                      <w:szCs w:val="21"/>
                    </w:rPr>
                  </w:pPr>
                  <w:r>
                    <w:rPr>
                      <w:rFonts w:eastAsiaTheme="minorEastAsia"/>
                      <w:color w:val="auto"/>
                      <w:szCs w:val="21"/>
                    </w:rPr>
                    <w:t>COD≤500mg/L</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eastAsiaTheme="minorEastAsia"/>
                      <w:color w:val="auto"/>
                      <w:szCs w:val="21"/>
                    </w:rPr>
                  </w:pPr>
                </w:p>
              </w:tc>
              <w:tc>
                <w:tcPr>
                  <w:tcW w:w="1726" w:type="dxa"/>
                  <w:vAlign w:val="center"/>
                </w:tcPr>
                <w:p>
                  <w:pPr>
                    <w:adjustRightInd w:val="0"/>
                    <w:snapToGrid w:val="0"/>
                    <w:jc w:val="center"/>
                    <w:rPr>
                      <w:rFonts w:eastAsiaTheme="minorEastAsia"/>
                      <w:color w:val="auto"/>
                      <w:szCs w:val="21"/>
                    </w:rPr>
                  </w:pPr>
                  <w:r>
                    <w:rPr>
                      <w:rFonts w:eastAsiaTheme="minorEastAsia"/>
                      <w:color w:val="auto"/>
                      <w:szCs w:val="21"/>
                    </w:rPr>
                    <w:t>出水水质</w:t>
                  </w:r>
                </w:p>
              </w:tc>
              <w:tc>
                <w:tcPr>
                  <w:tcW w:w="1983" w:type="dxa"/>
                  <w:vAlign w:val="center"/>
                </w:tcPr>
                <w:p>
                  <w:pPr>
                    <w:adjustRightInd w:val="0"/>
                    <w:snapToGrid w:val="0"/>
                    <w:jc w:val="center"/>
                    <w:rPr>
                      <w:rFonts w:eastAsiaTheme="minorEastAsia"/>
                      <w:color w:val="auto"/>
                      <w:szCs w:val="21"/>
                    </w:rPr>
                  </w:pPr>
                  <w:r>
                    <w:rPr>
                      <w:rFonts w:eastAsiaTheme="minorEastAsia"/>
                      <w:color w:val="auto"/>
                      <w:szCs w:val="21"/>
                    </w:rPr>
                    <w:t>达标</w:t>
                  </w:r>
                </w:p>
              </w:tc>
              <w:tc>
                <w:tcPr>
                  <w:tcW w:w="1872" w:type="dxa"/>
                  <w:vAlign w:val="center"/>
                </w:tcPr>
                <w:p>
                  <w:pPr>
                    <w:adjustRightInd w:val="0"/>
                    <w:snapToGrid w:val="0"/>
                    <w:jc w:val="center"/>
                    <w:rPr>
                      <w:rFonts w:eastAsiaTheme="minorEastAsia"/>
                      <w:color w:val="auto"/>
                      <w:szCs w:val="21"/>
                    </w:rPr>
                  </w:pPr>
                  <w:r>
                    <w:rPr>
                      <w:rFonts w:eastAsiaTheme="minorEastAsia"/>
                      <w:color w:val="auto"/>
                      <w:szCs w:val="21"/>
                    </w:rPr>
                    <w:t>达标</w:t>
                  </w:r>
                </w:p>
              </w:tc>
              <w:tc>
                <w:tcPr>
                  <w:tcW w:w="2094" w:type="dxa"/>
                  <w:vAlign w:val="center"/>
                </w:tcPr>
                <w:p>
                  <w:pPr>
                    <w:adjustRightInd w:val="0"/>
                    <w:snapToGrid w:val="0"/>
                    <w:jc w:val="center"/>
                    <w:rPr>
                      <w:rFonts w:eastAsiaTheme="minorEastAsia"/>
                      <w:color w:val="auto"/>
                      <w:szCs w:val="21"/>
                    </w:rPr>
                  </w:pPr>
                  <w:r>
                    <w:rPr>
                      <w:rFonts w:eastAsiaTheme="minorEastAsia"/>
                      <w:color w:val="auto"/>
                      <w:szCs w:val="21"/>
                    </w:rPr>
                    <w:t>达标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eastAsiaTheme="minorEastAsia"/>
                      <w:color w:val="auto"/>
                      <w:szCs w:val="21"/>
                    </w:rPr>
                  </w:pPr>
                </w:p>
              </w:tc>
              <w:tc>
                <w:tcPr>
                  <w:tcW w:w="1726" w:type="dxa"/>
                  <w:vAlign w:val="center"/>
                </w:tcPr>
                <w:p>
                  <w:pPr>
                    <w:adjustRightInd w:val="0"/>
                    <w:snapToGrid w:val="0"/>
                    <w:jc w:val="center"/>
                    <w:rPr>
                      <w:rFonts w:eastAsiaTheme="minorEastAsia"/>
                      <w:color w:val="auto"/>
                      <w:szCs w:val="21"/>
                    </w:rPr>
                  </w:pPr>
                  <w:r>
                    <w:rPr>
                      <w:rFonts w:eastAsiaTheme="minorEastAsia"/>
                      <w:color w:val="auto"/>
                      <w:szCs w:val="21"/>
                    </w:rPr>
                    <w:t>冲击负荷影响</w:t>
                  </w:r>
                </w:p>
              </w:tc>
              <w:tc>
                <w:tcPr>
                  <w:tcW w:w="1983" w:type="dxa"/>
                  <w:vAlign w:val="center"/>
                </w:tcPr>
                <w:p>
                  <w:pPr>
                    <w:adjustRightInd w:val="0"/>
                    <w:snapToGrid w:val="0"/>
                    <w:jc w:val="center"/>
                    <w:rPr>
                      <w:rFonts w:eastAsiaTheme="minorEastAsia"/>
                      <w:color w:val="auto"/>
                      <w:szCs w:val="21"/>
                    </w:rPr>
                  </w:pPr>
                  <w:r>
                    <w:rPr>
                      <w:rFonts w:eastAsiaTheme="minorEastAsia"/>
                      <w:color w:val="auto"/>
                      <w:szCs w:val="21"/>
                    </w:rPr>
                    <w:t>承受冲击负荷能力一般</w:t>
                  </w:r>
                </w:p>
              </w:tc>
              <w:tc>
                <w:tcPr>
                  <w:tcW w:w="1872" w:type="dxa"/>
                  <w:vAlign w:val="center"/>
                </w:tcPr>
                <w:p>
                  <w:pPr>
                    <w:adjustRightInd w:val="0"/>
                    <w:snapToGrid w:val="0"/>
                    <w:jc w:val="center"/>
                    <w:rPr>
                      <w:rFonts w:eastAsiaTheme="minorEastAsia"/>
                      <w:color w:val="auto"/>
                      <w:szCs w:val="21"/>
                    </w:rPr>
                  </w:pPr>
                  <w:r>
                    <w:rPr>
                      <w:rFonts w:eastAsiaTheme="minorEastAsia"/>
                      <w:color w:val="auto"/>
                      <w:szCs w:val="21"/>
                    </w:rPr>
                    <w:t>承受冲击负荷能力较强</w:t>
                  </w:r>
                </w:p>
              </w:tc>
              <w:tc>
                <w:tcPr>
                  <w:tcW w:w="2094" w:type="dxa"/>
                  <w:vAlign w:val="center"/>
                </w:tcPr>
                <w:p>
                  <w:pPr>
                    <w:adjustRightInd w:val="0"/>
                    <w:snapToGrid w:val="0"/>
                    <w:jc w:val="center"/>
                    <w:rPr>
                      <w:rFonts w:eastAsiaTheme="minorEastAsia"/>
                      <w:color w:val="auto"/>
                      <w:szCs w:val="21"/>
                    </w:rPr>
                  </w:pPr>
                  <w:r>
                    <w:rPr>
                      <w:rFonts w:eastAsiaTheme="minorEastAsia"/>
                      <w:color w:val="auto"/>
                      <w:szCs w:val="21"/>
                    </w:rPr>
                    <w:t>承受冲击负荷能力较强</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eastAsiaTheme="minorEastAsia"/>
                      <w:color w:val="auto"/>
                      <w:szCs w:val="21"/>
                    </w:rPr>
                  </w:pPr>
                </w:p>
              </w:tc>
              <w:tc>
                <w:tcPr>
                  <w:tcW w:w="1726" w:type="dxa"/>
                  <w:vAlign w:val="center"/>
                </w:tcPr>
                <w:p>
                  <w:pPr>
                    <w:adjustRightInd w:val="0"/>
                    <w:snapToGrid w:val="0"/>
                    <w:jc w:val="center"/>
                    <w:rPr>
                      <w:rFonts w:eastAsiaTheme="minorEastAsia"/>
                      <w:color w:val="auto"/>
                      <w:szCs w:val="21"/>
                    </w:rPr>
                  </w:pPr>
                  <w:r>
                    <w:rPr>
                      <w:rFonts w:eastAsiaTheme="minorEastAsia"/>
                      <w:color w:val="auto"/>
                      <w:szCs w:val="21"/>
                    </w:rPr>
                    <w:t>温度变化影响</w:t>
                  </w:r>
                </w:p>
              </w:tc>
              <w:tc>
                <w:tcPr>
                  <w:tcW w:w="1983" w:type="dxa"/>
                  <w:vAlign w:val="center"/>
                </w:tcPr>
                <w:p>
                  <w:pPr>
                    <w:adjustRightInd w:val="0"/>
                    <w:snapToGrid w:val="0"/>
                    <w:jc w:val="center"/>
                    <w:rPr>
                      <w:rFonts w:eastAsiaTheme="minorEastAsia"/>
                      <w:color w:val="auto"/>
                      <w:szCs w:val="21"/>
                    </w:rPr>
                  </w:pPr>
                  <w:r>
                    <w:rPr>
                      <w:rFonts w:eastAsiaTheme="minorEastAsia"/>
                      <w:color w:val="auto"/>
                      <w:szCs w:val="21"/>
                    </w:rPr>
                    <w:t>较大</w:t>
                  </w:r>
                </w:p>
              </w:tc>
              <w:tc>
                <w:tcPr>
                  <w:tcW w:w="1872" w:type="dxa"/>
                  <w:vAlign w:val="center"/>
                </w:tcPr>
                <w:p>
                  <w:pPr>
                    <w:adjustRightInd w:val="0"/>
                    <w:snapToGrid w:val="0"/>
                    <w:jc w:val="center"/>
                    <w:rPr>
                      <w:rFonts w:eastAsiaTheme="minorEastAsia"/>
                      <w:color w:val="auto"/>
                      <w:szCs w:val="21"/>
                    </w:rPr>
                  </w:pPr>
                  <w:r>
                    <w:rPr>
                      <w:rFonts w:eastAsiaTheme="minorEastAsia"/>
                      <w:color w:val="auto"/>
                      <w:szCs w:val="21"/>
                    </w:rPr>
                    <w:t>较小</w:t>
                  </w:r>
                </w:p>
              </w:tc>
              <w:tc>
                <w:tcPr>
                  <w:tcW w:w="2094" w:type="dxa"/>
                  <w:vAlign w:val="center"/>
                </w:tcPr>
                <w:p>
                  <w:pPr>
                    <w:adjustRightInd w:val="0"/>
                    <w:snapToGrid w:val="0"/>
                    <w:jc w:val="center"/>
                    <w:rPr>
                      <w:rFonts w:eastAsiaTheme="minorEastAsia"/>
                      <w:color w:val="auto"/>
                      <w:szCs w:val="21"/>
                    </w:rPr>
                  </w:pPr>
                  <w:r>
                    <w:rPr>
                      <w:rFonts w:eastAsiaTheme="minorEastAsia"/>
                      <w:color w:val="auto"/>
                      <w:szCs w:val="21"/>
                    </w:rPr>
                    <w:t>较小</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restart"/>
                  <w:vAlign w:val="center"/>
                </w:tcPr>
                <w:p>
                  <w:pPr>
                    <w:adjustRightInd w:val="0"/>
                    <w:snapToGrid w:val="0"/>
                    <w:jc w:val="center"/>
                    <w:rPr>
                      <w:rFonts w:eastAsiaTheme="minorEastAsia"/>
                      <w:color w:val="auto"/>
                      <w:szCs w:val="21"/>
                    </w:rPr>
                  </w:pPr>
                  <w:r>
                    <w:rPr>
                      <w:rFonts w:eastAsiaTheme="minorEastAsia"/>
                      <w:color w:val="auto"/>
                      <w:szCs w:val="21"/>
                    </w:rPr>
                    <w:t>运行管理</w:t>
                  </w:r>
                </w:p>
              </w:tc>
              <w:tc>
                <w:tcPr>
                  <w:tcW w:w="1726" w:type="dxa"/>
                  <w:vAlign w:val="center"/>
                </w:tcPr>
                <w:p>
                  <w:pPr>
                    <w:adjustRightInd w:val="0"/>
                    <w:snapToGrid w:val="0"/>
                    <w:jc w:val="center"/>
                    <w:rPr>
                      <w:rFonts w:eastAsiaTheme="minorEastAsia"/>
                      <w:color w:val="auto"/>
                      <w:szCs w:val="21"/>
                    </w:rPr>
                  </w:pPr>
                  <w:r>
                    <w:rPr>
                      <w:rFonts w:eastAsiaTheme="minorEastAsia"/>
                      <w:color w:val="auto"/>
                      <w:szCs w:val="21"/>
                    </w:rPr>
                    <w:t>工艺复杂程度</w:t>
                  </w:r>
                </w:p>
              </w:tc>
              <w:tc>
                <w:tcPr>
                  <w:tcW w:w="1983" w:type="dxa"/>
                  <w:vAlign w:val="center"/>
                </w:tcPr>
                <w:p>
                  <w:pPr>
                    <w:adjustRightInd w:val="0"/>
                    <w:snapToGrid w:val="0"/>
                    <w:jc w:val="center"/>
                    <w:rPr>
                      <w:rFonts w:eastAsiaTheme="minorEastAsia"/>
                      <w:color w:val="auto"/>
                      <w:szCs w:val="21"/>
                    </w:rPr>
                  </w:pPr>
                  <w:r>
                    <w:rPr>
                      <w:rFonts w:eastAsiaTheme="minorEastAsia"/>
                      <w:color w:val="auto"/>
                      <w:szCs w:val="21"/>
                    </w:rPr>
                    <w:t>复杂</w:t>
                  </w:r>
                </w:p>
              </w:tc>
              <w:tc>
                <w:tcPr>
                  <w:tcW w:w="1872" w:type="dxa"/>
                  <w:vAlign w:val="center"/>
                </w:tcPr>
                <w:p>
                  <w:pPr>
                    <w:adjustRightInd w:val="0"/>
                    <w:snapToGrid w:val="0"/>
                    <w:jc w:val="center"/>
                    <w:rPr>
                      <w:rFonts w:eastAsiaTheme="minorEastAsia"/>
                      <w:color w:val="auto"/>
                      <w:szCs w:val="21"/>
                    </w:rPr>
                  </w:pPr>
                  <w:r>
                    <w:rPr>
                      <w:rFonts w:eastAsiaTheme="minorEastAsia"/>
                      <w:color w:val="auto"/>
                      <w:szCs w:val="21"/>
                    </w:rPr>
                    <w:t>比较复杂</w:t>
                  </w:r>
                </w:p>
              </w:tc>
              <w:tc>
                <w:tcPr>
                  <w:tcW w:w="2094" w:type="dxa"/>
                  <w:vAlign w:val="center"/>
                </w:tcPr>
                <w:p>
                  <w:pPr>
                    <w:adjustRightInd w:val="0"/>
                    <w:snapToGrid w:val="0"/>
                    <w:jc w:val="center"/>
                    <w:rPr>
                      <w:rFonts w:eastAsiaTheme="minorEastAsia"/>
                      <w:color w:val="auto"/>
                      <w:szCs w:val="21"/>
                    </w:rPr>
                  </w:pPr>
                  <w:r>
                    <w:rPr>
                      <w:rFonts w:eastAsiaTheme="minorEastAsia"/>
                      <w:color w:val="auto"/>
                      <w:szCs w:val="21"/>
                    </w:rPr>
                    <w:t>相对简单</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eastAsiaTheme="minorEastAsia"/>
                      <w:color w:val="auto"/>
                      <w:szCs w:val="21"/>
                    </w:rPr>
                  </w:pPr>
                </w:p>
              </w:tc>
              <w:tc>
                <w:tcPr>
                  <w:tcW w:w="1726" w:type="dxa"/>
                  <w:vAlign w:val="center"/>
                </w:tcPr>
                <w:p>
                  <w:pPr>
                    <w:adjustRightInd w:val="0"/>
                    <w:snapToGrid w:val="0"/>
                    <w:jc w:val="center"/>
                    <w:rPr>
                      <w:rFonts w:eastAsiaTheme="minorEastAsia"/>
                      <w:color w:val="auto"/>
                      <w:szCs w:val="21"/>
                    </w:rPr>
                  </w:pPr>
                  <w:r>
                    <w:rPr>
                      <w:rFonts w:eastAsiaTheme="minorEastAsia"/>
                      <w:color w:val="auto"/>
                      <w:szCs w:val="21"/>
                    </w:rPr>
                    <w:t>自动化程度</w:t>
                  </w:r>
                </w:p>
              </w:tc>
              <w:tc>
                <w:tcPr>
                  <w:tcW w:w="1983" w:type="dxa"/>
                  <w:vAlign w:val="center"/>
                </w:tcPr>
                <w:p>
                  <w:pPr>
                    <w:adjustRightInd w:val="0"/>
                    <w:snapToGrid w:val="0"/>
                    <w:jc w:val="center"/>
                    <w:rPr>
                      <w:rFonts w:eastAsiaTheme="minorEastAsia"/>
                      <w:color w:val="auto"/>
                      <w:szCs w:val="21"/>
                    </w:rPr>
                  </w:pPr>
                  <w:r>
                    <w:rPr>
                      <w:rFonts w:eastAsiaTheme="minorEastAsia"/>
                      <w:color w:val="auto"/>
                      <w:szCs w:val="21"/>
                    </w:rPr>
                    <w:t>连续过水，可实现供氧量和回流比的自动调节</w:t>
                  </w:r>
                </w:p>
              </w:tc>
              <w:tc>
                <w:tcPr>
                  <w:tcW w:w="1872" w:type="dxa"/>
                  <w:vAlign w:val="center"/>
                </w:tcPr>
                <w:p>
                  <w:pPr>
                    <w:adjustRightInd w:val="0"/>
                    <w:snapToGrid w:val="0"/>
                    <w:jc w:val="center"/>
                    <w:rPr>
                      <w:rFonts w:eastAsiaTheme="minorEastAsia"/>
                      <w:color w:val="auto"/>
                      <w:szCs w:val="21"/>
                    </w:rPr>
                  </w:pPr>
                  <w:r>
                    <w:rPr>
                      <w:rFonts w:eastAsiaTheme="minorEastAsia"/>
                      <w:color w:val="auto"/>
                      <w:szCs w:val="21"/>
                    </w:rPr>
                    <w:t>自动化程度较高</w:t>
                  </w:r>
                </w:p>
              </w:tc>
              <w:tc>
                <w:tcPr>
                  <w:tcW w:w="2094" w:type="dxa"/>
                  <w:vAlign w:val="center"/>
                </w:tcPr>
                <w:p>
                  <w:pPr>
                    <w:adjustRightInd w:val="0"/>
                    <w:snapToGrid w:val="0"/>
                    <w:jc w:val="center"/>
                    <w:rPr>
                      <w:rFonts w:eastAsiaTheme="minorEastAsia"/>
                      <w:color w:val="auto"/>
                      <w:szCs w:val="21"/>
                    </w:rPr>
                  </w:pPr>
                  <w:r>
                    <w:rPr>
                      <w:rFonts w:eastAsiaTheme="minorEastAsia"/>
                      <w:color w:val="auto"/>
                      <w:szCs w:val="21"/>
                    </w:rPr>
                    <w:t>自动化程度高</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eastAsiaTheme="minorEastAsia"/>
                      <w:color w:val="auto"/>
                      <w:szCs w:val="21"/>
                    </w:rPr>
                  </w:pPr>
                </w:p>
              </w:tc>
              <w:tc>
                <w:tcPr>
                  <w:tcW w:w="1726" w:type="dxa"/>
                  <w:vAlign w:val="center"/>
                </w:tcPr>
                <w:p>
                  <w:pPr>
                    <w:adjustRightInd w:val="0"/>
                    <w:snapToGrid w:val="0"/>
                    <w:jc w:val="center"/>
                    <w:rPr>
                      <w:rFonts w:eastAsiaTheme="minorEastAsia"/>
                      <w:color w:val="auto"/>
                      <w:szCs w:val="21"/>
                    </w:rPr>
                  </w:pPr>
                  <w:r>
                    <w:rPr>
                      <w:rFonts w:eastAsiaTheme="minorEastAsia"/>
                      <w:color w:val="auto"/>
                      <w:szCs w:val="21"/>
                    </w:rPr>
                    <w:t>日常维护</w:t>
                  </w:r>
                </w:p>
              </w:tc>
              <w:tc>
                <w:tcPr>
                  <w:tcW w:w="1983" w:type="dxa"/>
                  <w:vAlign w:val="center"/>
                </w:tcPr>
                <w:p>
                  <w:pPr>
                    <w:adjustRightInd w:val="0"/>
                    <w:snapToGrid w:val="0"/>
                    <w:jc w:val="center"/>
                    <w:rPr>
                      <w:rFonts w:eastAsiaTheme="minorEastAsia"/>
                      <w:color w:val="auto"/>
                      <w:szCs w:val="21"/>
                    </w:rPr>
                  </w:pPr>
                  <w:r>
                    <w:rPr>
                      <w:rFonts w:eastAsiaTheme="minorEastAsia"/>
                      <w:color w:val="auto"/>
                      <w:szCs w:val="21"/>
                    </w:rPr>
                    <w:t>厂区大，设备分散维护巡视量大</w:t>
                  </w:r>
                </w:p>
              </w:tc>
              <w:tc>
                <w:tcPr>
                  <w:tcW w:w="1872" w:type="dxa"/>
                  <w:vAlign w:val="center"/>
                </w:tcPr>
                <w:p>
                  <w:pPr>
                    <w:adjustRightInd w:val="0"/>
                    <w:snapToGrid w:val="0"/>
                    <w:jc w:val="center"/>
                    <w:rPr>
                      <w:rFonts w:eastAsiaTheme="minorEastAsia"/>
                      <w:color w:val="auto"/>
                      <w:szCs w:val="21"/>
                    </w:rPr>
                  </w:pPr>
                  <w:r>
                    <w:rPr>
                      <w:rFonts w:eastAsiaTheme="minorEastAsia"/>
                      <w:color w:val="auto"/>
                      <w:szCs w:val="21"/>
                    </w:rPr>
                    <w:t>设备较多，维修量较大</w:t>
                  </w:r>
                </w:p>
              </w:tc>
              <w:tc>
                <w:tcPr>
                  <w:tcW w:w="2094" w:type="dxa"/>
                  <w:vAlign w:val="center"/>
                </w:tcPr>
                <w:p>
                  <w:pPr>
                    <w:adjustRightInd w:val="0"/>
                    <w:snapToGrid w:val="0"/>
                    <w:jc w:val="center"/>
                    <w:rPr>
                      <w:rFonts w:eastAsiaTheme="minorEastAsia"/>
                      <w:color w:val="auto"/>
                      <w:szCs w:val="21"/>
                    </w:rPr>
                  </w:pPr>
                  <w:r>
                    <w:rPr>
                      <w:rFonts w:eastAsiaTheme="minorEastAsia"/>
                      <w:color w:val="auto"/>
                      <w:szCs w:val="21"/>
                    </w:rPr>
                    <w:t>设备简单，维修容易，能做到无人值守</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eastAsiaTheme="minorEastAsia"/>
                      <w:color w:val="auto"/>
                      <w:szCs w:val="21"/>
                    </w:rPr>
                  </w:pPr>
                </w:p>
              </w:tc>
              <w:tc>
                <w:tcPr>
                  <w:tcW w:w="1726" w:type="dxa"/>
                  <w:vAlign w:val="center"/>
                </w:tcPr>
                <w:p>
                  <w:pPr>
                    <w:adjustRightInd w:val="0"/>
                    <w:snapToGrid w:val="0"/>
                    <w:jc w:val="center"/>
                    <w:rPr>
                      <w:rFonts w:eastAsiaTheme="minorEastAsia"/>
                      <w:color w:val="auto"/>
                      <w:szCs w:val="21"/>
                    </w:rPr>
                  </w:pPr>
                  <w:r>
                    <w:rPr>
                      <w:rFonts w:eastAsiaTheme="minorEastAsia"/>
                      <w:color w:val="auto"/>
                      <w:szCs w:val="21"/>
                    </w:rPr>
                    <w:t>大修影响</w:t>
                  </w:r>
                </w:p>
              </w:tc>
              <w:tc>
                <w:tcPr>
                  <w:tcW w:w="1983" w:type="dxa"/>
                  <w:vAlign w:val="center"/>
                </w:tcPr>
                <w:p>
                  <w:pPr>
                    <w:adjustRightInd w:val="0"/>
                    <w:snapToGrid w:val="0"/>
                    <w:jc w:val="center"/>
                    <w:rPr>
                      <w:rFonts w:eastAsiaTheme="minorEastAsia"/>
                      <w:color w:val="auto"/>
                      <w:szCs w:val="21"/>
                    </w:rPr>
                  </w:pPr>
                  <w:r>
                    <w:rPr>
                      <w:rFonts w:eastAsiaTheme="minorEastAsia"/>
                      <w:color w:val="auto"/>
                      <w:szCs w:val="21"/>
                    </w:rPr>
                    <w:t>周期长，需重新驯化培养生化</w:t>
                  </w:r>
                </w:p>
              </w:tc>
              <w:tc>
                <w:tcPr>
                  <w:tcW w:w="1872" w:type="dxa"/>
                  <w:vAlign w:val="center"/>
                </w:tcPr>
                <w:p>
                  <w:pPr>
                    <w:adjustRightInd w:val="0"/>
                    <w:snapToGrid w:val="0"/>
                    <w:jc w:val="center"/>
                    <w:rPr>
                      <w:rFonts w:eastAsiaTheme="minorEastAsia"/>
                      <w:color w:val="auto"/>
                      <w:szCs w:val="21"/>
                    </w:rPr>
                  </w:pPr>
                  <w:r>
                    <w:rPr>
                      <w:rFonts w:eastAsiaTheme="minorEastAsia"/>
                      <w:color w:val="auto"/>
                      <w:szCs w:val="21"/>
                    </w:rPr>
                    <w:t>修理时间短、影响较小</w:t>
                  </w:r>
                </w:p>
              </w:tc>
              <w:tc>
                <w:tcPr>
                  <w:tcW w:w="2094" w:type="dxa"/>
                  <w:vAlign w:val="center"/>
                </w:tcPr>
                <w:p>
                  <w:pPr>
                    <w:adjustRightInd w:val="0"/>
                    <w:snapToGrid w:val="0"/>
                    <w:jc w:val="center"/>
                    <w:rPr>
                      <w:rFonts w:eastAsiaTheme="minorEastAsia"/>
                      <w:color w:val="auto"/>
                      <w:szCs w:val="21"/>
                    </w:rPr>
                  </w:pPr>
                  <w:r>
                    <w:rPr>
                      <w:rFonts w:eastAsiaTheme="minorEastAsia"/>
                      <w:color w:val="auto"/>
                      <w:szCs w:val="21"/>
                    </w:rPr>
                    <w:t>修理时间短、影响较小</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Align w:val="center"/>
                </w:tcPr>
                <w:p>
                  <w:pPr>
                    <w:adjustRightInd w:val="0"/>
                    <w:snapToGrid w:val="0"/>
                    <w:jc w:val="center"/>
                    <w:rPr>
                      <w:rFonts w:eastAsiaTheme="minorEastAsia"/>
                      <w:color w:val="auto"/>
                      <w:szCs w:val="21"/>
                    </w:rPr>
                  </w:pPr>
                  <w:r>
                    <w:rPr>
                      <w:rFonts w:eastAsiaTheme="minorEastAsia"/>
                      <w:color w:val="auto"/>
                      <w:szCs w:val="21"/>
                    </w:rPr>
                    <w:t>未来扩建</w:t>
                  </w:r>
                </w:p>
              </w:tc>
              <w:tc>
                <w:tcPr>
                  <w:tcW w:w="1726" w:type="dxa"/>
                  <w:vAlign w:val="center"/>
                </w:tcPr>
                <w:p>
                  <w:pPr>
                    <w:adjustRightInd w:val="0"/>
                    <w:snapToGrid w:val="0"/>
                    <w:jc w:val="center"/>
                    <w:rPr>
                      <w:rFonts w:eastAsiaTheme="minorEastAsia"/>
                      <w:color w:val="auto"/>
                      <w:szCs w:val="21"/>
                    </w:rPr>
                  </w:pPr>
                  <w:r>
                    <w:rPr>
                      <w:rFonts w:eastAsiaTheme="minorEastAsia"/>
                      <w:color w:val="auto"/>
                      <w:szCs w:val="21"/>
                    </w:rPr>
                    <w:t>增加处理量</w:t>
                  </w:r>
                </w:p>
              </w:tc>
              <w:tc>
                <w:tcPr>
                  <w:tcW w:w="1983" w:type="dxa"/>
                  <w:vAlign w:val="center"/>
                </w:tcPr>
                <w:p>
                  <w:pPr>
                    <w:adjustRightInd w:val="0"/>
                    <w:snapToGrid w:val="0"/>
                    <w:jc w:val="center"/>
                    <w:rPr>
                      <w:rFonts w:eastAsiaTheme="minorEastAsia"/>
                      <w:color w:val="auto"/>
                      <w:szCs w:val="21"/>
                    </w:rPr>
                  </w:pPr>
                  <w:r>
                    <w:rPr>
                      <w:rFonts w:eastAsiaTheme="minorEastAsia"/>
                      <w:color w:val="auto"/>
                      <w:szCs w:val="21"/>
                    </w:rPr>
                    <w:t>非模块化结构，构筑物均需增加，所需占地和土建工程量大，工期长</w:t>
                  </w:r>
                </w:p>
              </w:tc>
              <w:tc>
                <w:tcPr>
                  <w:tcW w:w="1872" w:type="dxa"/>
                  <w:vAlign w:val="center"/>
                </w:tcPr>
                <w:p>
                  <w:pPr>
                    <w:adjustRightInd w:val="0"/>
                    <w:snapToGrid w:val="0"/>
                    <w:jc w:val="center"/>
                    <w:rPr>
                      <w:rFonts w:eastAsiaTheme="minorEastAsia"/>
                      <w:color w:val="auto"/>
                      <w:szCs w:val="21"/>
                    </w:rPr>
                  </w:pPr>
                  <w:r>
                    <w:rPr>
                      <w:rFonts w:eastAsiaTheme="minorEastAsia"/>
                      <w:color w:val="auto"/>
                      <w:szCs w:val="21"/>
                    </w:rPr>
                    <w:t>全部模块化结构，扩建非常容易，所需占地和土建工程量相对较小，工期相对较短</w:t>
                  </w:r>
                </w:p>
              </w:tc>
              <w:tc>
                <w:tcPr>
                  <w:tcW w:w="2094" w:type="dxa"/>
                  <w:vAlign w:val="center"/>
                </w:tcPr>
                <w:p>
                  <w:pPr>
                    <w:adjustRightInd w:val="0"/>
                    <w:snapToGrid w:val="0"/>
                    <w:jc w:val="center"/>
                    <w:rPr>
                      <w:rFonts w:eastAsiaTheme="minorEastAsia"/>
                      <w:color w:val="auto"/>
                      <w:szCs w:val="21"/>
                    </w:rPr>
                  </w:pPr>
                  <w:r>
                    <w:rPr>
                      <w:rFonts w:eastAsiaTheme="minorEastAsia"/>
                      <w:color w:val="auto"/>
                      <w:szCs w:val="21"/>
                    </w:rPr>
                    <w:t>全部模块化结构，扩建非常容易，所需占地和土建工程量小，工期短</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restart"/>
                  <w:vAlign w:val="center"/>
                </w:tcPr>
                <w:p>
                  <w:pPr>
                    <w:adjustRightInd w:val="0"/>
                    <w:snapToGrid w:val="0"/>
                    <w:jc w:val="center"/>
                    <w:rPr>
                      <w:rFonts w:eastAsiaTheme="minorEastAsia"/>
                      <w:color w:val="auto"/>
                      <w:szCs w:val="21"/>
                    </w:rPr>
                  </w:pPr>
                  <w:r>
                    <w:rPr>
                      <w:rFonts w:eastAsiaTheme="minorEastAsia"/>
                      <w:color w:val="auto"/>
                      <w:szCs w:val="21"/>
                    </w:rPr>
                    <w:t>投资费用</w:t>
                  </w:r>
                </w:p>
              </w:tc>
              <w:tc>
                <w:tcPr>
                  <w:tcW w:w="1726" w:type="dxa"/>
                  <w:vAlign w:val="center"/>
                </w:tcPr>
                <w:p>
                  <w:pPr>
                    <w:adjustRightInd w:val="0"/>
                    <w:snapToGrid w:val="0"/>
                    <w:jc w:val="center"/>
                    <w:rPr>
                      <w:rFonts w:eastAsiaTheme="minorEastAsia"/>
                      <w:color w:val="auto"/>
                      <w:szCs w:val="21"/>
                    </w:rPr>
                  </w:pPr>
                  <w:r>
                    <w:rPr>
                      <w:rFonts w:eastAsiaTheme="minorEastAsia"/>
                      <w:color w:val="auto"/>
                      <w:szCs w:val="21"/>
                    </w:rPr>
                    <w:t>土建工程</w:t>
                  </w:r>
                </w:p>
              </w:tc>
              <w:tc>
                <w:tcPr>
                  <w:tcW w:w="1983" w:type="dxa"/>
                  <w:vAlign w:val="center"/>
                </w:tcPr>
                <w:p>
                  <w:pPr>
                    <w:adjustRightInd w:val="0"/>
                    <w:snapToGrid w:val="0"/>
                    <w:jc w:val="center"/>
                    <w:rPr>
                      <w:rFonts w:eastAsiaTheme="minorEastAsia"/>
                      <w:color w:val="auto"/>
                      <w:szCs w:val="21"/>
                    </w:rPr>
                  </w:pPr>
                  <w:r>
                    <w:rPr>
                      <w:rFonts w:eastAsiaTheme="minorEastAsia"/>
                      <w:color w:val="auto"/>
                      <w:szCs w:val="21"/>
                    </w:rPr>
                    <w:t>投资较大</w:t>
                  </w:r>
                </w:p>
              </w:tc>
              <w:tc>
                <w:tcPr>
                  <w:tcW w:w="1872" w:type="dxa"/>
                  <w:vAlign w:val="center"/>
                </w:tcPr>
                <w:p>
                  <w:pPr>
                    <w:adjustRightInd w:val="0"/>
                    <w:snapToGrid w:val="0"/>
                    <w:jc w:val="center"/>
                    <w:rPr>
                      <w:rFonts w:eastAsiaTheme="minorEastAsia"/>
                      <w:color w:val="auto"/>
                      <w:szCs w:val="21"/>
                    </w:rPr>
                  </w:pPr>
                  <w:r>
                    <w:rPr>
                      <w:rFonts w:eastAsiaTheme="minorEastAsia"/>
                      <w:color w:val="auto"/>
                      <w:szCs w:val="21"/>
                    </w:rPr>
                    <w:t>投资相对较小</w:t>
                  </w:r>
                </w:p>
              </w:tc>
              <w:tc>
                <w:tcPr>
                  <w:tcW w:w="2094" w:type="dxa"/>
                  <w:vAlign w:val="center"/>
                </w:tcPr>
                <w:p>
                  <w:pPr>
                    <w:adjustRightInd w:val="0"/>
                    <w:snapToGrid w:val="0"/>
                    <w:jc w:val="center"/>
                    <w:rPr>
                      <w:rFonts w:eastAsiaTheme="minorEastAsia"/>
                      <w:color w:val="auto"/>
                      <w:szCs w:val="21"/>
                    </w:rPr>
                  </w:pPr>
                  <w:r>
                    <w:rPr>
                      <w:rFonts w:eastAsiaTheme="minorEastAsia"/>
                      <w:color w:val="auto"/>
                      <w:szCs w:val="21"/>
                    </w:rPr>
                    <w:t>投资较小</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eastAsiaTheme="minorEastAsia"/>
                      <w:color w:val="auto"/>
                      <w:szCs w:val="21"/>
                    </w:rPr>
                  </w:pPr>
                </w:p>
              </w:tc>
              <w:tc>
                <w:tcPr>
                  <w:tcW w:w="1726" w:type="dxa"/>
                  <w:vAlign w:val="center"/>
                </w:tcPr>
                <w:p>
                  <w:pPr>
                    <w:adjustRightInd w:val="0"/>
                    <w:snapToGrid w:val="0"/>
                    <w:jc w:val="center"/>
                    <w:rPr>
                      <w:rFonts w:eastAsiaTheme="minorEastAsia"/>
                      <w:color w:val="auto"/>
                      <w:szCs w:val="21"/>
                    </w:rPr>
                  </w:pPr>
                  <w:r>
                    <w:rPr>
                      <w:rFonts w:eastAsiaTheme="minorEastAsia"/>
                      <w:color w:val="auto"/>
                      <w:szCs w:val="21"/>
                    </w:rPr>
                    <w:t>设备及仪表</w:t>
                  </w:r>
                </w:p>
              </w:tc>
              <w:tc>
                <w:tcPr>
                  <w:tcW w:w="1983" w:type="dxa"/>
                  <w:vAlign w:val="center"/>
                </w:tcPr>
                <w:p>
                  <w:pPr>
                    <w:adjustRightInd w:val="0"/>
                    <w:snapToGrid w:val="0"/>
                    <w:jc w:val="center"/>
                    <w:rPr>
                      <w:rFonts w:eastAsiaTheme="minorEastAsia"/>
                      <w:color w:val="auto"/>
                      <w:szCs w:val="21"/>
                    </w:rPr>
                  </w:pPr>
                  <w:r>
                    <w:rPr>
                      <w:rFonts w:eastAsiaTheme="minorEastAsia"/>
                      <w:color w:val="auto"/>
                      <w:szCs w:val="21"/>
                    </w:rPr>
                    <w:t>投资一般</w:t>
                  </w:r>
                </w:p>
              </w:tc>
              <w:tc>
                <w:tcPr>
                  <w:tcW w:w="1872" w:type="dxa"/>
                  <w:vAlign w:val="center"/>
                </w:tcPr>
                <w:p>
                  <w:pPr>
                    <w:adjustRightInd w:val="0"/>
                    <w:snapToGrid w:val="0"/>
                    <w:jc w:val="center"/>
                    <w:rPr>
                      <w:rFonts w:eastAsiaTheme="minorEastAsia"/>
                      <w:color w:val="auto"/>
                      <w:szCs w:val="21"/>
                    </w:rPr>
                  </w:pPr>
                  <w:r>
                    <w:rPr>
                      <w:rFonts w:eastAsiaTheme="minorEastAsia"/>
                      <w:color w:val="auto"/>
                      <w:szCs w:val="21"/>
                    </w:rPr>
                    <w:t>投资相对较小</w:t>
                  </w:r>
                </w:p>
              </w:tc>
              <w:tc>
                <w:tcPr>
                  <w:tcW w:w="2094" w:type="dxa"/>
                  <w:vAlign w:val="center"/>
                </w:tcPr>
                <w:p>
                  <w:pPr>
                    <w:adjustRightInd w:val="0"/>
                    <w:snapToGrid w:val="0"/>
                    <w:jc w:val="center"/>
                    <w:rPr>
                      <w:rFonts w:eastAsiaTheme="minorEastAsia"/>
                      <w:color w:val="auto"/>
                      <w:szCs w:val="21"/>
                    </w:rPr>
                  </w:pPr>
                  <w:r>
                    <w:rPr>
                      <w:rFonts w:eastAsiaTheme="minorEastAsia"/>
                      <w:color w:val="auto"/>
                      <w:szCs w:val="21"/>
                    </w:rPr>
                    <w:t>投资较小</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eastAsiaTheme="minorEastAsia"/>
                      <w:color w:val="auto"/>
                      <w:szCs w:val="21"/>
                    </w:rPr>
                  </w:pPr>
                </w:p>
              </w:tc>
              <w:tc>
                <w:tcPr>
                  <w:tcW w:w="1726" w:type="dxa"/>
                  <w:vAlign w:val="center"/>
                </w:tcPr>
                <w:p>
                  <w:pPr>
                    <w:adjustRightInd w:val="0"/>
                    <w:snapToGrid w:val="0"/>
                    <w:jc w:val="center"/>
                    <w:rPr>
                      <w:rFonts w:eastAsiaTheme="minorEastAsia"/>
                      <w:color w:val="auto"/>
                      <w:szCs w:val="21"/>
                    </w:rPr>
                  </w:pPr>
                  <w:r>
                    <w:rPr>
                      <w:rFonts w:eastAsiaTheme="minorEastAsia"/>
                      <w:color w:val="auto"/>
                      <w:szCs w:val="21"/>
                    </w:rPr>
                    <w:t>占地</w:t>
                  </w:r>
                </w:p>
              </w:tc>
              <w:tc>
                <w:tcPr>
                  <w:tcW w:w="1983" w:type="dxa"/>
                  <w:vAlign w:val="center"/>
                </w:tcPr>
                <w:p>
                  <w:pPr>
                    <w:adjustRightInd w:val="0"/>
                    <w:snapToGrid w:val="0"/>
                    <w:jc w:val="center"/>
                    <w:rPr>
                      <w:rFonts w:eastAsiaTheme="minorEastAsia"/>
                      <w:color w:val="auto"/>
                      <w:szCs w:val="21"/>
                    </w:rPr>
                  </w:pPr>
                  <w:r>
                    <w:rPr>
                      <w:rFonts w:eastAsiaTheme="minorEastAsia"/>
                      <w:color w:val="auto"/>
                      <w:szCs w:val="21"/>
                    </w:rPr>
                    <w:t>最大</w:t>
                  </w:r>
                </w:p>
              </w:tc>
              <w:tc>
                <w:tcPr>
                  <w:tcW w:w="1872" w:type="dxa"/>
                  <w:vAlign w:val="center"/>
                </w:tcPr>
                <w:p>
                  <w:pPr>
                    <w:adjustRightInd w:val="0"/>
                    <w:snapToGrid w:val="0"/>
                    <w:jc w:val="center"/>
                    <w:rPr>
                      <w:rFonts w:eastAsiaTheme="minorEastAsia"/>
                      <w:color w:val="auto"/>
                      <w:szCs w:val="21"/>
                    </w:rPr>
                  </w:pPr>
                  <w:r>
                    <w:rPr>
                      <w:rFonts w:eastAsiaTheme="minorEastAsia"/>
                      <w:color w:val="auto"/>
                      <w:szCs w:val="21"/>
                    </w:rPr>
                    <w:t>相对较小</w:t>
                  </w:r>
                </w:p>
              </w:tc>
              <w:tc>
                <w:tcPr>
                  <w:tcW w:w="2094" w:type="dxa"/>
                  <w:vAlign w:val="center"/>
                </w:tcPr>
                <w:p>
                  <w:pPr>
                    <w:adjustRightInd w:val="0"/>
                    <w:snapToGrid w:val="0"/>
                    <w:jc w:val="center"/>
                    <w:rPr>
                      <w:rFonts w:eastAsiaTheme="minorEastAsia"/>
                      <w:color w:val="auto"/>
                      <w:szCs w:val="21"/>
                    </w:rPr>
                  </w:pPr>
                  <w:r>
                    <w:rPr>
                      <w:rFonts w:eastAsiaTheme="minorEastAsia"/>
                      <w:color w:val="auto"/>
                      <w:szCs w:val="21"/>
                    </w:rPr>
                    <w:t>小</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eastAsiaTheme="minorEastAsia"/>
                      <w:color w:val="auto"/>
                      <w:szCs w:val="21"/>
                    </w:rPr>
                  </w:pPr>
                </w:p>
              </w:tc>
              <w:tc>
                <w:tcPr>
                  <w:tcW w:w="1726" w:type="dxa"/>
                  <w:vAlign w:val="center"/>
                </w:tcPr>
                <w:p>
                  <w:pPr>
                    <w:adjustRightInd w:val="0"/>
                    <w:snapToGrid w:val="0"/>
                    <w:jc w:val="center"/>
                    <w:rPr>
                      <w:rFonts w:eastAsiaTheme="minorEastAsia"/>
                      <w:color w:val="auto"/>
                      <w:szCs w:val="21"/>
                    </w:rPr>
                  </w:pPr>
                  <w:r>
                    <w:rPr>
                      <w:rFonts w:eastAsiaTheme="minorEastAsia"/>
                      <w:color w:val="auto"/>
                      <w:szCs w:val="21"/>
                    </w:rPr>
                    <w:t>总投资</w:t>
                  </w:r>
                </w:p>
              </w:tc>
              <w:tc>
                <w:tcPr>
                  <w:tcW w:w="1983" w:type="dxa"/>
                  <w:vAlign w:val="center"/>
                </w:tcPr>
                <w:p>
                  <w:pPr>
                    <w:adjustRightInd w:val="0"/>
                    <w:snapToGrid w:val="0"/>
                    <w:jc w:val="center"/>
                    <w:rPr>
                      <w:rFonts w:eastAsiaTheme="minorEastAsia"/>
                      <w:color w:val="auto"/>
                      <w:szCs w:val="21"/>
                    </w:rPr>
                  </w:pPr>
                  <w:r>
                    <w:rPr>
                      <w:rFonts w:eastAsiaTheme="minorEastAsia"/>
                      <w:color w:val="auto"/>
                      <w:szCs w:val="21"/>
                    </w:rPr>
                    <w:t>最大</w:t>
                  </w:r>
                </w:p>
              </w:tc>
              <w:tc>
                <w:tcPr>
                  <w:tcW w:w="1872" w:type="dxa"/>
                  <w:vAlign w:val="center"/>
                </w:tcPr>
                <w:p>
                  <w:pPr>
                    <w:adjustRightInd w:val="0"/>
                    <w:snapToGrid w:val="0"/>
                    <w:jc w:val="center"/>
                    <w:rPr>
                      <w:rFonts w:eastAsiaTheme="minorEastAsia"/>
                      <w:color w:val="auto"/>
                      <w:szCs w:val="21"/>
                    </w:rPr>
                  </w:pPr>
                  <w:r>
                    <w:rPr>
                      <w:rFonts w:eastAsiaTheme="minorEastAsia"/>
                      <w:color w:val="auto"/>
                      <w:szCs w:val="21"/>
                    </w:rPr>
                    <w:t>相对较小</w:t>
                  </w:r>
                </w:p>
              </w:tc>
              <w:tc>
                <w:tcPr>
                  <w:tcW w:w="2094" w:type="dxa"/>
                  <w:vAlign w:val="center"/>
                </w:tcPr>
                <w:p>
                  <w:pPr>
                    <w:adjustRightInd w:val="0"/>
                    <w:snapToGrid w:val="0"/>
                    <w:jc w:val="center"/>
                    <w:rPr>
                      <w:rFonts w:eastAsiaTheme="minorEastAsia"/>
                      <w:color w:val="auto"/>
                      <w:szCs w:val="21"/>
                    </w:rPr>
                  </w:pPr>
                  <w:r>
                    <w:rPr>
                      <w:rFonts w:eastAsiaTheme="minorEastAsia"/>
                      <w:color w:val="auto"/>
                      <w:szCs w:val="21"/>
                    </w:rPr>
                    <w:t>较小</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restart"/>
                  <w:vAlign w:val="center"/>
                </w:tcPr>
                <w:p>
                  <w:pPr>
                    <w:adjustRightInd w:val="0"/>
                    <w:snapToGrid w:val="0"/>
                    <w:jc w:val="center"/>
                    <w:rPr>
                      <w:rFonts w:eastAsiaTheme="minorEastAsia"/>
                      <w:color w:val="auto"/>
                      <w:szCs w:val="21"/>
                    </w:rPr>
                  </w:pPr>
                  <w:r>
                    <w:rPr>
                      <w:rFonts w:eastAsiaTheme="minorEastAsia"/>
                      <w:color w:val="auto"/>
                      <w:szCs w:val="21"/>
                    </w:rPr>
                    <w:t>运行费用</w:t>
                  </w:r>
                </w:p>
              </w:tc>
              <w:tc>
                <w:tcPr>
                  <w:tcW w:w="1726" w:type="dxa"/>
                  <w:vAlign w:val="center"/>
                </w:tcPr>
                <w:p>
                  <w:pPr>
                    <w:adjustRightInd w:val="0"/>
                    <w:snapToGrid w:val="0"/>
                    <w:jc w:val="center"/>
                    <w:rPr>
                      <w:rFonts w:eastAsiaTheme="minorEastAsia"/>
                      <w:color w:val="auto"/>
                      <w:szCs w:val="21"/>
                    </w:rPr>
                  </w:pPr>
                  <w:r>
                    <w:rPr>
                      <w:rFonts w:eastAsiaTheme="minorEastAsia"/>
                      <w:color w:val="auto"/>
                      <w:szCs w:val="21"/>
                    </w:rPr>
                    <w:t>污泥回流</w:t>
                  </w:r>
                </w:p>
              </w:tc>
              <w:tc>
                <w:tcPr>
                  <w:tcW w:w="1983" w:type="dxa"/>
                  <w:vAlign w:val="center"/>
                </w:tcPr>
                <w:p>
                  <w:pPr>
                    <w:adjustRightInd w:val="0"/>
                    <w:snapToGrid w:val="0"/>
                    <w:jc w:val="center"/>
                    <w:rPr>
                      <w:rFonts w:eastAsiaTheme="minorEastAsia"/>
                      <w:color w:val="auto"/>
                      <w:szCs w:val="21"/>
                    </w:rPr>
                  </w:pPr>
                  <w:r>
                    <w:rPr>
                      <w:rFonts w:eastAsiaTheme="minorEastAsia"/>
                      <w:color w:val="auto"/>
                      <w:szCs w:val="21"/>
                    </w:rPr>
                    <w:t>100%～200%</w:t>
                  </w:r>
                </w:p>
              </w:tc>
              <w:tc>
                <w:tcPr>
                  <w:tcW w:w="1872" w:type="dxa"/>
                  <w:vAlign w:val="center"/>
                </w:tcPr>
                <w:p>
                  <w:pPr>
                    <w:adjustRightInd w:val="0"/>
                    <w:snapToGrid w:val="0"/>
                    <w:jc w:val="center"/>
                    <w:rPr>
                      <w:rFonts w:eastAsiaTheme="minorEastAsia"/>
                      <w:color w:val="auto"/>
                      <w:szCs w:val="21"/>
                    </w:rPr>
                  </w:pPr>
                  <w:r>
                    <w:rPr>
                      <w:rFonts w:eastAsiaTheme="minorEastAsia"/>
                      <w:color w:val="auto"/>
                      <w:szCs w:val="21"/>
                    </w:rPr>
                    <w:t>50%~100%</w:t>
                  </w:r>
                </w:p>
              </w:tc>
              <w:tc>
                <w:tcPr>
                  <w:tcW w:w="2094" w:type="dxa"/>
                  <w:vAlign w:val="center"/>
                </w:tcPr>
                <w:p>
                  <w:pPr>
                    <w:adjustRightInd w:val="0"/>
                    <w:snapToGrid w:val="0"/>
                    <w:jc w:val="center"/>
                    <w:rPr>
                      <w:rFonts w:eastAsiaTheme="minorEastAsia"/>
                      <w:color w:val="auto"/>
                      <w:szCs w:val="21"/>
                    </w:rPr>
                  </w:pPr>
                  <w:r>
                    <w:rPr>
                      <w:rFonts w:eastAsiaTheme="minorEastAsia"/>
                      <w:color w:val="auto"/>
                      <w:szCs w:val="21"/>
                    </w:rPr>
                    <w:t>无</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eastAsiaTheme="minorEastAsia"/>
                      <w:color w:val="auto"/>
                      <w:szCs w:val="21"/>
                    </w:rPr>
                  </w:pPr>
                </w:p>
              </w:tc>
              <w:tc>
                <w:tcPr>
                  <w:tcW w:w="1726" w:type="dxa"/>
                  <w:vAlign w:val="center"/>
                </w:tcPr>
                <w:p>
                  <w:pPr>
                    <w:adjustRightInd w:val="0"/>
                    <w:snapToGrid w:val="0"/>
                    <w:jc w:val="center"/>
                    <w:rPr>
                      <w:rFonts w:eastAsiaTheme="minorEastAsia"/>
                      <w:color w:val="auto"/>
                      <w:szCs w:val="21"/>
                    </w:rPr>
                  </w:pPr>
                  <w:r>
                    <w:rPr>
                      <w:rFonts w:eastAsiaTheme="minorEastAsia"/>
                      <w:color w:val="auto"/>
                      <w:szCs w:val="21"/>
                    </w:rPr>
                    <w:t>曝气量</w:t>
                  </w:r>
                </w:p>
              </w:tc>
              <w:tc>
                <w:tcPr>
                  <w:tcW w:w="1983" w:type="dxa"/>
                  <w:vAlign w:val="center"/>
                </w:tcPr>
                <w:p>
                  <w:pPr>
                    <w:adjustRightInd w:val="0"/>
                    <w:snapToGrid w:val="0"/>
                    <w:jc w:val="center"/>
                    <w:rPr>
                      <w:rFonts w:eastAsiaTheme="minorEastAsia"/>
                      <w:color w:val="auto"/>
                      <w:szCs w:val="21"/>
                    </w:rPr>
                  </w:pPr>
                  <w:r>
                    <w:rPr>
                      <w:rFonts w:eastAsiaTheme="minorEastAsia"/>
                      <w:color w:val="auto"/>
                      <w:szCs w:val="21"/>
                    </w:rPr>
                    <w:t>大</w:t>
                  </w:r>
                </w:p>
              </w:tc>
              <w:tc>
                <w:tcPr>
                  <w:tcW w:w="1872" w:type="dxa"/>
                  <w:vAlign w:val="center"/>
                </w:tcPr>
                <w:p>
                  <w:pPr>
                    <w:adjustRightInd w:val="0"/>
                    <w:snapToGrid w:val="0"/>
                    <w:jc w:val="center"/>
                    <w:rPr>
                      <w:rFonts w:eastAsiaTheme="minorEastAsia"/>
                      <w:color w:val="auto"/>
                      <w:szCs w:val="21"/>
                    </w:rPr>
                  </w:pPr>
                  <w:r>
                    <w:rPr>
                      <w:rFonts w:eastAsiaTheme="minorEastAsia"/>
                      <w:color w:val="auto"/>
                      <w:szCs w:val="21"/>
                    </w:rPr>
                    <w:t>较小</w:t>
                  </w:r>
                </w:p>
              </w:tc>
              <w:tc>
                <w:tcPr>
                  <w:tcW w:w="2094" w:type="dxa"/>
                  <w:vAlign w:val="center"/>
                </w:tcPr>
                <w:p>
                  <w:pPr>
                    <w:adjustRightInd w:val="0"/>
                    <w:snapToGrid w:val="0"/>
                    <w:jc w:val="center"/>
                    <w:rPr>
                      <w:rFonts w:eastAsiaTheme="minorEastAsia"/>
                      <w:color w:val="auto"/>
                      <w:szCs w:val="21"/>
                    </w:rPr>
                  </w:pPr>
                  <w:r>
                    <w:rPr>
                      <w:rFonts w:eastAsiaTheme="minorEastAsia"/>
                      <w:color w:val="auto"/>
                      <w:szCs w:val="21"/>
                    </w:rPr>
                    <w:t>较小</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eastAsiaTheme="minorEastAsia"/>
                      <w:color w:val="auto"/>
                      <w:szCs w:val="21"/>
                    </w:rPr>
                  </w:pPr>
                </w:p>
              </w:tc>
              <w:tc>
                <w:tcPr>
                  <w:tcW w:w="1726" w:type="dxa"/>
                  <w:vAlign w:val="center"/>
                </w:tcPr>
                <w:p>
                  <w:pPr>
                    <w:adjustRightInd w:val="0"/>
                    <w:snapToGrid w:val="0"/>
                    <w:jc w:val="center"/>
                    <w:rPr>
                      <w:rFonts w:eastAsiaTheme="minorEastAsia"/>
                      <w:color w:val="auto"/>
                      <w:szCs w:val="21"/>
                    </w:rPr>
                  </w:pPr>
                  <w:r>
                    <w:rPr>
                      <w:rFonts w:eastAsiaTheme="minorEastAsia"/>
                      <w:color w:val="auto"/>
                      <w:szCs w:val="21"/>
                    </w:rPr>
                    <w:t>消毒</w:t>
                  </w:r>
                </w:p>
              </w:tc>
              <w:tc>
                <w:tcPr>
                  <w:tcW w:w="1983" w:type="dxa"/>
                  <w:vAlign w:val="center"/>
                </w:tcPr>
                <w:p>
                  <w:pPr>
                    <w:adjustRightInd w:val="0"/>
                    <w:snapToGrid w:val="0"/>
                    <w:jc w:val="center"/>
                    <w:rPr>
                      <w:rFonts w:eastAsiaTheme="minorEastAsia"/>
                      <w:color w:val="auto"/>
                      <w:szCs w:val="21"/>
                    </w:rPr>
                  </w:pPr>
                  <w:r>
                    <w:rPr>
                      <w:rFonts w:eastAsiaTheme="minorEastAsia"/>
                      <w:color w:val="auto"/>
                      <w:szCs w:val="21"/>
                    </w:rPr>
                    <w:t>二氧化氯消毒</w:t>
                  </w:r>
                </w:p>
              </w:tc>
              <w:tc>
                <w:tcPr>
                  <w:tcW w:w="1872" w:type="dxa"/>
                  <w:vAlign w:val="center"/>
                </w:tcPr>
                <w:p>
                  <w:pPr>
                    <w:adjustRightInd w:val="0"/>
                    <w:snapToGrid w:val="0"/>
                    <w:jc w:val="center"/>
                    <w:rPr>
                      <w:rFonts w:eastAsiaTheme="minorEastAsia"/>
                      <w:color w:val="auto"/>
                      <w:szCs w:val="21"/>
                    </w:rPr>
                  </w:pPr>
                  <w:r>
                    <w:rPr>
                      <w:rFonts w:eastAsiaTheme="minorEastAsia"/>
                      <w:color w:val="auto"/>
                      <w:szCs w:val="21"/>
                    </w:rPr>
                    <w:t>二氧化氯消毒</w:t>
                  </w:r>
                </w:p>
              </w:tc>
              <w:tc>
                <w:tcPr>
                  <w:tcW w:w="2094" w:type="dxa"/>
                  <w:vAlign w:val="center"/>
                </w:tcPr>
                <w:p>
                  <w:pPr>
                    <w:adjustRightInd w:val="0"/>
                    <w:snapToGrid w:val="0"/>
                    <w:jc w:val="center"/>
                    <w:rPr>
                      <w:rFonts w:eastAsiaTheme="minorEastAsia"/>
                      <w:color w:val="auto"/>
                      <w:szCs w:val="21"/>
                    </w:rPr>
                  </w:pPr>
                  <w:r>
                    <w:rPr>
                      <w:rFonts w:eastAsiaTheme="minorEastAsia"/>
                      <w:color w:val="auto"/>
                      <w:szCs w:val="21"/>
                    </w:rPr>
                    <w:t>不消毒</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eastAsiaTheme="minorEastAsia"/>
                      <w:color w:val="auto"/>
                      <w:szCs w:val="21"/>
                    </w:rPr>
                  </w:pPr>
                </w:p>
              </w:tc>
              <w:tc>
                <w:tcPr>
                  <w:tcW w:w="1726" w:type="dxa"/>
                  <w:vAlign w:val="center"/>
                </w:tcPr>
                <w:p>
                  <w:pPr>
                    <w:adjustRightInd w:val="0"/>
                    <w:snapToGrid w:val="0"/>
                    <w:jc w:val="center"/>
                    <w:rPr>
                      <w:rFonts w:eastAsiaTheme="minorEastAsia"/>
                      <w:color w:val="auto"/>
                      <w:szCs w:val="21"/>
                    </w:rPr>
                  </w:pPr>
                  <w:r>
                    <w:rPr>
                      <w:rFonts w:eastAsiaTheme="minorEastAsia"/>
                      <w:color w:val="auto"/>
                      <w:szCs w:val="21"/>
                    </w:rPr>
                    <w:t>总运行成本</w:t>
                  </w:r>
                </w:p>
              </w:tc>
              <w:tc>
                <w:tcPr>
                  <w:tcW w:w="1983" w:type="dxa"/>
                  <w:vAlign w:val="center"/>
                </w:tcPr>
                <w:p>
                  <w:pPr>
                    <w:adjustRightInd w:val="0"/>
                    <w:snapToGrid w:val="0"/>
                    <w:jc w:val="center"/>
                    <w:rPr>
                      <w:rFonts w:eastAsiaTheme="minorEastAsia"/>
                      <w:color w:val="auto"/>
                      <w:szCs w:val="21"/>
                    </w:rPr>
                  </w:pPr>
                  <w:r>
                    <w:rPr>
                      <w:rFonts w:eastAsiaTheme="minorEastAsia"/>
                      <w:color w:val="auto"/>
                      <w:szCs w:val="21"/>
                    </w:rPr>
                    <w:t>高</w:t>
                  </w:r>
                </w:p>
              </w:tc>
              <w:tc>
                <w:tcPr>
                  <w:tcW w:w="1872" w:type="dxa"/>
                  <w:vAlign w:val="center"/>
                </w:tcPr>
                <w:p>
                  <w:pPr>
                    <w:adjustRightInd w:val="0"/>
                    <w:snapToGrid w:val="0"/>
                    <w:jc w:val="center"/>
                    <w:rPr>
                      <w:rFonts w:eastAsiaTheme="minorEastAsia"/>
                      <w:color w:val="auto"/>
                      <w:szCs w:val="21"/>
                    </w:rPr>
                  </w:pPr>
                  <w:r>
                    <w:rPr>
                      <w:rFonts w:eastAsiaTheme="minorEastAsia"/>
                      <w:color w:val="auto"/>
                      <w:szCs w:val="21"/>
                    </w:rPr>
                    <w:t>较低</w:t>
                  </w:r>
                </w:p>
              </w:tc>
              <w:tc>
                <w:tcPr>
                  <w:tcW w:w="2094" w:type="dxa"/>
                  <w:vAlign w:val="center"/>
                </w:tcPr>
                <w:p>
                  <w:pPr>
                    <w:adjustRightInd w:val="0"/>
                    <w:snapToGrid w:val="0"/>
                    <w:jc w:val="center"/>
                    <w:rPr>
                      <w:rFonts w:eastAsiaTheme="minorEastAsia"/>
                      <w:color w:val="auto"/>
                      <w:szCs w:val="21"/>
                    </w:rPr>
                  </w:pPr>
                  <w:r>
                    <w:rPr>
                      <w:rFonts w:eastAsiaTheme="minorEastAsia"/>
                      <w:color w:val="auto"/>
                      <w:szCs w:val="21"/>
                    </w:rPr>
                    <w:t>低</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restart"/>
                  <w:vAlign w:val="center"/>
                </w:tcPr>
                <w:p>
                  <w:pPr>
                    <w:adjustRightInd w:val="0"/>
                    <w:snapToGrid w:val="0"/>
                    <w:jc w:val="center"/>
                    <w:rPr>
                      <w:rFonts w:eastAsiaTheme="minorEastAsia"/>
                      <w:color w:val="auto"/>
                      <w:szCs w:val="21"/>
                    </w:rPr>
                  </w:pPr>
                  <w:r>
                    <w:rPr>
                      <w:rFonts w:eastAsiaTheme="minorEastAsia"/>
                      <w:color w:val="auto"/>
                      <w:szCs w:val="21"/>
                    </w:rPr>
                    <w:t>环境影响</w:t>
                  </w:r>
                </w:p>
              </w:tc>
              <w:tc>
                <w:tcPr>
                  <w:tcW w:w="1726" w:type="dxa"/>
                  <w:vAlign w:val="center"/>
                </w:tcPr>
                <w:p>
                  <w:pPr>
                    <w:adjustRightInd w:val="0"/>
                    <w:snapToGrid w:val="0"/>
                    <w:jc w:val="center"/>
                    <w:rPr>
                      <w:rFonts w:eastAsiaTheme="minorEastAsia"/>
                      <w:color w:val="auto"/>
                      <w:szCs w:val="21"/>
                    </w:rPr>
                  </w:pPr>
                  <w:r>
                    <w:rPr>
                      <w:rFonts w:eastAsiaTheme="minorEastAsia"/>
                      <w:color w:val="auto"/>
                      <w:szCs w:val="21"/>
                    </w:rPr>
                    <w:t>臭气问题</w:t>
                  </w:r>
                </w:p>
              </w:tc>
              <w:tc>
                <w:tcPr>
                  <w:tcW w:w="1983" w:type="dxa"/>
                  <w:vAlign w:val="center"/>
                </w:tcPr>
                <w:p>
                  <w:pPr>
                    <w:adjustRightInd w:val="0"/>
                    <w:snapToGrid w:val="0"/>
                    <w:jc w:val="center"/>
                    <w:rPr>
                      <w:rFonts w:eastAsiaTheme="minorEastAsia"/>
                      <w:color w:val="auto"/>
                      <w:szCs w:val="21"/>
                    </w:rPr>
                  </w:pPr>
                  <w:r>
                    <w:rPr>
                      <w:rFonts w:eastAsiaTheme="minorEastAsia"/>
                      <w:color w:val="auto"/>
                      <w:szCs w:val="21"/>
                    </w:rPr>
                    <w:t>敞开式，臭味对周围环境影响很大</w:t>
                  </w:r>
                </w:p>
              </w:tc>
              <w:tc>
                <w:tcPr>
                  <w:tcW w:w="1872" w:type="dxa"/>
                  <w:vAlign w:val="center"/>
                </w:tcPr>
                <w:p>
                  <w:pPr>
                    <w:adjustRightInd w:val="0"/>
                    <w:snapToGrid w:val="0"/>
                    <w:jc w:val="center"/>
                    <w:rPr>
                      <w:rFonts w:eastAsiaTheme="minorEastAsia"/>
                      <w:color w:val="auto"/>
                      <w:szCs w:val="21"/>
                    </w:rPr>
                  </w:pPr>
                  <w:r>
                    <w:rPr>
                      <w:rFonts w:eastAsiaTheme="minorEastAsia"/>
                      <w:color w:val="auto"/>
                      <w:szCs w:val="21"/>
                    </w:rPr>
                    <w:t>对周围环境影响较小</w:t>
                  </w:r>
                </w:p>
              </w:tc>
              <w:tc>
                <w:tcPr>
                  <w:tcW w:w="2094" w:type="dxa"/>
                  <w:vAlign w:val="center"/>
                </w:tcPr>
                <w:p>
                  <w:pPr>
                    <w:adjustRightInd w:val="0"/>
                    <w:snapToGrid w:val="0"/>
                    <w:jc w:val="center"/>
                    <w:rPr>
                      <w:rFonts w:eastAsiaTheme="minorEastAsia"/>
                      <w:color w:val="auto"/>
                      <w:szCs w:val="21"/>
                    </w:rPr>
                  </w:pPr>
                  <w:r>
                    <w:rPr>
                      <w:rFonts w:eastAsiaTheme="minorEastAsia"/>
                      <w:color w:val="auto"/>
                      <w:szCs w:val="21"/>
                    </w:rPr>
                    <w:t>处理部分几乎无臭气外溢，对周围环境影响小</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eastAsiaTheme="minorEastAsia"/>
                      <w:color w:val="auto"/>
                      <w:szCs w:val="21"/>
                    </w:rPr>
                  </w:pPr>
                </w:p>
              </w:tc>
              <w:tc>
                <w:tcPr>
                  <w:tcW w:w="1726" w:type="dxa"/>
                  <w:vAlign w:val="center"/>
                </w:tcPr>
                <w:p>
                  <w:pPr>
                    <w:adjustRightInd w:val="0"/>
                    <w:snapToGrid w:val="0"/>
                    <w:jc w:val="center"/>
                    <w:rPr>
                      <w:rFonts w:eastAsiaTheme="minorEastAsia"/>
                      <w:color w:val="auto"/>
                      <w:szCs w:val="21"/>
                    </w:rPr>
                  </w:pPr>
                  <w:r>
                    <w:rPr>
                      <w:rFonts w:eastAsiaTheme="minorEastAsia"/>
                      <w:color w:val="auto"/>
                      <w:szCs w:val="21"/>
                    </w:rPr>
                    <w:t>污泥问题</w:t>
                  </w:r>
                </w:p>
              </w:tc>
              <w:tc>
                <w:tcPr>
                  <w:tcW w:w="1983" w:type="dxa"/>
                  <w:vAlign w:val="center"/>
                </w:tcPr>
                <w:p>
                  <w:pPr>
                    <w:adjustRightInd w:val="0"/>
                    <w:snapToGrid w:val="0"/>
                    <w:jc w:val="center"/>
                    <w:rPr>
                      <w:rFonts w:eastAsiaTheme="minorEastAsia"/>
                      <w:color w:val="auto"/>
                      <w:szCs w:val="21"/>
                    </w:rPr>
                  </w:pPr>
                  <w:r>
                    <w:rPr>
                      <w:rFonts w:eastAsiaTheme="minorEastAsia"/>
                      <w:color w:val="auto"/>
                      <w:szCs w:val="21"/>
                    </w:rPr>
                    <w:t>剩余有机污泥较多</w:t>
                  </w:r>
                </w:p>
              </w:tc>
              <w:tc>
                <w:tcPr>
                  <w:tcW w:w="1872" w:type="dxa"/>
                  <w:vAlign w:val="center"/>
                </w:tcPr>
                <w:p>
                  <w:pPr>
                    <w:adjustRightInd w:val="0"/>
                    <w:snapToGrid w:val="0"/>
                    <w:jc w:val="center"/>
                    <w:rPr>
                      <w:rFonts w:eastAsiaTheme="minorEastAsia"/>
                      <w:color w:val="auto"/>
                      <w:szCs w:val="21"/>
                    </w:rPr>
                  </w:pPr>
                  <w:r>
                    <w:rPr>
                      <w:rFonts w:eastAsiaTheme="minorEastAsia"/>
                      <w:color w:val="auto"/>
                      <w:szCs w:val="21"/>
                    </w:rPr>
                    <w:t>剩余有机污泥较多</w:t>
                  </w:r>
                </w:p>
              </w:tc>
              <w:tc>
                <w:tcPr>
                  <w:tcW w:w="2094" w:type="dxa"/>
                  <w:vAlign w:val="center"/>
                </w:tcPr>
                <w:p>
                  <w:pPr>
                    <w:adjustRightInd w:val="0"/>
                    <w:snapToGrid w:val="0"/>
                    <w:jc w:val="center"/>
                    <w:rPr>
                      <w:rFonts w:eastAsiaTheme="minorEastAsia"/>
                      <w:color w:val="auto"/>
                      <w:szCs w:val="21"/>
                    </w:rPr>
                  </w:pPr>
                  <w:r>
                    <w:rPr>
                      <w:rFonts w:eastAsiaTheme="minorEastAsia"/>
                      <w:color w:val="auto"/>
                      <w:szCs w:val="21"/>
                    </w:rPr>
                    <w:t>少量剩余有机污泥</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eastAsiaTheme="minorEastAsia"/>
                      <w:color w:val="auto"/>
                      <w:szCs w:val="21"/>
                    </w:rPr>
                  </w:pPr>
                </w:p>
              </w:tc>
              <w:tc>
                <w:tcPr>
                  <w:tcW w:w="1726" w:type="dxa"/>
                  <w:vAlign w:val="center"/>
                </w:tcPr>
                <w:p>
                  <w:pPr>
                    <w:adjustRightInd w:val="0"/>
                    <w:snapToGrid w:val="0"/>
                    <w:jc w:val="center"/>
                    <w:rPr>
                      <w:rFonts w:eastAsiaTheme="minorEastAsia"/>
                      <w:color w:val="auto"/>
                      <w:szCs w:val="21"/>
                    </w:rPr>
                  </w:pPr>
                  <w:r>
                    <w:rPr>
                      <w:rFonts w:eastAsiaTheme="minorEastAsia"/>
                      <w:color w:val="auto"/>
                      <w:szCs w:val="21"/>
                    </w:rPr>
                    <w:t>噪音问题</w:t>
                  </w:r>
                </w:p>
              </w:tc>
              <w:tc>
                <w:tcPr>
                  <w:tcW w:w="1983" w:type="dxa"/>
                  <w:vAlign w:val="center"/>
                </w:tcPr>
                <w:p>
                  <w:pPr>
                    <w:adjustRightInd w:val="0"/>
                    <w:snapToGrid w:val="0"/>
                    <w:jc w:val="center"/>
                    <w:rPr>
                      <w:rFonts w:eastAsiaTheme="minorEastAsia"/>
                      <w:color w:val="auto"/>
                      <w:szCs w:val="21"/>
                    </w:rPr>
                  </w:pPr>
                  <w:r>
                    <w:rPr>
                      <w:rFonts w:eastAsiaTheme="minorEastAsia"/>
                      <w:color w:val="auto"/>
                      <w:szCs w:val="21"/>
                    </w:rPr>
                    <w:t>曝气量大，风机大</w:t>
                  </w:r>
                </w:p>
                <w:p>
                  <w:pPr>
                    <w:adjustRightInd w:val="0"/>
                    <w:snapToGrid w:val="0"/>
                    <w:jc w:val="center"/>
                    <w:rPr>
                      <w:rFonts w:eastAsiaTheme="minorEastAsia"/>
                      <w:color w:val="auto"/>
                      <w:szCs w:val="21"/>
                    </w:rPr>
                  </w:pPr>
                  <w:r>
                    <w:rPr>
                      <w:rFonts w:eastAsiaTheme="minorEastAsia"/>
                      <w:color w:val="auto"/>
                      <w:szCs w:val="21"/>
                    </w:rPr>
                    <w:t>对周围环境影响很大</w:t>
                  </w:r>
                </w:p>
              </w:tc>
              <w:tc>
                <w:tcPr>
                  <w:tcW w:w="1872" w:type="dxa"/>
                  <w:vAlign w:val="center"/>
                </w:tcPr>
                <w:p>
                  <w:pPr>
                    <w:adjustRightInd w:val="0"/>
                    <w:snapToGrid w:val="0"/>
                    <w:jc w:val="center"/>
                    <w:rPr>
                      <w:rFonts w:eastAsiaTheme="minorEastAsia"/>
                      <w:color w:val="auto"/>
                      <w:szCs w:val="21"/>
                    </w:rPr>
                  </w:pPr>
                  <w:r>
                    <w:rPr>
                      <w:rFonts w:eastAsiaTheme="minorEastAsia"/>
                      <w:color w:val="auto"/>
                      <w:szCs w:val="21"/>
                    </w:rPr>
                    <w:t>设备简单，对周围环境影响较小</w:t>
                  </w:r>
                </w:p>
              </w:tc>
              <w:tc>
                <w:tcPr>
                  <w:tcW w:w="2094" w:type="dxa"/>
                  <w:vAlign w:val="center"/>
                </w:tcPr>
                <w:p>
                  <w:pPr>
                    <w:adjustRightInd w:val="0"/>
                    <w:snapToGrid w:val="0"/>
                    <w:jc w:val="center"/>
                    <w:rPr>
                      <w:rFonts w:eastAsiaTheme="minorEastAsia"/>
                      <w:color w:val="auto"/>
                      <w:szCs w:val="21"/>
                    </w:rPr>
                  </w:pPr>
                  <w:r>
                    <w:rPr>
                      <w:rFonts w:eastAsiaTheme="minorEastAsia"/>
                      <w:color w:val="auto"/>
                      <w:szCs w:val="21"/>
                    </w:rPr>
                    <w:t>设备简单，对周围环境影响小</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62" w:hRule="atLeast"/>
                <w:jc w:val="center"/>
              </w:trPr>
              <w:tc>
                <w:tcPr>
                  <w:tcW w:w="1165" w:type="dxa"/>
                  <w:vMerge w:val="continue"/>
                  <w:vAlign w:val="center"/>
                </w:tcPr>
                <w:p>
                  <w:pPr>
                    <w:adjustRightInd w:val="0"/>
                    <w:snapToGrid w:val="0"/>
                    <w:jc w:val="center"/>
                    <w:rPr>
                      <w:rFonts w:eastAsiaTheme="minorEastAsia"/>
                      <w:color w:val="auto"/>
                      <w:szCs w:val="21"/>
                    </w:rPr>
                  </w:pPr>
                </w:p>
              </w:tc>
              <w:tc>
                <w:tcPr>
                  <w:tcW w:w="1726" w:type="dxa"/>
                  <w:vAlign w:val="center"/>
                </w:tcPr>
                <w:p>
                  <w:pPr>
                    <w:adjustRightInd w:val="0"/>
                    <w:snapToGrid w:val="0"/>
                    <w:jc w:val="center"/>
                    <w:rPr>
                      <w:rFonts w:eastAsiaTheme="minorEastAsia"/>
                      <w:color w:val="auto"/>
                      <w:szCs w:val="21"/>
                    </w:rPr>
                  </w:pPr>
                  <w:r>
                    <w:rPr>
                      <w:rFonts w:eastAsiaTheme="minorEastAsia"/>
                      <w:color w:val="auto"/>
                      <w:szCs w:val="21"/>
                    </w:rPr>
                    <w:t>外观环境</w:t>
                  </w:r>
                </w:p>
              </w:tc>
              <w:tc>
                <w:tcPr>
                  <w:tcW w:w="1983" w:type="dxa"/>
                  <w:vAlign w:val="center"/>
                </w:tcPr>
                <w:p>
                  <w:pPr>
                    <w:adjustRightInd w:val="0"/>
                    <w:snapToGrid w:val="0"/>
                    <w:jc w:val="center"/>
                    <w:rPr>
                      <w:rFonts w:eastAsiaTheme="minorEastAsia"/>
                      <w:color w:val="auto"/>
                      <w:szCs w:val="21"/>
                    </w:rPr>
                  </w:pPr>
                  <w:r>
                    <w:rPr>
                      <w:rFonts w:eastAsiaTheme="minorEastAsia"/>
                      <w:color w:val="auto"/>
                      <w:szCs w:val="21"/>
                    </w:rPr>
                    <w:t>占地大，视觉和景观效果不好</w:t>
                  </w:r>
                </w:p>
              </w:tc>
              <w:tc>
                <w:tcPr>
                  <w:tcW w:w="1872" w:type="dxa"/>
                  <w:vAlign w:val="center"/>
                </w:tcPr>
                <w:p>
                  <w:pPr>
                    <w:adjustRightInd w:val="0"/>
                    <w:snapToGrid w:val="0"/>
                    <w:jc w:val="center"/>
                    <w:rPr>
                      <w:rFonts w:eastAsiaTheme="minorEastAsia"/>
                      <w:color w:val="auto"/>
                      <w:szCs w:val="21"/>
                    </w:rPr>
                  </w:pPr>
                  <w:r>
                    <w:rPr>
                      <w:rFonts w:eastAsiaTheme="minorEastAsia"/>
                      <w:color w:val="auto"/>
                      <w:szCs w:val="21"/>
                    </w:rPr>
                    <w:t>可作成园林式景观工程</w:t>
                  </w:r>
                </w:p>
              </w:tc>
              <w:tc>
                <w:tcPr>
                  <w:tcW w:w="2094" w:type="dxa"/>
                  <w:vAlign w:val="center"/>
                </w:tcPr>
                <w:p>
                  <w:pPr>
                    <w:adjustRightInd w:val="0"/>
                    <w:snapToGrid w:val="0"/>
                    <w:jc w:val="center"/>
                    <w:rPr>
                      <w:rFonts w:eastAsiaTheme="minorEastAsia"/>
                      <w:color w:val="auto"/>
                      <w:szCs w:val="21"/>
                    </w:rPr>
                  </w:pPr>
                  <w:r>
                    <w:rPr>
                      <w:rFonts w:eastAsiaTheme="minorEastAsia"/>
                      <w:color w:val="auto"/>
                      <w:szCs w:val="21"/>
                    </w:rPr>
                    <w:t>可作成园林式景观工程</w:t>
                  </w:r>
                </w:p>
              </w:tc>
            </w:tr>
          </w:tbl>
          <w:p>
            <w:pPr>
              <w:adjustRightInd w:val="0"/>
              <w:snapToGrid w:val="0"/>
              <w:spacing w:line="360" w:lineRule="auto"/>
              <w:ind w:firstLine="480" w:firstLineChars="200"/>
              <w:rPr>
                <w:rFonts w:eastAsiaTheme="minorEastAsia"/>
                <w:color w:val="auto"/>
                <w:sz w:val="24"/>
              </w:rPr>
            </w:pPr>
            <w:r>
              <w:rPr>
                <w:rFonts w:eastAsiaTheme="minorEastAsia"/>
                <w:color w:val="auto"/>
                <w:sz w:val="24"/>
              </w:rPr>
              <w:t>2.2工艺方案的确定</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通过对比分析，确定本项目采用A2/O+MBR 工艺，项目工艺流程及产物环节图19。</w:t>
            </w:r>
          </w:p>
          <w:p>
            <w:pPr>
              <w:adjustRightInd w:val="0"/>
              <w:snapToGrid w:val="0"/>
              <w:spacing w:line="360" w:lineRule="auto"/>
              <w:ind w:firstLine="470" w:firstLineChars="196"/>
              <w:rPr>
                <w:rFonts w:eastAsiaTheme="minorEastAsia"/>
                <w:color w:val="auto"/>
                <w:sz w:val="24"/>
              </w:rPr>
            </w:pPr>
            <w:r>
              <w:rPr>
                <w:rFonts w:eastAsiaTheme="minorEastAsia"/>
                <w:color w:val="auto"/>
                <w:sz w:val="24"/>
              </w:rPr>
              <w:t>出水达到</w:t>
            </w:r>
            <w:r>
              <w:rPr>
                <w:rFonts w:eastAsiaTheme="minorEastAsia"/>
                <w:snapToGrid w:val="0"/>
                <w:color w:val="auto"/>
                <w:sz w:val="24"/>
              </w:rPr>
              <w:t>《城镇污水处理厂污染物排放标准》（GB18918-2002）一级A标准</w:t>
            </w:r>
            <w:r>
              <w:rPr>
                <w:rFonts w:eastAsiaTheme="minorEastAsia"/>
                <w:color w:val="auto"/>
                <w:sz w:val="24"/>
              </w:rPr>
              <w:t>排放。</w:t>
            </w:r>
          </w:p>
          <w:p>
            <w:pPr>
              <w:adjustRightInd w:val="0"/>
              <w:snapToGrid w:val="0"/>
              <w:spacing w:line="360" w:lineRule="auto"/>
              <w:jc w:val="center"/>
              <w:rPr>
                <w:rFonts w:eastAsiaTheme="minorEastAsia"/>
                <w:snapToGrid w:val="0"/>
                <w:color w:val="auto"/>
                <w:sz w:val="24"/>
              </w:rPr>
            </w:pPr>
            <w:r>
              <w:rPr>
                <w:color w:val="auto"/>
              </w:rPr>
              <w:drawing>
                <wp:inline distT="0" distB="0" distL="0" distR="0">
                  <wp:extent cx="5486400" cy="213741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486400" cy="2137410"/>
                          </a:xfrm>
                          <a:prstGeom prst="rect">
                            <a:avLst/>
                          </a:prstGeom>
                        </pic:spPr>
                      </pic:pic>
                    </a:graphicData>
                  </a:graphic>
                </wp:inline>
              </w:drawing>
            </w:r>
          </w:p>
          <w:p>
            <w:pPr>
              <w:autoSpaceDE w:val="0"/>
              <w:autoSpaceDN w:val="0"/>
              <w:adjustRightInd w:val="0"/>
              <w:snapToGrid w:val="0"/>
              <w:spacing w:line="360" w:lineRule="auto"/>
              <w:jc w:val="center"/>
              <w:rPr>
                <w:rFonts w:eastAsiaTheme="minorEastAsia"/>
                <w:b/>
                <w:color w:val="auto"/>
                <w:sz w:val="24"/>
              </w:rPr>
            </w:pPr>
            <w:r>
              <w:rPr>
                <w:rFonts w:eastAsiaTheme="minorEastAsia"/>
                <w:b/>
                <w:color w:val="auto"/>
                <w:sz w:val="24"/>
              </w:rPr>
              <w:t>图19污水处理工艺流程图</w:t>
            </w:r>
          </w:p>
          <w:p>
            <w:pPr>
              <w:adjustRightInd w:val="0"/>
              <w:snapToGrid w:val="0"/>
              <w:spacing w:line="360" w:lineRule="auto"/>
              <w:ind w:firstLine="482" w:firstLineChars="200"/>
              <w:rPr>
                <w:rFonts w:eastAsiaTheme="minorEastAsia"/>
                <w:b/>
                <w:color w:val="auto"/>
                <w:sz w:val="24"/>
              </w:rPr>
            </w:pPr>
            <w:r>
              <w:rPr>
                <w:rFonts w:hint="eastAsia" w:ascii="宋体" w:hAnsi="宋体" w:cs="宋体"/>
                <w:b/>
                <w:color w:val="auto"/>
                <w:sz w:val="24"/>
              </w:rPr>
              <w:t>⑴</w:t>
            </w:r>
            <w:r>
              <w:rPr>
                <w:rFonts w:eastAsiaTheme="minorEastAsia"/>
                <w:b/>
                <w:color w:val="auto"/>
                <w:sz w:val="24"/>
              </w:rPr>
              <w:t>工艺流程简述：</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经过污水管网收集的生活污水经由各自管道混合进入污水处理站，先经过预处理池，预处理池分为三格，可以去除污水中含有的比重较大的固体污染物，将难降解</w:t>
            </w:r>
            <w:r>
              <w:rPr>
                <w:rFonts w:hint="eastAsia" w:eastAsiaTheme="minorEastAsia"/>
                <w:color w:val="auto"/>
                <w:sz w:val="24"/>
                <w:lang w:eastAsia="zh-CN"/>
              </w:rPr>
              <w:t>的</w:t>
            </w:r>
            <w:r>
              <w:rPr>
                <w:rFonts w:eastAsiaTheme="minorEastAsia"/>
                <w:color w:val="auto"/>
                <w:sz w:val="24"/>
              </w:rPr>
              <w:t>长链大分子有机物水解成易于微生物降解的可溶性小分子有机物，为后续处理设施创造条件。经预处理池处理后的污水自流进入格栅池，去除污水中的悬浮固体物质，为后续处理设施的正常运行创造条件。经过格栅池处理后的污水，自流进入调节池，在调节池中对污水的水质、水量进行调节，调节池内设置曝气装置，对污水进行预曝气，对污水进行动态混合搅拌，降低对后续处理设备的高负荷冲击，为系统稳定运行提供保证。污水经调节池均质均量后，通过提升泵提升到A2/O+MBR 反应器中，反应器内部设置厌氧、缺氧及好氧反应区，借助 MBR 膜高效的分离、截留能力，确保设备内细菌不流失。反应器内培养的大量、高浓度驯化细菌，在兼氧、好氧微生物的新陈代谢作用下，将污水中的各类有机污染物去除。</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通过膜的过滤作用可以完全做到“固液分离”，使反应器内的活性污泥浓度达到常规活性污泥浓度的 3～5 倍，结合特别设计的泥水混合系统，使进水与活性污泥最大限度混合均匀，提高生化反应速率，高效去除污水中剩余有机污染物，从而确保出水的稳定达标。借助膜的高效过滤、截留作用，从而保证了出水浊度降至极低。生活污水经过整个处理系统处理后，出水达到</w:t>
            </w:r>
            <w:r>
              <w:rPr>
                <w:rFonts w:eastAsiaTheme="minorEastAsia"/>
                <w:snapToGrid w:val="0"/>
                <w:color w:val="auto"/>
                <w:sz w:val="24"/>
              </w:rPr>
              <w:t>《城镇污水处理厂污染物排放标准》（GB18918-2002）一级A标准后排放。</w:t>
            </w:r>
          </w:p>
          <w:p>
            <w:pPr>
              <w:adjustRightInd w:val="0"/>
              <w:snapToGrid w:val="0"/>
              <w:spacing w:line="360" w:lineRule="auto"/>
              <w:ind w:firstLine="482" w:firstLineChars="200"/>
              <w:rPr>
                <w:rFonts w:eastAsiaTheme="minorEastAsia"/>
                <w:b/>
                <w:color w:val="auto"/>
                <w:sz w:val="24"/>
              </w:rPr>
            </w:pPr>
            <w:r>
              <w:rPr>
                <w:rFonts w:hint="eastAsia" w:ascii="宋体" w:hAnsi="宋体" w:cs="宋体"/>
                <w:b/>
                <w:color w:val="auto"/>
                <w:sz w:val="24"/>
              </w:rPr>
              <w:t>⑵</w:t>
            </w:r>
            <w:r>
              <w:rPr>
                <w:rFonts w:eastAsiaTheme="minorEastAsia"/>
                <w:b/>
                <w:color w:val="auto"/>
                <w:sz w:val="24"/>
              </w:rPr>
              <w:t>技术特色</w:t>
            </w:r>
          </w:p>
          <w:p>
            <w:pPr>
              <w:autoSpaceDE w:val="0"/>
              <w:autoSpaceDN w:val="0"/>
              <w:adjustRightInd w:val="0"/>
              <w:snapToGrid w:val="0"/>
              <w:spacing w:line="360" w:lineRule="auto"/>
              <w:ind w:firstLine="480" w:firstLineChars="200"/>
              <w:jc w:val="left"/>
              <w:rPr>
                <w:rFonts w:eastAsiaTheme="minorEastAsia"/>
                <w:color w:val="auto"/>
                <w:kern w:val="0"/>
                <w:sz w:val="24"/>
              </w:rPr>
            </w:pPr>
            <w:r>
              <w:rPr>
                <w:rFonts w:eastAsiaTheme="minorEastAsia"/>
                <w:color w:val="auto"/>
                <w:kern w:val="0"/>
                <w:sz w:val="24"/>
              </w:rPr>
              <w:t>A</w:t>
            </w:r>
            <w:r>
              <w:rPr>
                <w:rFonts w:eastAsiaTheme="minorEastAsia"/>
                <w:color w:val="auto"/>
                <w:kern w:val="0"/>
                <w:sz w:val="24"/>
                <w:vertAlign w:val="superscript"/>
              </w:rPr>
              <w:t>2</w:t>
            </w:r>
            <w:r>
              <w:rPr>
                <w:rFonts w:eastAsiaTheme="minorEastAsia"/>
                <w:color w:val="auto"/>
                <w:kern w:val="0"/>
                <w:sz w:val="24"/>
              </w:rPr>
              <w:t>/O+MBR工艺相对于其它的再生水处理技术而言，有着其独特的优势，主要体现在以下几个方面：</w:t>
            </w:r>
          </w:p>
          <w:p>
            <w:pPr>
              <w:autoSpaceDE w:val="0"/>
              <w:autoSpaceDN w:val="0"/>
              <w:adjustRightInd w:val="0"/>
              <w:snapToGrid w:val="0"/>
              <w:spacing w:line="360" w:lineRule="auto"/>
              <w:ind w:firstLine="480" w:firstLineChars="200"/>
              <w:jc w:val="left"/>
              <w:rPr>
                <w:rFonts w:eastAsiaTheme="minorEastAsia"/>
                <w:color w:val="auto"/>
                <w:kern w:val="0"/>
                <w:sz w:val="24"/>
              </w:rPr>
            </w:pPr>
            <w:r>
              <w:rPr>
                <w:rFonts w:eastAsiaTheme="minorEastAsia"/>
                <w:color w:val="auto"/>
                <w:kern w:val="0"/>
                <w:sz w:val="24"/>
              </w:rPr>
              <w:t>1）有机污泥产生量少</w:t>
            </w:r>
          </w:p>
          <w:p>
            <w:pPr>
              <w:autoSpaceDE w:val="0"/>
              <w:autoSpaceDN w:val="0"/>
              <w:adjustRightInd w:val="0"/>
              <w:snapToGrid w:val="0"/>
              <w:spacing w:line="360" w:lineRule="auto"/>
              <w:ind w:firstLine="480" w:firstLineChars="200"/>
              <w:jc w:val="left"/>
              <w:rPr>
                <w:rFonts w:eastAsiaTheme="minorEastAsia"/>
                <w:color w:val="auto"/>
                <w:kern w:val="0"/>
                <w:sz w:val="24"/>
              </w:rPr>
            </w:pPr>
            <w:r>
              <w:rPr>
                <w:rFonts w:eastAsiaTheme="minorEastAsia"/>
                <w:color w:val="auto"/>
                <w:kern w:val="0"/>
                <w:sz w:val="24"/>
              </w:rPr>
              <w:t>该工艺通过强化有机污泥在系统中的自身消化，实现了有机污泥在系统中的大幅度减量。同时系统通过不排泥方式运行，污泥自身消化速率达到动态平衡，反应器内维持了与进水水质相匹配的高浓度活性污泥，少量排放有机剩余污泥。而且，系统能维持在 0.072kg（COD）/kg（MLSS·d）的污泥负荷下运行，不会出现污泥上浮以及污泥丝状膨胀的现象。</w:t>
            </w:r>
          </w:p>
          <w:p>
            <w:pPr>
              <w:autoSpaceDE w:val="0"/>
              <w:autoSpaceDN w:val="0"/>
              <w:adjustRightInd w:val="0"/>
              <w:snapToGrid w:val="0"/>
              <w:spacing w:line="360" w:lineRule="auto"/>
              <w:ind w:firstLine="480" w:firstLineChars="200"/>
              <w:jc w:val="left"/>
              <w:rPr>
                <w:rFonts w:eastAsiaTheme="minorEastAsia"/>
                <w:color w:val="auto"/>
                <w:kern w:val="0"/>
                <w:sz w:val="24"/>
              </w:rPr>
            </w:pPr>
            <w:r>
              <w:rPr>
                <w:rFonts w:eastAsiaTheme="minorEastAsia"/>
                <w:color w:val="auto"/>
                <w:kern w:val="0"/>
                <w:sz w:val="24"/>
              </w:rPr>
              <w:t>2）处理效果好，出水稳定并达到回用水平</w:t>
            </w:r>
          </w:p>
          <w:p>
            <w:pPr>
              <w:autoSpaceDE w:val="0"/>
              <w:autoSpaceDN w:val="0"/>
              <w:adjustRightInd w:val="0"/>
              <w:snapToGrid w:val="0"/>
              <w:spacing w:line="360" w:lineRule="auto"/>
              <w:ind w:firstLine="480" w:firstLineChars="200"/>
              <w:jc w:val="left"/>
              <w:rPr>
                <w:rFonts w:eastAsiaTheme="minorEastAsia"/>
                <w:color w:val="auto"/>
                <w:kern w:val="0"/>
                <w:sz w:val="24"/>
              </w:rPr>
            </w:pPr>
            <w:r>
              <w:rPr>
                <w:rFonts w:eastAsiaTheme="minorEastAsia"/>
                <w:color w:val="auto"/>
                <w:kern w:val="0"/>
                <w:sz w:val="24"/>
              </w:rPr>
              <w:t>由于膜的高效截留作用，进水的水温、水中杂质的成分和浓度、水力条件等对于反应器来说没有不良影响，反应器内活性污泥浓度大，污染物去除效率高，出水水质稳定可靠，水质清澈悬浮物极少；出水水质达到《综合排放标准》GB8978-2002 一级 A 标准。该工艺适用于 COD cr 在 200～500mg/L，且 B/C≥0.3 的生活污水，水质适应性较广，不会出现水质指标过低或过高造成的不达标现象。</w:t>
            </w:r>
          </w:p>
          <w:p>
            <w:pPr>
              <w:autoSpaceDE w:val="0"/>
              <w:autoSpaceDN w:val="0"/>
              <w:adjustRightInd w:val="0"/>
              <w:snapToGrid w:val="0"/>
              <w:spacing w:line="360" w:lineRule="auto"/>
              <w:ind w:firstLine="480" w:firstLineChars="200"/>
              <w:jc w:val="left"/>
              <w:rPr>
                <w:rFonts w:eastAsiaTheme="minorEastAsia"/>
                <w:color w:val="auto"/>
                <w:kern w:val="0"/>
                <w:sz w:val="24"/>
              </w:rPr>
            </w:pPr>
            <w:r>
              <w:rPr>
                <w:rFonts w:eastAsiaTheme="minorEastAsia"/>
                <w:color w:val="auto"/>
                <w:kern w:val="0"/>
                <w:sz w:val="24"/>
              </w:rPr>
              <w:t>3)同步脱氮除磷</w:t>
            </w:r>
          </w:p>
          <w:p>
            <w:pPr>
              <w:autoSpaceDE w:val="0"/>
              <w:autoSpaceDN w:val="0"/>
              <w:adjustRightInd w:val="0"/>
              <w:snapToGrid w:val="0"/>
              <w:spacing w:line="360" w:lineRule="auto"/>
              <w:ind w:firstLine="480" w:firstLineChars="200"/>
              <w:jc w:val="left"/>
              <w:rPr>
                <w:rFonts w:eastAsiaTheme="minorEastAsia"/>
                <w:color w:val="auto"/>
                <w:kern w:val="0"/>
                <w:sz w:val="24"/>
              </w:rPr>
            </w:pPr>
            <w:r>
              <w:rPr>
                <w:rFonts w:eastAsiaTheme="minorEastAsia"/>
                <w:color w:val="auto"/>
                <w:kern w:val="0"/>
                <w:sz w:val="24"/>
              </w:rPr>
              <w:t>该工艺通过提高气化除磷微生物在生化系统中的比例，强化了“生化去除低浓度磷”效果，突破了传统排泥除磷的技术观念；系统通过优化反应器结构，强化了系统的脱氮效果。进而实现了单一膜生物反应器连续式高效脱氮除磷，达到国内外高效脱氮除磷生化处理工艺水平。</w:t>
            </w:r>
          </w:p>
          <w:p>
            <w:pPr>
              <w:autoSpaceDE w:val="0"/>
              <w:autoSpaceDN w:val="0"/>
              <w:adjustRightInd w:val="0"/>
              <w:snapToGrid w:val="0"/>
              <w:spacing w:line="360" w:lineRule="auto"/>
              <w:ind w:firstLine="480" w:firstLineChars="200"/>
              <w:jc w:val="left"/>
              <w:rPr>
                <w:rFonts w:eastAsiaTheme="minorEastAsia"/>
                <w:color w:val="auto"/>
                <w:kern w:val="0"/>
                <w:sz w:val="24"/>
              </w:rPr>
            </w:pPr>
            <w:r>
              <w:rPr>
                <w:rFonts w:eastAsiaTheme="minorEastAsia"/>
                <w:color w:val="auto"/>
                <w:kern w:val="0"/>
                <w:sz w:val="24"/>
              </w:rPr>
              <w:t>4)运行能耗较低</w:t>
            </w:r>
          </w:p>
          <w:p>
            <w:pPr>
              <w:autoSpaceDE w:val="0"/>
              <w:autoSpaceDN w:val="0"/>
              <w:adjustRightInd w:val="0"/>
              <w:snapToGrid w:val="0"/>
              <w:spacing w:line="360" w:lineRule="auto"/>
              <w:ind w:firstLine="480" w:firstLineChars="200"/>
              <w:jc w:val="left"/>
              <w:rPr>
                <w:rFonts w:eastAsiaTheme="minorEastAsia"/>
                <w:color w:val="auto"/>
                <w:kern w:val="0"/>
                <w:sz w:val="24"/>
              </w:rPr>
            </w:pPr>
            <w:r>
              <w:rPr>
                <w:rFonts w:eastAsiaTheme="minorEastAsia"/>
                <w:color w:val="auto"/>
                <w:kern w:val="0"/>
                <w:sz w:val="24"/>
              </w:rPr>
              <w:t>该工艺通过改变传统单一好氧膜生物反应器工艺以好氧微生物为主的菌相结构及提高氧利用率，减少了系统生化需氧量及曝气冲刷无效能耗，使该技术在各项技术指标优于常规生化工艺的情况下，综合运行成本也比常规生化工艺要低。而且，在对有机污水处理过程中，无需增加其他的辅助设备，吨水处理成本仅 0.3～0.8 元。</w:t>
            </w:r>
          </w:p>
          <w:p>
            <w:pPr>
              <w:autoSpaceDE w:val="0"/>
              <w:autoSpaceDN w:val="0"/>
              <w:adjustRightInd w:val="0"/>
              <w:snapToGrid w:val="0"/>
              <w:spacing w:line="360" w:lineRule="auto"/>
              <w:ind w:firstLine="480" w:firstLineChars="200"/>
              <w:jc w:val="left"/>
              <w:rPr>
                <w:rFonts w:eastAsiaTheme="minorEastAsia"/>
                <w:color w:val="auto"/>
                <w:kern w:val="0"/>
                <w:sz w:val="24"/>
              </w:rPr>
            </w:pPr>
            <w:r>
              <w:rPr>
                <w:rFonts w:eastAsiaTheme="minorEastAsia"/>
                <w:color w:val="auto"/>
                <w:kern w:val="0"/>
                <w:sz w:val="24"/>
              </w:rPr>
              <w:t>5)安装便捷，省时高效</w:t>
            </w:r>
          </w:p>
          <w:p>
            <w:pPr>
              <w:autoSpaceDE w:val="0"/>
              <w:autoSpaceDN w:val="0"/>
              <w:adjustRightInd w:val="0"/>
              <w:snapToGrid w:val="0"/>
              <w:spacing w:line="360" w:lineRule="auto"/>
              <w:ind w:firstLine="480" w:firstLineChars="200"/>
              <w:jc w:val="left"/>
              <w:rPr>
                <w:rFonts w:eastAsiaTheme="minorEastAsia"/>
                <w:color w:val="auto"/>
                <w:kern w:val="0"/>
                <w:sz w:val="24"/>
              </w:rPr>
            </w:pPr>
            <w:r>
              <w:rPr>
                <w:rFonts w:eastAsiaTheme="minorEastAsia"/>
                <w:color w:val="auto"/>
                <w:kern w:val="0"/>
                <w:sz w:val="24"/>
              </w:rPr>
              <w:t>工艺采用一体化组合式污水处理设备安装布局形式灵活，占地面积小。安装现场只需做好设备基础，使设备就位，通水通电即可开机调试，并在1～2周内达到稳定出水的效果。也可根据现场的需要随时增加处理设备或者调离处理设备。</w:t>
            </w:r>
          </w:p>
          <w:p>
            <w:pPr>
              <w:autoSpaceDE w:val="0"/>
              <w:autoSpaceDN w:val="0"/>
              <w:adjustRightInd w:val="0"/>
              <w:snapToGrid w:val="0"/>
              <w:spacing w:line="360" w:lineRule="auto"/>
              <w:ind w:firstLine="480" w:firstLineChars="200"/>
              <w:jc w:val="left"/>
              <w:rPr>
                <w:rFonts w:eastAsiaTheme="minorEastAsia"/>
                <w:color w:val="auto"/>
                <w:kern w:val="0"/>
                <w:sz w:val="24"/>
              </w:rPr>
            </w:pPr>
            <w:r>
              <w:rPr>
                <w:rFonts w:eastAsiaTheme="minorEastAsia"/>
                <w:color w:val="auto"/>
                <w:kern w:val="0"/>
                <w:sz w:val="24"/>
              </w:rPr>
              <w:t>6)技术可靠，优势明显</w:t>
            </w:r>
          </w:p>
          <w:p>
            <w:pPr>
              <w:autoSpaceDE w:val="0"/>
              <w:autoSpaceDN w:val="0"/>
              <w:adjustRightInd w:val="0"/>
              <w:snapToGrid w:val="0"/>
              <w:spacing w:line="360" w:lineRule="auto"/>
              <w:ind w:firstLine="480" w:firstLineChars="200"/>
              <w:jc w:val="left"/>
              <w:rPr>
                <w:rFonts w:eastAsiaTheme="minorEastAsia"/>
                <w:color w:val="auto"/>
                <w:kern w:val="0"/>
                <w:sz w:val="24"/>
              </w:rPr>
            </w:pPr>
            <w:r>
              <w:rPr>
                <w:rFonts w:eastAsiaTheme="minorEastAsia"/>
                <w:color w:val="auto"/>
                <w:kern w:val="0"/>
                <w:sz w:val="24"/>
              </w:rPr>
              <w:t>A</w:t>
            </w:r>
            <w:r>
              <w:rPr>
                <w:rFonts w:eastAsiaTheme="minorEastAsia"/>
                <w:color w:val="auto"/>
                <w:kern w:val="0"/>
                <w:sz w:val="24"/>
                <w:vertAlign w:val="superscript"/>
              </w:rPr>
              <w:t>2</w:t>
            </w:r>
            <w:r>
              <w:rPr>
                <w:rFonts w:eastAsiaTheme="minorEastAsia"/>
                <w:color w:val="auto"/>
                <w:kern w:val="0"/>
                <w:sz w:val="24"/>
              </w:rPr>
              <w:t>/O+MBR 工艺一体化组合式污水处理系统技术成熟可靠，并实现了该一体化设备的标准化、规范化的流水线生产，设备出厂时间快且均经过严格的质量检验。设备的精密度、防渗漏、防腐性、密闭性、环保性等更是传统污水处理方式所望尘莫及。</w:t>
            </w:r>
          </w:p>
          <w:p>
            <w:pPr>
              <w:autoSpaceDE w:val="0"/>
              <w:autoSpaceDN w:val="0"/>
              <w:adjustRightInd w:val="0"/>
              <w:snapToGrid w:val="0"/>
              <w:spacing w:line="360" w:lineRule="auto"/>
              <w:ind w:firstLine="480" w:firstLineChars="200"/>
              <w:jc w:val="left"/>
              <w:rPr>
                <w:rFonts w:eastAsiaTheme="minorEastAsia"/>
                <w:color w:val="auto"/>
                <w:kern w:val="0"/>
                <w:sz w:val="24"/>
              </w:rPr>
            </w:pPr>
            <w:r>
              <w:rPr>
                <w:rFonts w:eastAsiaTheme="minorEastAsia"/>
                <w:color w:val="auto"/>
                <w:kern w:val="0"/>
                <w:sz w:val="24"/>
              </w:rPr>
              <w:t>7)各构筑物处理效率</w:t>
            </w:r>
          </w:p>
          <w:p>
            <w:pPr>
              <w:adjustRightInd w:val="0"/>
              <w:snapToGrid w:val="0"/>
              <w:spacing w:line="360" w:lineRule="auto"/>
              <w:jc w:val="center"/>
              <w:rPr>
                <w:rFonts w:eastAsiaTheme="minorEastAsia"/>
                <w:b/>
                <w:color w:val="auto"/>
                <w:sz w:val="24"/>
              </w:rPr>
            </w:pPr>
            <w:r>
              <w:rPr>
                <w:rFonts w:eastAsiaTheme="minorEastAsia"/>
                <w:b/>
                <w:color w:val="auto"/>
                <w:sz w:val="24"/>
              </w:rPr>
              <w:t>表50本工艺各构筑物污染物处理效率</w:t>
            </w:r>
          </w:p>
          <w:tbl>
            <w:tblPr>
              <w:tblStyle w:val="38"/>
              <w:tblW w:w="8731"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0"/>
              <w:gridCol w:w="1814"/>
              <w:gridCol w:w="1598"/>
              <w:gridCol w:w="1944"/>
              <w:gridCol w:w="176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610" w:type="dxa"/>
                  <w:vAlign w:val="center"/>
                </w:tcPr>
                <w:p>
                  <w:pPr>
                    <w:adjustRightInd w:val="0"/>
                    <w:snapToGrid w:val="0"/>
                    <w:jc w:val="center"/>
                    <w:rPr>
                      <w:rFonts w:eastAsiaTheme="minorEastAsia"/>
                      <w:color w:val="auto"/>
                      <w:szCs w:val="21"/>
                    </w:rPr>
                  </w:pPr>
                  <w:r>
                    <w:rPr>
                      <w:rFonts w:eastAsiaTheme="minorEastAsia"/>
                      <w:color w:val="auto"/>
                      <w:szCs w:val="21"/>
                    </w:rPr>
                    <w:t>污染物</w:t>
                  </w:r>
                </w:p>
              </w:tc>
              <w:tc>
                <w:tcPr>
                  <w:tcW w:w="1814" w:type="dxa"/>
                  <w:vAlign w:val="center"/>
                </w:tcPr>
                <w:p>
                  <w:pPr>
                    <w:adjustRightInd w:val="0"/>
                    <w:snapToGrid w:val="0"/>
                    <w:jc w:val="center"/>
                    <w:rPr>
                      <w:rFonts w:eastAsiaTheme="minorEastAsia"/>
                      <w:color w:val="auto"/>
                      <w:szCs w:val="21"/>
                    </w:rPr>
                  </w:pPr>
                  <w:r>
                    <w:rPr>
                      <w:rFonts w:eastAsiaTheme="minorEastAsia"/>
                      <w:color w:val="auto"/>
                      <w:szCs w:val="21"/>
                    </w:rPr>
                    <w:t>预处理池（%）</w:t>
                  </w:r>
                </w:p>
              </w:tc>
              <w:tc>
                <w:tcPr>
                  <w:tcW w:w="1598" w:type="dxa"/>
                  <w:vAlign w:val="center"/>
                </w:tcPr>
                <w:p>
                  <w:pPr>
                    <w:adjustRightInd w:val="0"/>
                    <w:snapToGrid w:val="0"/>
                    <w:jc w:val="center"/>
                    <w:rPr>
                      <w:rFonts w:eastAsiaTheme="minorEastAsia"/>
                      <w:color w:val="auto"/>
                      <w:szCs w:val="21"/>
                    </w:rPr>
                  </w:pPr>
                  <w:r>
                    <w:rPr>
                      <w:rFonts w:eastAsiaTheme="minorEastAsia"/>
                      <w:color w:val="auto"/>
                      <w:szCs w:val="21"/>
                    </w:rPr>
                    <w:t>格栅间（%）</w:t>
                  </w:r>
                </w:p>
              </w:tc>
              <w:tc>
                <w:tcPr>
                  <w:tcW w:w="1944" w:type="dxa"/>
                  <w:vAlign w:val="center"/>
                </w:tcPr>
                <w:p>
                  <w:pPr>
                    <w:adjustRightInd w:val="0"/>
                    <w:snapToGrid w:val="0"/>
                    <w:jc w:val="center"/>
                    <w:rPr>
                      <w:rFonts w:eastAsiaTheme="minorEastAsia"/>
                      <w:color w:val="auto"/>
                      <w:szCs w:val="21"/>
                    </w:rPr>
                  </w:pPr>
                  <w:r>
                    <w:rPr>
                      <w:rFonts w:eastAsiaTheme="minorEastAsia"/>
                      <w:color w:val="auto"/>
                      <w:szCs w:val="21"/>
                    </w:rPr>
                    <w:t>调节池（%）</w:t>
                  </w:r>
                </w:p>
              </w:tc>
              <w:tc>
                <w:tcPr>
                  <w:tcW w:w="1765" w:type="dxa"/>
                  <w:vAlign w:val="center"/>
                </w:tcPr>
                <w:p>
                  <w:pPr>
                    <w:adjustRightInd w:val="0"/>
                    <w:snapToGrid w:val="0"/>
                    <w:jc w:val="center"/>
                    <w:rPr>
                      <w:rFonts w:eastAsiaTheme="minorEastAsia"/>
                      <w:color w:val="auto"/>
                      <w:szCs w:val="21"/>
                    </w:rPr>
                  </w:pPr>
                  <w:r>
                    <w:rPr>
                      <w:rFonts w:eastAsiaTheme="minorEastAsia"/>
                      <w:color w:val="auto"/>
                      <w:szCs w:val="21"/>
                    </w:rPr>
                    <w:t>A</w:t>
                  </w:r>
                  <w:r>
                    <w:rPr>
                      <w:rFonts w:eastAsiaTheme="minorEastAsia"/>
                      <w:color w:val="auto"/>
                      <w:szCs w:val="21"/>
                      <w:vertAlign w:val="superscript"/>
                    </w:rPr>
                    <w:t>2</w:t>
                  </w:r>
                  <w:r>
                    <w:rPr>
                      <w:rFonts w:eastAsiaTheme="minorEastAsia"/>
                      <w:color w:val="auto"/>
                      <w:szCs w:val="21"/>
                    </w:rPr>
                    <w:t>/O+MBR工艺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610" w:type="dxa"/>
                  <w:vAlign w:val="center"/>
                </w:tcPr>
                <w:p>
                  <w:pPr>
                    <w:adjustRightInd w:val="0"/>
                    <w:snapToGrid w:val="0"/>
                    <w:jc w:val="center"/>
                    <w:rPr>
                      <w:rFonts w:eastAsiaTheme="minorEastAsia"/>
                      <w:color w:val="auto"/>
                      <w:szCs w:val="21"/>
                    </w:rPr>
                  </w:pPr>
                  <w:r>
                    <w:rPr>
                      <w:rFonts w:eastAsiaTheme="minorEastAsia"/>
                      <w:color w:val="auto"/>
                      <w:szCs w:val="21"/>
                    </w:rPr>
                    <w:t>CODcr</w:t>
                  </w:r>
                </w:p>
              </w:tc>
              <w:tc>
                <w:tcPr>
                  <w:tcW w:w="1814" w:type="dxa"/>
                  <w:vAlign w:val="center"/>
                </w:tcPr>
                <w:p>
                  <w:pPr>
                    <w:adjustRightInd w:val="0"/>
                    <w:snapToGrid w:val="0"/>
                    <w:jc w:val="center"/>
                    <w:rPr>
                      <w:rFonts w:eastAsiaTheme="minorEastAsia"/>
                      <w:color w:val="auto"/>
                      <w:szCs w:val="21"/>
                    </w:rPr>
                  </w:pPr>
                  <w:r>
                    <w:rPr>
                      <w:rFonts w:eastAsiaTheme="minorEastAsia"/>
                      <w:color w:val="auto"/>
                      <w:szCs w:val="21"/>
                    </w:rPr>
                    <w:t>≥2</w:t>
                  </w:r>
                </w:p>
              </w:tc>
              <w:tc>
                <w:tcPr>
                  <w:tcW w:w="1598" w:type="dxa"/>
                  <w:vAlign w:val="center"/>
                </w:tcPr>
                <w:p>
                  <w:pPr>
                    <w:jc w:val="center"/>
                    <w:rPr>
                      <w:rFonts w:eastAsiaTheme="minorEastAsia"/>
                      <w:color w:val="auto"/>
                    </w:rPr>
                  </w:pPr>
                  <w:r>
                    <w:rPr>
                      <w:rFonts w:eastAsiaTheme="minorEastAsia"/>
                      <w:color w:val="auto"/>
                      <w:szCs w:val="21"/>
                    </w:rPr>
                    <w:t>≥8.2</w:t>
                  </w:r>
                </w:p>
              </w:tc>
              <w:tc>
                <w:tcPr>
                  <w:tcW w:w="1944" w:type="dxa"/>
                  <w:vAlign w:val="center"/>
                </w:tcPr>
                <w:p>
                  <w:pPr>
                    <w:jc w:val="center"/>
                    <w:rPr>
                      <w:rFonts w:eastAsiaTheme="minorEastAsia"/>
                      <w:color w:val="auto"/>
                    </w:rPr>
                  </w:pPr>
                  <w:r>
                    <w:rPr>
                      <w:rFonts w:eastAsiaTheme="minorEastAsia"/>
                      <w:color w:val="auto"/>
                      <w:szCs w:val="21"/>
                    </w:rPr>
                    <w:t>≥39.8</w:t>
                  </w:r>
                </w:p>
              </w:tc>
              <w:tc>
                <w:tcPr>
                  <w:tcW w:w="1765" w:type="dxa"/>
                  <w:vAlign w:val="center"/>
                </w:tcPr>
                <w:p>
                  <w:pPr>
                    <w:jc w:val="center"/>
                    <w:rPr>
                      <w:rFonts w:eastAsiaTheme="minorEastAsia"/>
                      <w:color w:val="auto"/>
                    </w:rPr>
                  </w:pPr>
                  <w:r>
                    <w:rPr>
                      <w:rFonts w:eastAsiaTheme="minorEastAsia"/>
                      <w:color w:val="auto"/>
                      <w:szCs w:val="21"/>
                    </w:rPr>
                    <w:t>≥82.6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610" w:type="dxa"/>
                  <w:vAlign w:val="center"/>
                </w:tcPr>
                <w:p>
                  <w:pPr>
                    <w:adjustRightInd w:val="0"/>
                    <w:snapToGrid w:val="0"/>
                    <w:jc w:val="center"/>
                    <w:rPr>
                      <w:rFonts w:eastAsiaTheme="minorEastAsia"/>
                      <w:color w:val="auto"/>
                      <w:szCs w:val="21"/>
                    </w:rPr>
                  </w:pPr>
                  <w:r>
                    <w:rPr>
                      <w:rFonts w:eastAsiaTheme="minorEastAsia"/>
                      <w:color w:val="auto"/>
                      <w:szCs w:val="21"/>
                    </w:rPr>
                    <w:t>BOD</w:t>
                  </w:r>
                  <w:r>
                    <w:rPr>
                      <w:rFonts w:eastAsiaTheme="minorEastAsia"/>
                      <w:color w:val="auto"/>
                      <w:szCs w:val="21"/>
                      <w:vertAlign w:val="subscript"/>
                    </w:rPr>
                    <w:t>5</w:t>
                  </w:r>
                </w:p>
              </w:tc>
              <w:tc>
                <w:tcPr>
                  <w:tcW w:w="1814" w:type="dxa"/>
                  <w:vAlign w:val="center"/>
                </w:tcPr>
                <w:p>
                  <w:pPr>
                    <w:jc w:val="center"/>
                    <w:rPr>
                      <w:rFonts w:eastAsiaTheme="minorEastAsia"/>
                      <w:color w:val="auto"/>
                    </w:rPr>
                  </w:pPr>
                  <w:r>
                    <w:rPr>
                      <w:rFonts w:eastAsiaTheme="minorEastAsia"/>
                      <w:color w:val="auto"/>
                      <w:szCs w:val="21"/>
                    </w:rPr>
                    <w:t>≥2</w:t>
                  </w:r>
                </w:p>
              </w:tc>
              <w:tc>
                <w:tcPr>
                  <w:tcW w:w="1598" w:type="dxa"/>
                  <w:vAlign w:val="center"/>
                </w:tcPr>
                <w:p>
                  <w:pPr>
                    <w:jc w:val="center"/>
                    <w:rPr>
                      <w:rFonts w:eastAsiaTheme="minorEastAsia"/>
                      <w:color w:val="auto"/>
                    </w:rPr>
                  </w:pPr>
                  <w:r>
                    <w:rPr>
                      <w:rFonts w:eastAsiaTheme="minorEastAsia"/>
                      <w:color w:val="auto"/>
                      <w:szCs w:val="21"/>
                    </w:rPr>
                    <w:t>≥10.2</w:t>
                  </w:r>
                </w:p>
              </w:tc>
              <w:tc>
                <w:tcPr>
                  <w:tcW w:w="1944" w:type="dxa"/>
                  <w:vAlign w:val="center"/>
                </w:tcPr>
                <w:p>
                  <w:pPr>
                    <w:jc w:val="center"/>
                    <w:rPr>
                      <w:rFonts w:eastAsiaTheme="minorEastAsia"/>
                      <w:color w:val="auto"/>
                    </w:rPr>
                  </w:pPr>
                  <w:r>
                    <w:rPr>
                      <w:rFonts w:eastAsiaTheme="minorEastAsia"/>
                      <w:color w:val="auto"/>
                      <w:szCs w:val="21"/>
                    </w:rPr>
                    <w:t>≥15.5</w:t>
                  </w:r>
                </w:p>
              </w:tc>
              <w:tc>
                <w:tcPr>
                  <w:tcW w:w="1765" w:type="dxa"/>
                  <w:vAlign w:val="center"/>
                </w:tcPr>
                <w:p>
                  <w:pPr>
                    <w:jc w:val="center"/>
                    <w:rPr>
                      <w:rFonts w:eastAsiaTheme="minorEastAsia"/>
                      <w:color w:val="auto"/>
                    </w:rPr>
                  </w:pPr>
                  <w:r>
                    <w:rPr>
                      <w:rFonts w:eastAsiaTheme="minorEastAsia"/>
                      <w:color w:val="auto"/>
                      <w:szCs w:val="21"/>
                    </w:rPr>
                    <w:t>≥93.0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610" w:type="dxa"/>
                  <w:vAlign w:val="center"/>
                </w:tcPr>
                <w:p>
                  <w:pPr>
                    <w:adjustRightInd w:val="0"/>
                    <w:snapToGrid w:val="0"/>
                    <w:jc w:val="center"/>
                    <w:rPr>
                      <w:rFonts w:eastAsiaTheme="minorEastAsia"/>
                      <w:color w:val="auto"/>
                      <w:szCs w:val="21"/>
                    </w:rPr>
                  </w:pPr>
                  <w:r>
                    <w:rPr>
                      <w:rFonts w:eastAsiaTheme="minorEastAsia"/>
                      <w:color w:val="auto"/>
                      <w:szCs w:val="21"/>
                    </w:rPr>
                    <w:t>SS</w:t>
                  </w:r>
                </w:p>
              </w:tc>
              <w:tc>
                <w:tcPr>
                  <w:tcW w:w="1814" w:type="dxa"/>
                  <w:vAlign w:val="center"/>
                </w:tcPr>
                <w:p>
                  <w:pPr>
                    <w:jc w:val="center"/>
                    <w:rPr>
                      <w:rFonts w:eastAsiaTheme="minorEastAsia"/>
                      <w:color w:val="auto"/>
                    </w:rPr>
                  </w:pPr>
                  <w:r>
                    <w:rPr>
                      <w:rFonts w:eastAsiaTheme="minorEastAsia"/>
                      <w:color w:val="auto"/>
                      <w:szCs w:val="21"/>
                    </w:rPr>
                    <w:t>≥3</w:t>
                  </w:r>
                </w:p>
              </w:tc>
              <w:tc>
                <w:tcPr>
                  <w:tcW w:w="1598" w:type="dxa"/>
                  <w:vAlign w:val="center"/>
                </w:tcPr>
                <w:p>
                  <w:pPr>
                    <w:jc w:val="center"/>
                    <w:rPr>
                      <w:rFonts w:eastAsiaTheme="minorEastAsia"/>
                      <w:color w:val="auto"/>
                    </w:rPr>
                  </w:pPr>
                  <w:r>
                    <w:rPr>
                      <w:rFonts w:eastAsiaTheme="minorEastAsia"/>
                      <w:color w:val="auto"/>
                      <w:szCs w:val="21"/>
                    </w:rPr>
                    <w:t>≥25.7</w:t>
                  </w:r>
                </w:p>
              </w:tc>
              <w:tc>
                <w:tcPr>
                  <w:tcW w:w="1944" w:type="dxa"/>
                  <w:vAlign w:val="center"/>
                </w:tcPr>
                <w:p>
                  <w:pPr>
                    <w:jc w:val="center"/>
                    <w:rPr>
                      <w:rFonts w:eastAsiaTheme="minorEastAsia"/>
                      <w:color w:val="auto"/>
                    </w:rPr>
                  </w:pPr>
                  <w:r>
                    <w:rPr>
                      <w:rFonts w:eastAsiaTheme="minorEastAsia"/>
                      <w:color w:val="auto"/>
                      <w:szCs w:val="21"/>
                    </w:rPr>
                    <w:t>≥75.1</w:t>
                  </w:r>
                </w:p>
              </w:tc>
              <w:tc>
                <w:tcPr>
                  <w:tcW w:w="1765" w:type="dxa"/>
                  <w:vAlign w:val="center"/>
                </w:tcPr>
                <w:p>
                  <w:pPr>
                    <w:jc w:val="center"/>
                    <w:rPr>
                      <w:rFonts w:eastAsiaTheme="minorEastAsia"/>
                      <w:color w:val="auto"/>
                    </w:rPr>
                  </w:pPr>
                  <w:r>
                    <w:rPr>
                      <w:rFonts w:eastAsiaTheme="minorEastAsia"/>
                      <w:color w:val="auto"/>
                      <w:szCs w:val="21"/>
                    </w:rPr>
                    <w:t>≥78.3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610" w:type="dxa"/>
                  <w:vAlign w:val="center"/>
                </w:tcPr>
                <w:p>
                  <w:pPr>
                    <w:adjustRightInd w:val="0"/>
                    <w:snapToGrid w:val="0"/>
                    <w:jc w:val="center"/>
                    <w:rPr>
                      <w:rFonts w:eastAsiaTheme="minorEastAsia"/>
                      <w:color w:val="auto"/>
                      <w:szCs w:val="21"/>
                    </w:rPr>
                  </w:pPr>
                  <w:r>
                    <w:rPr>
                      <w:rFonts w:eastAsiaTheme="minorEastAsia"/>
                      <w:color w:val="auto"/>
                      <w:szCs w:val="21"/>
                    </w:rPr>
                    <w:t>NH</w:t>
                  </w:r>
                  <w:r>
                    <w:rPr>
                      <w:rFonts w:eastAsiaTheme="minorEastAsia"/>
                      <w:color w:val="auto"/>
                      <w:szCs w:val="21"/>
                      <w:vertAlign w:val="subscript"/>
                    </w:rPr>
                    <w:t>3</w:t>
                  </w:r>
                  <w:r>
                    <w:rPr>
                      <w:rFonts w:eastAsiaTheme="minorEastAsia"/>
                      <w:color w:val="auto"/>
                      <w:szCs w:val="21"/>
                    </w:rPr>
                    <w:t>-N</w:t>
                  </w:r>
                </w:p>
              </w:tc>
              <w:tc>
                <w:tcPr>
                  <w:tcW w:w="1814" w:type="dxa"/>
                  <w:vAlign w:val="center"/>
                </w:tcPr>
                <w:p>
                  <w:pPr>
                    <w:jc w:val="center"/>
                    <w:rPr>
                      <w:rFonts w:eastAsiaTheme="minorEastAsia"/>
                      <w:color w:val="auto"/>
                    </w:rPr>
                  </w:pPr>
                  <w:r>
                    <w:rPr>
                      <w:rFonts w:eastAsiaTheme="minorEastAsia"/>
                      <w:color w:val="auto"/>
                      <w:szCs w:val="21"/>
                    </w:rPr>
                    <w:t>≥2</w:t>
                  </w:r>
                </w:p>
              </w:tc>
              <w:tc>
                <w:tcPr>
                  <w:tcW w:w="1598" w:type="dxa"/>
                  <w:vAlign w:val="center"/>
                </w:tcPr>
                <w:p>
                  <w:pPr>
                    <w:jc w:val="center"/>
                    <w:rPr>
                      <w:rFonts w:eastAsiaTheme="minorEastAsia"/>
                      <w:color w:val="auto"/>
                    </w:rPr>
                  </w:pPr>
                  <w:r>
                    <w:rPr>
                      <w:rFonts w:eastAsiaTheme="minorEastAsia"/>
                      <w:color w:val="auto"/>
                      <w:szCs w:val="21"/>
                    </w:rPr>
                    <w:t>≥10.2</w:t>
                  </w:r>
                </w:p>
              </w:tc>
              <w:tc>
                <w:tcPr>
                  <w:tcW w:w="1944" w:type="dxa"/>
                  <w:vAlign w:val="center"/>
                </w:tcPr>
                <w:p>
                  <w:pPr>
                    <w:jc w:val="center"/>
                    <w:rPr>
                      <w:rFonts w:eastAsiaTheme="minorEastAsia"/>
                      <w:color w:val="auto"/>
                    </w:rPr>
                  </w:pPr>
                  <w:r>
                    <w:rPr>
                      <w:rFonts w:eastAsiaTheme="minorEastAsia"/>
                      <w:color w:val="auto"/>
                      <w:szCs w:val="21"/>
                    </w:rPr>
                    <w:t>≥18.05</w:t>
                  </w:r>
                </w:p>
              </w:tc>
              <w:tc>
                <w:tcPr>
                  <w:tcW w:w="1765" w:type="dxa"/>
                  <w:vAlign w:val="center"/>
                </w:tcPr>
                <w:p>
                  <w:pPr>
                    <w:jc w:val="center"/>
                    <w:rPr>
                      <w:rFonts w:eastAsiaTheme="minorEastAsia"/>
                      <w:color w:val="auto"/>
                    </w:rPr>
                  </w:pPr>
                  <w:r>
                    <w:rPr>
                      <w:rFonts w:eastAsiaTheme="minorEastAsia"/>
                      <w:color w:val="auto"/>
                      <w:szCs w:val="21"/>
                    </w:rPr>
                    <w:t>≥82.9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610" w:type="dxa"/>
                  <w:vAlign w:val="center"/>
                </w:tcPr>
                <w:p>
                  <w:pPr>
                    <w:adjustRightInd w:val="0"/>
                    <w:snapToGrid w:val="0"/>
                    <w:jc w:val="center"/>
                    <w:rPr>
                      <w:rFonts w:eastAsiaTheme="minorEastAsia"/>
                      <w:color w:val="auto"/>
                      <w:szCs w:val="21"/>
                    </w:rPr>
                  </w:pPr>
                  <w:r>
                    <w:rPr>
                      <w:rFonts w:eastAsiaTheme="minorEastAsia"/>
                      <w:color w:val="auto"/>
                      <w:szCs w:val="21"/>
                    </w:rPr>
                    <w:t>TN</w:t>
                  </w:r>
                </w:p>
              </w:tc>
              <w:tc>
                <w:tcPr>
                  <w:tcW w:w="1814" w:type="dxa"/>
                  <w:vAlign w:val="center"/>
                </w:tcPr>
                <w:p>
                  <w:pPr>
                    <w:jc w:val="center"/>
                    <w:rPr>
                      <w:rFonts w:eastAsiaTheme="minorEastAsia"/>
                      <w:color w:val="auto"/>
                    </w:rPr>
                  </w:pPr>
                  <w:r>
                    <w:rPr>
                      <w:rFonts w:eastAsiaTheme="minorEastAsia"/>
                      <w:color w:val="auto"/>
                      <w:szCs w:val="21"/>
                    </w:rPr>
                    <w:t>≥2</w:t>
                  </w:r>
                </w:p>
              </w:tc>
              <w:tc>
                <w:tcPr>
                  <w:tcW w:w="1598" w:type="dxa"/>
                  <w:vAlign w:val="center"/>
                </w:tcPr>
                <w:p>
                  <w:pPr>
                    <w:jc w:val="center"/>
                    <w:rPr>
                      <w:rFonts w:eastAsiaTheme="minorEastAsia"/>
                      <w:color w:val="auto"/>
                    </w:rPr>
                  </w:pPr>
                  <w:r>
                    <w:rPr>
                      <w:rFonts w:eastAsiaTheme="minorEastAsia"/>
                      <w:color w:val="auto"/>
                      <w:szCs w:val="21"/>
                    </w:rPr>
                    <w:t>≥2</w:t>
                  </w:r>
                </w:p>
              </w:tc>
              <w:tc>
                <w:tcPr>
                  <w:tcW w:w="1944" w:type="dxa"/>
                  <w:vAlign w:val="center"/>
                </w:tcPr>
                <w:p>
                  <w:pPr>
                    <w:jc w:val="center"/>
                    <w:rPr>
                      <w:rFonts w:eastAsiaTheme="minorEastAsia"/>
                      <w:color w:val="auto"/>
                    </w:rPr>
                  </w:pPr>
                  <w:r>
                    <w:rPr>
                      <w:rFonts w:eastAsiaTheme="minorEastAsia"/>
                      <w:color w:val="auto"/>
                      <w:szCs w:val="21"/>
                    </w:rPr>
                    <w:t>≥6.4</w:t>
                  </w:r>
                </w:p>
              </w:tc>
              <w:tc>
                <w:tcPr>
                  <w:tcW w:w="1765" w:type="dxa"/>
                  <w:vAlign w:val="center"/>
                </w:tcPr>
                <w:p>
                  <w:pPr>
                    <w:jc w:val="center"/>
                    <w:rPr>
                      <w:rFonts w:eastAsiaTheme="minorEastAsia"/>
                      <w:color w:val="auto"/>
                    </w:rPr>
                  </w:pPr>
                  <w:r>
                    <w:rPr>
                      <w:rFonts w:eastAsiaTheme="minorEastAsia"/>
                      <w:color w:val="auto"/>
                      <w:szCs w:val="21"/>
                    </w:rPr>
                    <w:t>≥72.3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610" w:type="dxa"/>
                  <w:vAlign w:val="center"/>
                </w:tcPr>
                <w:p>
                  <w:pPr>
                    <w:adjustRightInd w:val="0"/>
                    <w:snapToGrid w:val="0"/>
                    <w:jc w:val="center"/>
                    <w:rPr>
                      <w:rFonts w:eastAsiaTheme="minorEastAsia"/>
                      <w:color w:val="auto"/>
                      <w:szCs w:val="21"/>
                    </w:rPr>
                  </w:pPr>
                  <w:r>
                    <w:rPr>
                      <w:rFonts w:eastAsiaTheme="minorEastAsia"/>
                      <w:color w:val="auto"/>
                      <w:szCs w:val="21"/>
                    </w:rPr>
                    <w:t>TP</w:t>
                  </w:r>
                </w:p>
              </w:tc>
              <w:tc>
                <w:tcPr>
                  <w:tcW w:w="1814" w:type="dxa"/>
                  <w:vAlign w:val="center"/>
                </w:tcPr>
                <w:p>
                  <w:pPr>
                    <w:jc w:val="center"/>
                    <w:rPr>
                      <w:rFonts w:eastAsiaTheme="minorEastAsia"/>
                      <w:color w:val="auto"/>
                    </w:rPr>
                  </w:pPr>
                  <w:r>
                    <w:rPr>
                      <w:rFonts w:eastAsiaTheme="minorEastAsia"/>
                      <w:color w:val="auto"/>
                      <w:szCs w:val="21"/>
                    </w:rPr>
                    <w:t>≥2</w:t>
                  </w:r>
                </w:p>
              </w:tc>
              <w:tc>
                <w:tcPr>
                  <w:tcW w:w="1598" w:type="dxa"/>
                  <w:vAlign w:val="center"/>
                </w:tcPr>
                <w:p>
                  <w:pPr>
                    <w:jc w:val="center"/>
                    <w:rPr>
                      <w:rFonts w:eastAsiaTheme="minorEastAsia"/>
                      <w:color w:val="auto"/>
                    </w:rPr>
                  </w:pPr>
                  <w:r>
                    <w:rPr>
                      <w:rFonts w:eastAsiaTheme="minorEastAsia"/>
                      <w:color w:val="auto"/>
                      <w:szCs w:val="21"/>
                    </w:rPr>
                    <w:t>≥2.1</w:t>
                  </w:r>
                </w:p>
              </w:tc>
              <w:tc>
                <w:tcPr>
                  <w:tcW w:w="1944" w:type="dxa"/>
                  <w:vAlign w:val="center"/>
                </w:tcPr>
                <w:p>
                  <w:pPr>
                    <w:jc w:val="center"/>
                    <w:rPr>
                      <w:rFonts w:eastAsiaTheme="minorEastAsia"/>
                      <w:color w:val="auto"/>
                    </w:rPr>
                  </w:pPr>
                  <w:r>
                    <w:rPr>
                      <w:rFonts w:eastAsiaTheme="minorEastAsia"/>
                      <w:color w:val="auto"/>
                      <w:szCs w:val="21"/>
                    </w:rPr>
                    <w:t>≥6.4</w:t>
                  </w:r>
                </w:p>
              </w:tc>
              <w:tc>
                <w:tcPr>
                  <w:tcW w:w="1765" w:type="dxa"/>
                  <w:vAlign w:val="center"/>
                </w:tcPr>
                <w:p>
                  <w:pPr>
                    <w:jc w:val="center"/>
                    <w:rPr>
                      <w:rFonts w:eastAsiaTheme="minorEastAsia"/>
                      <w:color w:val="auto"/>
                    </w:rPr>
                  </w:pPr>
                  <w:r>
                    <w:rPr>
                      <w:rFonts w:eastAsiaTheme="minorEastAsia"/>
                      <w:color w:val="auto"/>
                      <w:szCs w:val="21"/>
                    </w:rPr>
                    <w:t>≥86.2</w:t>
                  </w:r>
                </w:p>
              </w:tc>
            </w:tr>
          </w:tbl>
          <w:p>
            <w:pPr>
              <w:adjustRightInd w:val="0"/>
              <w:snapToGrid w:val="0"/>
              <w:spacing w:line="360" w:lineRule="auto"/>
              <w:ind w:firstLine="482" w:firstLineChars="200"/>
              <w:rPr>
                <w:rFonts w:eastAsiaTheme="minorEastAsia"/>
                <w:b/>
                <w:bCs/>
                <w:color w:val="auto"/>
                <w:sz w:val="24"/>
              </w:rPr>
            </w:pPr>
            <w:r>
              <w:rPr>
                <w:rFonts w:eastAsiaTheme="minorEastAsia"/>
                <w:b/>
                <w:bCs/>
                <w:color w:val="auto"/>
                <w:sz w:val="24"/>
              </w:rPr>
              <w:t>2.3 主要污染工序及产污因子</w:t>
            </w:r>
          </w:p>
          <w:p>
            <w:pPr>
              <w:widowControl/>
              <w:adjustRightInd w:val="0"/>
              <w:snapToGrid w:val="0"/>
              <w:spacing w:line="348" w:lineRule="auto"/>
              <w:ind w:firstLine="480" w:firstLineChars="200"/>
              <w:rPr>
                <w:rFonts w:eastAsiaTheme="minorEastAsia"/>
                <w:bCs/>
                <w:color w:val="auto"/>
                <w:sz w:val="24"/>
              </w:rPr>
            </w:pPr>
            <w:r>
              <w:rPr>
                <w:rFonts w:hint="eastAsia" w:ascii="宋体" w:hAnsi="宋体" w:cs="宋体"/>
                <w:bCs/>
                <w:color w:val="auto"/>
                <w:sz w:val="24"/>
              </w:rPr>
              <w:t>⑴</w:t>
            </w:r>
            <w:r>
              <w:rPr>
                <w:rFonts w:eastAsiaTheme="minorEastAsia"/>
                <w:bCs/>
                <w:color w:val="auto"/>
                <w:sz w:val="24"/>
              </w:rPr>
              <w:t>废水：主要为污水处理厂处理后的尾水。</w:t>
            </w:r>
          </w:p>
          <w:p>
            <w:pPr>
              <w:widowControl/>
              <w:adjustRightInd w:val="0"/>
              <w:snapToGrid w:val="0"/>
              <w:spacing w:line="348" w:lineRule="auto"/>
              <w:ind w:firstLine="480" w:firstLineChars="200"/>
              <w:rPr>
                <w:rFonts w:eastAsiaTheme="minorEastAsia"/>
                <w:color w:val="auto"/>
                <w:sz w:val="24"/>
              </w:rPr>
            </w:pPr>
            <w:r>
              <w:rPr>
                <w:rFonts w:hint="eastAsia" w:ascii="宋体" w:hAnsi="宋体" w:cs="宋体"/>
                <w:bCs/>
                <w:color w:val="auto"/>
                <w:sz w:val="24"/>
              </w:rPr>
              <w:t>⑵</w:t>
            </w:r>
            <w:r>
              <w:rPr>
                <w:rFonts w:eastAsiaTheme="minorEastAsia"/>
                <w:bCs/>
                <w:color w:val="auto"/>
                <w:sz w:val="24"/>
              </w:rPr>
              <w:t>废气：</w:t>
            </w:r>
            <w:r>
              <w:rPr>
                <w:rFonts w:eastAsiaTheme="minorEastAsia"/>
                <w:color w:val="auto"/>
                <w:sz w:val="24"/>
              </w:rPr>
              <w:t>主要为污水处理和污泥脱水过程中产生的恶臭气体。</w:t>
            </w:r>
          </w:p>
          <w:p>
            <w:pPr>
              <w:widowControl/>
              <w:adjustRightInd w:val="0"/>
              <w:snapToGrid w:val="0"/>
              <w:spacing w:line="348" w:lineRule="auto"/>
              <w:ind w:firstLine="480" w:firstLineChars="200"/>
              <w:rPr>
                <w:rFonts w:eastAsiaTheme="minorEastAsia"/>
                <w:color w:val="auto"/>
                <w:sz w:val="24"/>
              </w:rPr>
            </w:pPr>
            <w:r>
              <w:rPr>
                <w:rFonts w:hint="eastAsia" w:ascii="宋体" w:hAnsi="宋体" w:cs="宋体"/>
                <w:bCs/>
                <w:color w:val="auto"/>
                <w:sz w:val="24"/>
              </w:rPr>
              <w:t>⑶</w:t>
            </w:r>
            <w:r>
              <w:rPr>
                <w:rFonts w:eastAsiaTheme="minorEastAsia"/>
                <w:bCs/>
                <w:color w:val="auto"/>
                <w:sz w:val="24"/>
              </w:rPr>
              <w:t>噪声：</w:t>
            </w:r>
            <w:r>
              <w:rPr>
                <w:rFonts w:eastAsiaTheme="minorEastAsia"/>
                <w:color w:val="auto"/>
                <w:sz w:val="24"/>
              </w:rPr>
              <w:t>主要为鼓风机、污水泵、污泥泵等设备的运行噪声。</w:t>
            </w:r>
          </w:p>
          <w:p>
            <w:pPr>
              <w:widowControl/>
              <w:adjustRightInd w:val="0"/>
              <w:snapToGrid w:val="0"/>
              <w:spacing w:line="348" w:lineRule="auto"/>
              <w:ind w:firstLine="480" w:firstLineChars="200"/>
              <w:rPr>
                <w:rFonts w:eastAsiaTheme="minorEastAsia"/>
                <w:bCs/>
                <w:color w:val="auto"/>
                <w:sz w:val="24"/>
              </w:rPr>
            </w:pPr>
            <w:r>
              <w:rPr>
                <w:rFonts w:hint="eastAsia" w:ascii="宋体" w:hAnsi="宋体" w:cs="宋体"/>
                <w:bCs/>
                <w:color w:val="auto"/>
                <w:sz w:val="24"/>
              </w:rPr>
              <w:t>⑷</w:t>
            </w:r>
            <w:r>
              <w:rPr>
                <w:rFonts w:eastAsiaTheme="minorEastAsia"/>
                <w:bCs/>
                <w:color w:val="auto"/>
                <w:sz w:val="24"/>
              </w:rPr>
              <w:t>固废：主要为污水处理过程中产生的栅渣、沉砂、污泥以及工作人员的生活垃圾。</w:t>
            </w:r>
          </w:p>
          <w:p>
            <w:pPr>
              <w:adjustRightInd w:val="0"/>
              <w:snapToGrid w:val="0"/>
              <w:spacing w:line="360" w:lineRule="auto"/>
              <w:ind w:firstLine="482" w:firstLineChars="200"/>
              <w:rPr>
                <w:rFonts w:eastAsiaTheme="minorEastAsia"/>
                <w:b/>
                <w:bCs/>
                <w:color w:val="auto"/>
                <w:sz w:val="24"/>
              </w:rPr>
            </w:pPr>
            <w:r>
              <w:rPr>
                <w:rFonts w:eastAsiaTheme="minorEastAsia"/>
                <w:b/>
                <w:bCs/>
                <w:color w:val="auto"/>
                <w:sz w:val="24"/>
              </w:rPr>
              <w:t>2.4运营期污染源强</w:t>
            </w:r>
          </w:p>
          <w:p>
            <w:pPr>
              <w:pStyle w:val="168"/>
              <w:widowControl/>
              <w:adjustRightInd w:val="0"/>
              <w:snapToGrid w:val="0"/>
              <w:spacing w:line="360" w:lineRule="auto"/>
              <w:ind w:firstLine="480"/>
              <w:rPr>
                <w:rFonts w:eastAsiaTheme="minorEastAsia"/>
                <w:color w:val="auto"/>
                <w:sz w:val="24"/>
              </w:rPr>
            </w:pPr>
            <w:r>
              <w:rPr>
                <w:rFonts w:hint="eastAsia" w:ascii="宋体" w:hAnsi="宋体" w:cs="宋体"/>
                <w:color w:val="auto"/>
                <w:sz w:val="24"/>
              </w:rPr>
              <w:t>⑴</w:t>
            </w:r>
            <w:r>
              <w:rPr>
                <w:rFonts w:eastAsiaTheme="minorEastAsia"/>
                <w:color w:val="auto"/>
                <w:sz w:val="24"/>
              </w:rPr>
              <w:t>废水</w:t>
            </w:r>
          </w:p>
          <w:p>
            <w:pPr>
              <w:adjustRightInd w:val="0"/>
              <w:snapToGrid w:val="0"/>
              <w:spacing w:line="360" w:lineRule="auto"/>
              <w:ind w:firstLine="480" w:firstLineChars="200"/>
              <w:rPr>
                <w:rFonts w:eastAsiaTheme="minorEastAsia"/>
                <w:color w:val="auto"/>
                <w:kern w:val="0"/>
                <w:sz w:val="24"/>
              </w:rPr>
            </w:pPr>
            <w:r>
              <w:rPr>
                <w:rFonts w:eastAsiaTheme="minorEastAsia"/>
                <w:color w:val="auto"/>
                <w:kern w:val="0"/>
                <w:sz w:val="24"/>
              </w:rPr>
              <w:t>本工程建成后处理废水包括污水厂服务区内的生活污水和少量厂区员工自身产生的生活污水。宁县金村乡生活污水截污处置工程处理规模为200m</w:t>
            </w:r>
            <w:r>
              <w:rPr>
                <w:rFonts w:eastAsiaTheme="minorEastAsia"/>
                <w:color w:val="auto"/>
                <w:kern w:val="0"/>
                <w:sz w:val="24"/>
                <w:vertAlign w:val="superscript"/>
              </w:rPr>
              <w:t>3</w:t>
            </w:r>
            <w:r>
              <w:rPr>
                <w:rFonts w:eastAsiaTheme="minorEastAsia"/>
                <w:color w:val="auto"/>
                <w:kern w:val="0"/>
                <w:sz w:val="24"/>
              </w:rPr>
              <w:t>/d，处理达到《城镇污水处理厂污染物排放标准》（GB18918-2002）中一级A标准后排放。污水处理厂污染物排放情况详见表51。</w:t>
            </w:r>
          </w:p>
          <w:p>
            <w:pPr>
              <w:adjustRightInd w:val="0"/>
              <w:snapToGrid w:val="0"/>
              <w:spacing w:line="360" w:lineRule="auto"/>
              <w:jc w:val="center"/>
              <w:rPr>
                <w:rFonts w:eastAsiaTheme="minorEastAsia"/>
                <w:b/>
                <w:color w:val="auto"/>
                <w:sz w:val="24"/>
              </w:rPr>
            </w:pPr>
            <w:r>
              <w:rPr>
                <w:rFonts w:eastAsiaTheme="minorEastAsia"/>
                <w:b/>
                <w:color w:val="auto"/>
                <w:sz w:val="24"/>
              </w:rPr>
              <w:t>表51本工程污水污染物源强排放统计表</w:t>
            </w:r>
          </w:p>
          <w:tbl>
            <w:tblPr>
              <w:tblStyle w:val="38"/>
              <w:tblW w:w="8614"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2"/>
              <w:gridCol w:w="937"/>
              <w:gridCol w:w="825"/>
              <w:gridCol w:w="1004"/>
              <w:gridCol w:w="912"/>
              <w:gridCol w:w="850"/>
              <w:gridCol w:w="990"/>
              <w:gridCol w:w="1274"/>
              <w:gridCol w:w="99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32" w:type="dxa"/>
                  <w:vMerge w:val="restart"/>
                  <w:vAlign w:val="center"/>
                </w:tcPr>
                <w:p>
                  <w:pPr>
                    <w:adjustRightInd w:val="0"/>
                    <w:snapToGrid w:val="0"/>
                    <w:jc w:val="center"/>
                    <w:rPr>
                      <w:rFonts w:eastAsiaTheme="minorEastAsia"/>
                      <w:color w:val="auto"/>
                      <w:szCs w:val="21"/>
                    </w:rPr>
                  </w:pPr>
                  <w:r>
                    <w:rPr>
                      <w:rFonts w:eastAsiaTheme="minorEastAsia"/>
                      <w:color w:val="auto"/>
                      <w:szCs w:val="21"/>
                    </w:rPr>
                    <w:t>污染物</w:t>
                  </w:r>
                </w:p>
              </w:tc>
              <w:tc>
                <w:tcPr>
                  <w:tcW w:w="2766" w:type="dxa"/>
                  <w:gridSpan w:val="3"/>
                  <w:vAlign w:val="center"/>
                </w:tcPr>
                <w:p>
                  <w:pPr>
                    <w:adjustRightInd w:val="0"/>
                    <w:snapToGrid w:val="0"/>
                    <w:jc w:val="center"/>
                    <w:rPr>
                      <w:rFonts w:eastAsiaTheme="minorEastAsia"/>
                      <w:color w:val="auto"/>
                      <w:szCs w:val="21"/>
                    </w:rPr>
                  </w:pPr>
                  <w:r>
                    <w:rPr>
                      <w:rFonts w:eastAsiaTheme="minorEastAsia"/>
                      <w:color w:val="auto"/>
                      <w:szCs w:val="21"/>
                    </w:rPr>
                    <w:t>进水</w:t>
                  </w:r>
                </w:p>
              </w:tc>
              <w:tc>
                <w:tcPr>
                  <w:tcW w:w="1762" w:type="dxa"/>
                  <w:gridSpan w:val="2"/>
                  <w:vAlign w:val="center"/>
                </w:tcPr>
                <w:p>
                  <w:pPr>
                    <w:adjustRightInd w:val="0"/>
                    <w:snapToGrid w:val="0"/>
                    <w:jc w:val="center"/>
                    <w:rPr>
                      <w:rFonts w:eastAsiaTheme="minorEastAsia"/>
                      <w:color w:val="auto"/>
                      <w:szCs w:val="21"/>
                    </w:rPr>
                  </w:pPr>
                  <w:r>
                    <w:rPr>
                      <w:rFonts w:eastAsiaTheme="minorEastAsia"/>
                      <w:color w:val="auto"/>
                      <w:szCs w:val="21"/>
                    </w:rPr>
                    <w:t>削减量</w:t>
                  </w:r>
                </w:p>
              </w:tc>
              <w:tc>
                <w:tcPr>
                  <w:tcW w:w="3254" w:type="dxa"/>
                  <w:gridSpan w:val="3"/>
                  <w:vAlign w:val="center"/>
                </w:tcPr>
                <w:p>
                  <w:pPr>
                    <w:adjustRightInd w:val="0"/>
                    <w:snapToGrid w:val="0"/>
                    <w:jc w:val="center"/>
                    <w:rPr>
                      <w:rFonts w:eastAsiaTheme="minorEastAsia"/>
                      <w:color w:val="auto"/>
                      <w:szCs w:val="21"/>
                    </w:rPr>
                  </w:pPr>
                  <w:r>
                    <w:rPr>
                      <w:rFonts w:eastAsiaTheme="minorEastAsia"/>
                      <w:color w:val="auto"/>
                      <w:szCs w:val="21"/>
                    </w:rPr>
                    <w:t>出水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32" w:type="dxa"/>
                  <w:vMerge w:val="continue"/>
                  <w:vAlign w:val="center"/>
                </w:tcPr>
                <w:p>
                  <w:pPr>
                    <w:adjustRightInd w:val="0"/>
                    <w:snapToGrid w:val="0"/>
                    <w:jc w:val="center"/>
                    <w:rPr>
                      <w:rFonts w:eastAsiaTheme="minorEastAsia"/>
                      <w:color w:val="auto"/>
                      <w:szCs w:val="21"/>
                    </w:rPr>
                  </w:pPr>
                </w:p>
              </w:tc>
              <w:tc>
                <w:tcPr>
                  <w:tcW w:w="937" w:type="dxa"/>
                  <w:vMerge w:val="restart"/>
                  <w:vAlign w:val="center"/>
                </w:tcPr>
                <w:p>
                  <w:pPr>
                    <w:adjustRightInd w:val="0"/>
                    <w:snapToGrid w:val="0"/>
                    <w:jc w:val="center"/>
                    <w:rPr>
                      <w:rFonts w:eastAsiaTheme="minorEastAsia"/>
                      <w:color w:val="auto"/>
                      <w:szCs w:val="21"/>
                    </w:rPr>
                  </w:pPr>
                  <w:r>
                    <w:rPr>
                      <w:rFonts w:eastAsiaTheme="minorEastAsia"/>
                      <w:color w:val="auto"/>
                      <w:szCs w:val="21"/>
                    </w:rPr>
                    <w:t>水质</w:t>
                  </w:r>
                </w:p>
                <w:p>
                  <w:pPr>
                    <w:adjustRightInd w:val="0"/>
                    <w:snapToGrid w:val="0"/>
                    <w:jc w:val="center"/>
                    <w:rPr>
                      <w:rFonts w:eastAsiaTheme="minorEastAsia"/>
                      <w:color w:val="auto"/>
                      <w:szCs w:val="21"/>
                    </w:rPr>
                  </w:pPr>
                  <w:r>
                    <w:rPr>
                      <w:rFonts w:eastAsiaTheme="minorEastAsia"/>
                      <w:color w:val="auto"/>
                      <w:szCs w:val="21"/>
                    </w:rPr>
                    <w:t>mg/L</w:t>
                  </w:r>
                </w:p>
              </w:tc>
              <w:tc>
                <w:tcPr>
                  <w:tcW w:w="1829" w:type="dxa"/>
                  <w:gridSpan w:val="2"/>
                  <w:vAlign w:val="center"/>
                </w:tcPr>
                <w:p>
                  <w:pPr>
                    <w:adjustRightInd w:val="0"/>
                    <w:snapToGrid w:val="0"/>
                    <w:jc w:val="center"/>
                    <w:rPr>
                      <w:rFonts w:eastAsiaTheme="minorEastAsia"/>
                      <w:color w:val="auto"/>
                      <w:szCs w:val="21"/>
                    </w:rPr>
                  </w:pPr>
                  <w:r>
                    <w:rPr>
                      <w:rFonts w:eastAsiaTheme="minorEastAsia"/>
                      <w:color w:val="auto"/>
                      <w:szCs w:val="21"/>
                    </w:rPr>
                    <w:t>污染物产生量</w:t>
                  </w:r>
                </w:p>
              </w:tc>
              <w:tc>
                <w:tcPr>
                  <w:tcW w:w="912" w:type="dxa"/>
                  <w:vMerge w:val="restart"/>
                  <w:vAlign w:val="center"/>
                </w:tcPr>
                <w:p>
                  <w:pPr>
                    <w:adjustRightInd w:val="0"/>
                    <w:snapToGrid w:val="0"/>
                    <w:jc w:val="center"/>
                    <w:rPr>
                      <w:rFonts w:eastAsiaTheme="minorEastAsia"/>
                      <w:color w:val="auto"/>
                      <w:szCs w:val="21"/>
                    </w:rPr>
                  </w:pPr>
                  <w:r>
                    <w:rPr>
                      <w:rFonts w:eastAsiaTheme="minorEastAsia"/>
                      <w:color w:val="auto"/>
                      <w:szCs w:val="21"/>
                    </w:rPr>
                    <w:t>t/d</w:t>
                  </w:r>
                </w:p>
              </w:tc>
              <w:tc>
                <w:tcPr>
                  <w:tcW w:w="850" w:type="dxa"/>
                  <w:vMerge w:val="restart"/>
                  <w:vAlign w:val="center"/>
                </w:tcPr>
                <w:p>
                  <w:pPr>
                    <w:adjustRightInd w:val="0"/>
                    <w:snapToGrid w:val="0"/>
                    <w:jc w:val="center"/>
                    <w:rPr>
                      <w:rFonts w:eastAsiaTheme="minorEastAsia"/>
                      <w:color w:val="auto"/>
                      <w:szCs w:val="21"/>
                    </w:rPr>
                  </w:pPr>
                  <w:r>
                    <w:rPr>
                      <w:rFonts w:eastAsiaTheme="minorEastAsia"/>
                      <w:color w:val="auto"/>
                      <w:szCs w:val="21"/>
                    </w:rPr>
                    <w:t>t/a</w:t>
                  </w:r>
                </w:p>
              </w:tc>
              <w:tc>
                <w:tcPr>
                  <w:tcW w:w="990" w:type="dxa"/>
                  <w:vMerge w:val="restart"/>
                  <w:vAlign w:val="center"/>
                </w:tcPr>
                <w:p>
                  <w:pPr>
                    <w:adjustRightInd w:val="0"/>
                    <w:snapToGrid w:val="0"/>
                    <w:jc w:val="center"/>
                    <w:rPr>
                      <w:rFonts w:eastAsiaTheme="minorEastAsia"/>
                      <w:color w:val="auto"/>
                      <w:szCs w:val="21"/>
                    </w:rPr>
                  </w:pPr>
                  <w:r>
                    <w:rPr>
                      <w:rFonts w:eastAsiaTheme="minorEastAsia"/>
                      <w:color w:val="auto"/>
                      <w:szCs w:val="21"/>
                    </w:rPr>
                    <w:t>水质</w:t>
                  </w:r>
                </w:p>
                <w:p>
                  <w:pPr>
                    <w:adjustRightInd w:val="0"/>
                    <w:snapToGrid w:val="0"/>
                    <w:jc w:val="center"/>
                    <w:rPr>
                      <w:rFonts w:eastAsiaTheme="minorEastAsia"/>
                      <w:color w:val="auto"/>
                      <w:szCs w:val="21"/>
                    </w:rPr>
                  </w:pPr>
                  <w:r>
                    <w:rPr>
                      <w:rFonts w:eastAsiaTheme="minorEastAsia"/>
                      <w:color w:val="auto"/>
                      <w:szCs w:val="21"/>
                    </w:rPr>
                    <w:t>mg /L</w:t>
                  </w:r>
                </w:p>
              </w:tc>
              <w:tc>
                <w:tcPr>
                  <w:tcW w:w="2264" w:type="dxa"/>
                  <w:gridSpan w:val="2"/>
                  <w:vAlign w:val="center"/>
                </w:tcPr>
                <w:p>
                  <w:pPr>
                    <w:adjustRightInd w:val="0"/>
                    <w:snapToGrid w:val="0"/>
                    <w:jc w:val="center"/>
                    <w:rPr>
                      <w:rFonts w:eastAsiaTheme="minorEastAsia"/>
                      <w:color w:val="auto"/>
                      <w:szCs w:val="21"/>
                    </w:rPr>
                  </w:pPr>
                  <w:r>
                    <w:rPr>
                      <w:rFonts w:eastAsiaTheme="minorEastAsia"/>
                      <w:color w:val="auto"/>
                      <w:szCs w:val="21"/>
                    </w:rPr>
                    <w:t>污染物排放量</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32" w:type="dxa"/>
                  <w:vMerge w:val="continue"/>
                  <w:vAlign w:val="center"/>
                </w:tcPr>
                <w:p>
                  <w:pPr>
                    <w:adjustRightInd w:val="0"/>
                    <w:snapToGrid w:val="0"/>
                    <w:jc w:val="center"/>
                    <w:rPr>
                      <w:rFonts w:eastAsiaTheme="minorEastAsia"/>
                      <w:color w:val="auto"/>
                      <w:szCs w:val="21"/>
                    </w:rPr>
                  </w:pPr>
                </w:p>
              </w:tc>
              <w:tc>
                <w:tcPr>
                  <w:tcW w:w="937" w:type="dxa"/>
                  <w:vMerge w:val="continue"/>
                  <w:vAlign w:val="center"/>
                </w:tcPr>
                <w:p>
                  <w:pPr>
                    <w:adjustRightInd w:val="0"/>
                    <w:snapToGrid w:val="0"/>
                    <w:jc w:val="center"/>
                    <w:rPr>
                      <w:rFonts w:eastAsiaTheme="minorEastAsia"/>
                      <w:color w:val="auto"/>
                      <w:szCs w:val="21"/>
                    </w:rPr>
                  </w:pPr>
                </w:p>
              </w:tc>
              <w:tc>
                <w:tcPr>
                  <w:tcW w:w="825" w:type="dxa"/>
                  <w:vAlign w:val="center"/>
                </w:tcPr>
                <w:p>
                  <w:pPr>
                    <w:adjustRightInd w:val="0"/>
                    <w:snapToGrid w:val="0"/>
                    <w:jc w:val="center"/>
                    <w:rPr>
                      <w:rFonts w:eastAsiaTheme="minorEastAsia"/>
                      <w:color w:val="auto"/>
                      <w:szCs w:val="21"/>
                    </w:rPr>
                  </w:pPr>
                  <w:r>
                    <w:rPr>
                      <w:rFonts w:eastAsiaTheme="minorEastAsia"/>
                      <w:color w:val="auto"/>
                      <w:szCs w:val="21"/>
                    </w:rPr>
                    <w:t>t/d</w:t>
                  </w:r>
                </w:p>
              </w:tc>
              <w:tc>
                <w:tcPr>
                  <w:tcW w:w="1004" w:type="dxa"/>
                  <w:vAlign w:val="center"/>
                </w:tcPr>
                <w:p>
                  <w:pPr>
                    <w:adjustRightInd w:val="0"/>
                    <w:snapToGrid w:val="0"/>
                    <w:jc w:val="center"/>
                    <w:rPr>
                      <w:rFonts w:eastAsiaTheme="minorEastAsia"/>
                      <w:color w:val="auto"/>
                      <w:szCs w:val="21"/>
                    </w:rPr>
                  </w:pPr>
                  <w:r>
                    <w:rPr>
                      <w:rFonts w:eastAsiaTheme="minorEastAsia"/>
                      <w:color w:val="auto"/>
                      <w:szCs w:val="21"/>
                    </w:rPr>
                    <w:t>t/a</w:t>
                  </w:r>
                </w:p>
              </w:tc>
              <w:tc>
                <w:tcPr>
                  <w:tcW w:w="912" w:type="dxa"/>
                  <w:vMerge w:val="continue"/>
                  <w:vAlign w:val="center"/>
                </w:tcPr>
                <w:p>
                  <w:pPr>
                    <w:adjustRightInd w:val="0"/>
                    <w:snapToGrid w:val="0"/>
                    <w:jc w:val="center"/>
                    <w:rPr>
                      <w:rFonts w:eastAsiaTheme="minorEastAsia"/>
                      <w:color w:val="auto"/>
                      <w:szCs w:val="21"/>
                    </w:rPr>
                  </w:pPr>
                </w:p>
              </w:tc>
              <w:tc>
                <w:tcPr>
                  <w:tcW w:w="850" w:type="dxa"/>
                  <w:vMerge w:val="continue"/>
                  <w:vAlign w:val="center"/>
                </w:tcPr>
                <w:p>
                  <w:pPr>
                    <w:adjustRightInd w:val="0"/>
                    <w:snapToGrid w:val="0"/>
                    <w:jc w:val="center"/>
                    <w:rPr>
                      <w:rFonts w:eastAsiaTheme="minorEastAsia"/>
                      <w:color w:val="auto"/>
                      <w:szCs w:val="21"/>
                    </w:rPr>
                  </w:pPr>
                </w:p>
              </w:tc>
              <w:tc>
                <w:tcPr>
                  <w:tcW w:w="990" w:type="dxa"/>
                  <w:vMerge w:val="continue"/>
                  <w:vAlign w:val="center"/>
                </w:tcPr>
                <w:p>
                  <w:pPr>
                    <w:adjustRightInd w:val="0"/>
                    <w:snapToGrid w:val="0"/>
                    <w:jc w:val="center"/>
                    <w:rPr>
                      <w:rFonts w:eastAsiaTheme="minorEastAsia"/>
                      <w:color w:val="auto"/>
                      <w:szCs w:val="21"/>
                    </w:rPr>
                  </w:pPr>
                </w:p>
              </w:tc>
              <w:tc>
                <w:tcPr>
                  <w:tcW w:w="1274" w:type="dxa"/>
                  <w:vAlign w:val="center"/>
                </w:tcPr>
                <w:p>
                  <w:pPr>
                    <w:adjustRightInd w:val="0"/>
                    <w:snapToGrid w:val="0"/>
                    <w:jc w:val="center"/>
                    <w:rPr>
                      <w:rFonts w:eastAsiaTheme="minorEastAsia"/>
                      <w:color w:val="auto"/>
                      <w:szCs w:val="21"/>
                    </w:rPr>
                  </w:pPr>
                  <w:r>
                    <w:rPr>
                      <w:rFonts w:eastAsiaTheme="minorEastAsia"/>
                      <w:color w:val="auto"/>
                      <w:szCs w:val="21"/>
                    </w:rPr>
                    <w:t>t/d</w:t>
                  </w:r>
                </w:p>
              </w:tc>
              <w:tc>
                <w:tcPr>
                  <w:tcW w:w="990" w:type="dxa"/>
                  <w:vAlign w:val="center"/>
                </w:tcPr>
                <w:p>
                  <w:pPr>
                    <w:adjustRightInd w:val="0"/>
                    <w:snapToGrid w:val="0"/>
                    <w:jc w:val="center"/>
                    <w:rPr>
                      <w:rFonts w:eastAsiaTheme="minorEastAsia"/>
                      <w:color w:val="auto"/>
                      <w:szCs w:val="21"/>
                    </w:rPr>
                  </w:pPr>
                  <w:r>
                    <w:rPr>
                      <w:rFonts w:eastAsiaTheme="minorEastAsia"/>
                      <w:color w:val="auto"/>
                      <w:szCs w:val="21"/>
                    </w:rPr>
                    <w:t>t/a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32" w:type="dxa"/>
                  <w:vAlign w:val="center"/>
                </w:tcPr>
                <w:p>
                  <w:pPr>
                    <w:adjustRightInd w:val="0"/>
                    <w:snapToGrid w:val="0"/>
                    <w:jc w:val="center"/>
                    <w:rPr>
                      <w:rFonts w:eastAsiaTheme="minorEastAsia"/>
                      <w:color w:val="auto"/>
                      <w:szCs w:val="21"/>
                    </w:rPr>
                  </w:pPr>
                  <w:r>
                    <w:rPr>
                      <w:rFonts w:eastAsiaTheme="minorEastAsia"/>
                      <w:color w:val="auto"/>
                      <w:szCs w:val="21"/>
                    </w:rPr>
                    <w:t>水量</w:t>
                  </w:r>
                </w:p>
              </w:tc>
              <w:tc>
                <w:tcPr>
                  <w:tcW w:w="937" w:type="dxa"/>
                  <w:vAlign w:val="center"/>
                </w:tcPr>
                <w:p>
                  <w:pPr>
                    <w:adjustRightInd w:val="0"/>
                    <w:snapToGrid w:val="0"/>
                    <w:jc w:val="center"/>
                    <w:rPr>
                      <w:rFonts w:eastAsiaTheme="minorEastAsia"/>
                      <w:color w:val="auto"/>
                      <w:szCs w:val="21"/>
                    </w:rPr>
                  </w:pPr>
                  <w:r>
                    <w:rPr>
                      <w:rFonts w:eastAsiaTheme="minorEastAsia"/>
                      <w:color w:val="auto"/>
                      <w:szCs w:val="21"/>
                    </w:rPr>
                    <w:t>/</w:t>
                  </w:r>
                </w:p>
              </w:tc>
              <w:tc>
                <w:tcPr>
                  <w:tcW w:w="825" w:type="dxa"/>
                  <w:vAlign w:val="center"/>
                </w:tcPr>
                <w:p>
                  <w:pPr>
                    <w:adjustRightInd w:val="0"/>
                    <w:snapToGrid w:val="0"/>
                    <w:jc w:val="center"/>
                    <w:rPr>
                      <w:rFonts w:eastAsiaTheme="minorEastAsia"/>
                      <w:color w:val="auto"/>
                      <w:szCs w:val="21"/>
                    </w:rPr>
                  </w:pPr>
                  <w:r>
                    <w:rPr>
                      <w:rFonts w:eastAsiaTheme="minorEastAsia"/>
                      <w:color w:val="auto"/>
                      <w:szCs w:val="21"/>
                    </w:rPr>
                    <w:t>200</w:t>
                  </w:r>
                </w:p>
              </w:tc>
              <w:tc>
                <w:tcPr>
                  <w:tcW w:w="1004" w:type="dxa"/>
                  <w:vAlign w:val="center"/>
                </w:tcPr>
                <w:p>
                  <w:pPr>
                    <w:adjustRightInd w:val="0"/>
                    <w:snapToGrid w:val="0"/>
                    <w:jc w:val="center"/>
                    <w:rPr>
                      <w:rFonts w:eastAsiaTheme="minorEastAsia"/>
                      <w:color w:val="auto"/>
                      <w:szCs w:val="21"/>
                    </w:rPr>
                  </w:pPr>
                  <w:r>
                    <w:rPr>
                      <w:rFonts w:eastAsiaTheme="minorEastAsia"/>
                      <w:color w:val="auto"/>
                      <w:szCs w:val="21"/>
                    </w:rPr>
                    <w:t>7.3万</w:t>
                  </w:r>
                </w:p>
              </w:tc>
              <w:tc>
                <w:tcPr>
                  <w:tcW w:w="912"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990" w:type="dxa"/>
                  <w:vAlign w:val="center"/>
                </w:tcPr>
                <w:p>
                  <w:pPr>
                    <w:adjustRightInd w:val="0"/>
                    <w:snapToGrid w:val="0"/>
                    <w:jc w:val="center"/>
                    <w:rPr>
                      <w:rFonts w:eastAsiaTheme="minorEastAsia"/>
                      <w:color w:val="auto"/>
                      <w:szCs w:val="21"/>
                    </w:rPr>
                  </w:pPr>
                  <w:r>
                    <w:rPr>
                      <w:rFonts w:eastAsiaTheme="minorEastAsia"/>
                      <w:color w:val="auto"/>
                      <w:szCs w:val="21"/>
                    </w:rPr>
                    <w:t>/</w:t>
                  </w:r>
                </w:p>
              </w:tc>
              <w:tc>
                <w:tcPr>
                  <w:tcW w:w="1274" w:type="dxa"/>
                  <w:vAlign w:val="center"/>
                </w:tcPr>
                <w:p>
                  <w:pPr>
                    <w:adjustRightInd w:val="0"/>
                    <w:snapToGrid w:val="0"/>
                    <w:jc w:val="center"/>
                    <w:rPr>
                      <w:rFonts w:eastAsiaTheme="minorEastAsia"/>
                      <w:color w:val="auto"/>
                      <w:szCs w:val="21"/>
                    </w:rPr>
                  </w:pPr>
                  <w:r>
                    <w:rPr>
                      <w:rFonts w:eastAsiaTheme="minorEastAsia"/>
                      <w:color w:val="auto"/>
                      <w:szCs w:val="21"/>
                    </w:rPr>
                    <w:t>200</w:t>
                  </w:r>
                </w:p>
              </w:tc>
              <w:tc>
                <w:tcPr>
                  <w:tcW w:w="990" w:type="dxa"/>
                  <w:vAlign w:val="center"/>
                </w:tcPr>
                <w:p>
                  <w:pPr>
                    <w:adjustRightInd w:val="0"/>
                    <w:snapToGrid w:val="0"/>
                    <w:jc w:val="center"/>
                    <w:rPr>
                      <w:rFonts w:eastAsiaTheme="minorEastAsia"/>
                      <w:color w:val="auto"/>
                      <w:szCs w:val="21"/>
                    </w:rPr>
                  </w:pPr>
                  <w:r>
                    <w:rPr>
                      <w:rFonts w:eastAsiaTheme="minorEastAsia"/>
                      <w:color w:val="auto"/>
                      <w:szCs w:val="21"/>
                    </w:rPr>
                    <w:t>7.3万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32" w:type="dxa"/>
                  <w:vAlign w:val="center"/>
                </w:tcPr>
                <w:p>
                  <w:pPr>
                    <w:adjustRightInd w:val="0"/>
                    <w:snapToGrid w:val="0"/>
                    <w:jc w:val="center"/>
                    <w:rPr>
                      <w:rFonts w:eastAsiaTheme="minorEastAsia"/>
                      <w:color w:val="auto"/>
                      <w:szCs w:val="21"/>
                    </w:rPr>
                  </w:pPr>
                  <w:r>
                    <w:rPr>
                      <w:rFonts w:eastAsiaTheme="minorEastAsia"/>
                      <w:color w:val="auto"/>
                      <w:szCs w:val="21"/>
                    </w:rPr>
                    <w:t>CODcr</w:t>
                  </w:r>
                </w:p>
              </w:tc>
              <w:tc>
                <w:tcPr>
                  <w:tcW w:w="937" w:type="dxa"/>
                  <w:vAlign w:val="center"/>
                </w:tcPr>
                <w:p>
                  <w:pPr>
                    <w:adjustRightInd w:val="0"/>
                    <w:snapToGrid w:val="0"/>
                    <w:jc w:val="center"/>
                    <w:rPr>
                      <w:rFonts w:eastAsiaTheme="minorEastAsia"/>
                      <w:color w:val="auto"/>
                      <w:szCs w:val="21"/>
                    </w:rPr>
                  </w:pPr>
                  <w:r>
                    <w:rPr>
                      <w:rFonts w:eastAsiaTheme="minorEastAsia"/>
                      <w:color w:val="auto"/>
                      <w:szCs w:val="21"/>
                    </w:rPr>
                    <w:t>500</w:t>
                  </w:r>
                </w:p>
              </w:tc>
              <w:tc>
                <w:tcPr>
                  <w:tcW w:w="825" w:type="dxa"/>
                  <w:vAlign w:val="center"/>
                </w:tcPr>
                <w:p>
                  <w:pPr>
                    <w:adjustRightInd w:val="0"/>
                    <w:snapToGrid w:val="0"/>
                    <w:jc w:val="center"/>
                    <w:rPr>
                      <w:rFonts w:eastAsiaTheme="minorEastAsia"/>
                      <w:color w:val="auto"/>
                      <w:szCs w:val="21"/>
                    </w:rPr>
                  </w:pPr>
                  <w:r>
                    <w:rPr>
                      <w:rFonts w:eastAsiaTheme="minorEastAsia"/>
                      <w:color w:val="auto"/>
                      <w:szCs w:val="21"/>
                    </w:rPr>
                    <w:t>0.1</w:t>
                  </w:r>
                </w:p>
              </w:tc>
              <w:tc>
                <w:tcPr>
                  <w:tcW w:w="1004" w:type="dxa"/>
                  <w:vAlign w:val="center"/>
                </w:tcPr>
                <w:p>
                  <w:pPr>
                    <w:adjustRightInd w:val="0"/>
                    <w:snapToGrid w:val="0"/>
                    <w:jc w:val="center"/>
                    <w:rPr>
                      <w:rFonts w:eastAsiaTheme="minorEastAsia"/>
                      <w:color w:val="auto"/>
                      <w:szCs w:val="21"/>
                    </w:rPr>
                  </w:pPr>
                  <w:r>
                    <w:rPr>
                      <w:rFonts w:eastAsiaTheme="minorEastAsia"/>
                      <w:color w:val="auto"/>
                      <w:szCs w:val="21"/>
                    </w:rPr>
                    <w:t>36.5</w:t>
                  </w:r>
                </w:p>
              </w:tc>
              <w:tc>
                <w:tcPr>
                  <w:tcW w:w="912" w:type="dxa"/>
                  <w:vAlign w:val="center"/>
                </w:tcPr>
                <w:p>
                  <w:pPr>
                    <w:adjustRightInd w:val="0"/>
                    <w:snapToGrid w:val="0"/>
                    <w:jc w:val="center"/>
                    <w:rPr>
                      <w:rFonts w:eastAsiaTheme="minorEastAsia"/>
                      <w:color w:val="auto"/>
                      <w:szCs w:val="21"/>
                    </w:rPr>
                  </w:pPr>
                  <w:r>
                    <w:rPr>
                      <w:rFonts w:eastAsiaTheme="minorEastAsia"/>
                      <w:color w:val="auto"/>
                      <w:szCs w:val="21"/>
                    </w:rPr>
                    <w:t>0.09</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32.85</w:t>
                  </w:r>
                </w:p>
              </w:tc>
              <w:tc>
                <w:tcPr>
                  <w:tcW w:w="990" w:type="dxa"/>
                  <w:vAlign w:val="center"/>
                </w:tcPr>
                <w:p>
                  <w:pPr>
                    <w:adjustRightInd w:val="0"/>
                    <w:snapToGrid w:val="0"/>
                    <w:jc w:val="center"/>
                    <w:rPr>
                      <w:rFonts w:eastAsiaTheme="minorEastAsia"/>
                      <w:color w:val="auto"/>
                      <w:szCs w:val="21"/>
                    </w:rPr>
                  </w:pPr>
                  <w:r>
                    <w:rPr>
                      <w:rFonts w:eastAsiaTheme="minorEastAsia"/>
                      <w:color w:val="auto"/>
                      <w:szCs w:val="21"/>
                    </w:rPr>
                    <w:t>50</w:t>
                  </w:r>
                </w:p>
              </w:tc>
              <w:tc>
                <w:tcPr>
                  <w:tcW w:w="1274" w:type="dxa"/>
                  <w:vAlign w:val="center"/>
                </w:tcPr>
                <w:p>
                  <w:pPr>
                    <w:adjustRightInd w:val="0"/>
                    <w:snapToGrid w:val="0"/>
                    <w:jc w:val="center"/>
                    <w:rPr>
                      <w:rFonts w:eastAsiaTheme="minorEastAsia"/>
                      <w:color w:val="auto"/>
                      <w:szCs w:val="21"/>
                    </w:rPr>
                  </w:pPr>
                  <w:r>
                    <w:rPr>
                      <w:rFonts w:eastAsiaTheme="minorEastAsia"/>
                      <w:color w:val="auto"/>
                      <w:szCs w:val="21"/>
                    </w:rPr>
                    <w:t>0.01</w:t>
                  </w:r>
                </w:p>
              </w:tc>
              <w:tc>
                <w:tcPr>
                  <w:tcW w:w="990" w:type="dxa"/>
                  <w:vAlign w:val="center"/>
                </w:tcPr>
                <w:p>
                  <w:pPr>
                    <w:adjustRightInd w:val="0"/>
                    <w:snapToGrid w:val="0"/>
                    <w:jc w:val="center"/>
                    <w:rPr>
                      <w:rFonts w:eastAsiaTheme="minorEastAsia"/>
                      <w:color w:val="auto"/>
                      <w:szCs w:val="21"/>
                    </w:rPr>
                  </w:pPr>
                  <w:r>
                    <w:rPr>
                      <w:rFonts w:eastAsiaTheme="minorEastAsia"/>
                      <w:color w:val="auto"/>
                      <w:szCs w:val="21"/>
                    </w:rPr>
                    <w:t>3.65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32" w:type="dxa"/>
                  <w:vAlign w:val="center"/>
                </w:tcPr>
                <w:p>
                  <w:pPr>
                    <w:adjustRightInd w:val="0"/>
                    <w:snapToGrid w:val="0"/>
                    <w:jc w:val="center"/>
                    <w:rPr>
                      <w:rFonts w:eastAsiaTheme="minorEastAsia"/>
                      <w:color w:val="auto"/>
                      <w:szCs w:val="21"/>
                    </w:rPr>
                  </w:pPr>
                  <w:r>
                    <w:rPr>
                      <w:rFonts w:eastAsiaTheme="minorEastAsia"/>
                      <w:color w:val="auto"/>
                      <w:szCs w:val="21"/>
                    </w:rPr>
                    <w:t>BOD</w:t>
                  </w:r>
                  <w:r>
                    <w:rPr>
                      <w:rFonts w:eastAsiaTheme="minorEastAsia"/>
                      <w:color w:val="auto"/>
                      <w:szCs w:val="21"/>
                      <w:vertAlign w:val="subscript"/>
                    </w:rPr>
                    <w:t>5</w:t>
                  </w:r>
                </w:p>
              </w:tc>
              <w:tc>
                <w:tcPr>
                  <w:tcW w:w="937"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350</w:t>
                  </w:r>
                </w:p>
              </w:tc>
              <w:tc>
                <w:tcPr>
                  <w:tcW w:w="825" w:type="dxa"/>
                  <w:vAlign w:val="center"/>
                </w:tcPr>
                <w:p>
                  <w:pPr>
                    <w:adjustRightInd w:val="0"/>
                    <w:snapToGrid w:val="0"/>
                    <w:jc w:val="center"/>
                    <w:rPr>
                      <w:rFonts w:eastAsiaTheme="minorEastAsia"/>
                      <w:color w:val="auto"/>
                      <w:szCs w:val="21"/>
                    </w:rPr>
                  </w:pPr>
                  <w:r>
                    <w:rPr>
                      <w:rFonts w:eastAsiaTheme="minorEastAsia"/>
                      <w:color w:val="auto"/>
                      <w:szCs w:val="21"/>
                    </w:rPr>
                    <w:t>0.07</w:t>
                  </w:r>
                </w:p>
              </w:tc>
              <w:tc>
                <w:tcPr>
                  <w:tcW w:w="1004" w:type="dxa"/>
                  <w:vAlign w:val="center"/>
                </w:tcPr>
                <w:p>
                  <w:pPr>
                    <w:adjustRightInd w:val="0"/>
                    <w:snapToGrid w:val="0"/>
                    <w:jc w:val="center"/>
                    <w:rPr>
                      <w:rFonts w:eastAsiaTheme="minorEastAsia"/>
                      <w:color w:val="auto"/>
                      <w:szCs w:val="21"/>
                    </w:rPr>
                  </w:pPr>
                  <w:r>
                    <w:rPr>
                      <w:rFonts w:eastAsiaTheme="minorEastAsia"/>
                      <w:color w:val="auto"/>
                      <w:szCs w:val="21"/>
                    </w:rPr>
                    <w:t>25.55</w:t>
                  </w:r>
                </w:p>
              </w:tc>
              <w:tc>
                <w:tcPr>
                  <w:tcW w:w="912" w:type="dxa"/>
                  <w:vAlign w:val="center"/>
                </w:tcPr>
                <w:p>
                  <w:pPr>
                    <w:adjustRightInd w:val="0"/>
                    <w:snapToGrid w:val="0"/>
                    <w:jc w:val="center"/>
                    <w:rPr>
                      <w:rFonts w:eastAsiaTheme="minorEastAsia"/>
                      <w:color w:val="auto"/>
                      <w:szCs w:val="21"/>
                    </w:rPr>
                  </w:pPr>
                  <w:r>
                    <w:rPr>
                      <w:rFonts w:eastAsiaTheme="minorEastAsia"/>
                      <w:color w:val="auto"/>
                      <w:szCs w:val="21"/>
                    </w:rPr>
                    <w:t>0.068</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24.82</w:t>
                  </w:r>
                </w:p>
              </w:tc>
              <w:tc>
                <w:tcPr>
                  <w:tcW w:w="990" w:type="dxa"/>
                  <w:vAlign w:val="center"/>
                </w:tcPr>
                <w:p>
                  <w:pPr>
                    <w:adjustRightInd w:val="0"/>
                    <w:snapToGrid w:val="0"/>
                    <w:jc w:val="center"/>
                    <w:rPr>
                      <w:rFonts w:eastAsiaTheme="minorEastAsia"/>
                      <w:color w:val="auto"/>
                      <w:szCs w:val="21"/>
                    </w:rPr>
                  </w:pPr>
                  <w:r>
                    <w:rPr>
                      <w:rFonts w:eastAsiaTheme="minorEastAsia"/>
                      <w:color w:val="auto"/>
                      <w:szCs w:val="21"/>
                    </w:rPr>
                    <w:t>10</w:t>
                  </w:r>
                </w:p>
              </w:tc>
              <w:tc>
                <w:tcPr>
                  <w:tcW w:w="1274" w:type="dxa"/>
                  <w:vAlign w:val="center"/>
                </w:tcPr>
                <w:p>
                  <w:pPr>
                    <w:adjustRightInd w:val="0"/>
                    <w:snapToGrid w:val="0"/>
                    <w:jc w:val="center"/>
                    <w:rPr>
                      <w:rFonts w:eastAsiaTheme="minorEastAsia"/>
                      <w:color w:val="auto"/>
                      <w:szCs w:val="21"/>
                    </w:rPr>
                  </w:pPr>
                  <w:r>
                    <w:rPr>
                      <w:rFonts w:eastAsiaTheme="minorEastAsia"/>
                      <w:color w:val="auto"/>
                      <w:szCs w:val="21"/>
                    </w:rPr>
                    <w:t>0.002</w:t>
                  </w:r>
                </w:p>
              </w:tc>
              <w:tc>
                <w:tcPr>
                  <w:tcW w:w="990" w:type="dxa"/>
                  <w:vAlign w:val="center"/>
                </w:tcPr>
                <w:p>
                  <w:pPr>
                    <w:adjustRightInd w:val="0"/>
                    <w:snapToGrid w:val="0"/>
                    <w:jc w:val="center"/>
                    <w:rPr>
                      <w:rFonts w:eastAsiaTheme="minorEastAsia"/>
                      <w:color w:val="auto"/>
                      <w:szCs w:val="21"/>
                    </w:rPr>
                  </w:pPr>
                  <w:r>
                    <w:rPr>
                      <w:rFonts w:eastAsiaTheme="minorEastAsia"/>
                      <w:color w:val="auto"/>
                      <w:szCs w:val="21"/>
                    </w:rPr>
                    <w:t>0.73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32" w:type="dxa"/>
                  <w:vAlign w:val="center"/>
                </w:tcPr>
                <w:p>
                  <w:pPr>
                    <w:adjustRightInd w:val="0"/>
                    <w:snapToGrid w:val="0"/>
                    <w:jc w:val="center"/>
                    <w:rPr>
                      <w:rFonts w:eastAsiaTheme="minorEastAsia"/>
                      <w:color w:val="auto"/>
                      <w:szCs w:val="21"/>
                    </w:rPr>
                  </w:pPr>
                  <w:r>
                    <w:rPr>
                      <w:rFonts w:eastAsiaTheme="minorEastAsia"/>
                      <w:color w:val="auto"/>
                      <w:szCs w:val="21"/>
                    </w:rPr>
                    <w:t>SS</w:t>
                  </w:r>
                </w:p>
              </w:tc>
              <w:tc>
                <w:tcPr>
                  <w:tcW w:w="937" w:type="dxa"/>
                  <w:vAlign w:val="center"/>
                </w:tcPr>
                <w:p>
                  <w:pPr>
                    <w:adjustRightInd w:val="0"/>
                    <w:snapToGrid w:val="0"/>
                    <w:jc w:val="center"/>
                    <w:rPr>
                      <w:rFonts w:eastAsiaTheme="minorEastAsia"/>
                      <w:color w:val="auto"/>
                      <w:szCs w:val="21"/>
                    </w:rPr>
                  </w:pPr>
                  <w:r>
                    <w:rPr>
                      <w:rFonts w:eastAsiaTheme="minorEastAsia"/>
                      <w:color w:val="auto"/>
                      <w:szCs w:val="21"/>
                    </w:rPr>
                    <w:t>350</w:t>
                  </w:r>
                </w:p>
              </w:tc>
              <w:tc>
                <w:tcPr>
                  <w:tcW w:w="825" w:type="dxa"/>
                  <w:vAlign w:val="center"/>
                </w:tcPr>
                <w:p>
                  <w:pPr>
                    <w:adjustRightInd w:val="0"/>
                    <w:snapToGrid w:val="0"/>
                    <w:jc w:val="center"/>
                    <w:rPr>
                      <w:rFonts w:eastAsiaTheme="minorEastAsia"/>
                      <w:color w:val="auto"/>
                      <w:szCs w:val="21"/>
                    </w:rPr>
                  </w:pPr>
                  <w:r>
                    <w:rPr>
                      <w:rFonts w:eastAsiaTheme="minorEastAsia"/>
                      <w:color w:val="auto"/>
                      <w:szCs w:val="21"/>
                    </w:rPr>
                    <w:t>0.07</w:t>
                  </w:r>
                </w:p>
              </w:tc>
              <w:tc>
                <w:tcPr>
                  <w:tcW w:w="1004" w:type="dxa"/>
                  <w:vAlign w:val="center"/>
                </w:tcPr>
                <w:p>
                  <w:pPr>
                    <w:adjustRightInd w:val="0"/>
                    <w:snapToGrid w:val="0"/>
                    <w:jc w:val="center"/>
                    <w:rPr>
                      <w:rFonts w:eastAsiaTheme="minorEastAsia"/>
                      <w:color w:val="auto"/>
                      <w:szCs w:val="21"/>
                    </w:rPr>
                  </w:pPr>
                  <w:r>
                    <w:rPr>
                      <w:rFonts w:eastAsiaTheme="minorEastAsia"/>
                      <w:color w:val="auto"/>
                      <w:szCs w:val="21"/>
                    </w:rPr>
                    <w:t>25.55</w:t>
                  </w:r>
                </w:p>
              </w:tc>
              <w:tc>
                <w:tcPr>
                  <w:tcW w:w="912" w:type="dxa"/>
                  <w:vAlign w:val="center"/>
                </w:tcPr>
                <w:p>
                  <w:pPr>
                    <w:adjustRightInd w:val="0"/>
                    <w:snapToGrid w:val="0"/>
                    <w:jc w:val="center"/>
                    <w:rPr>
                      <w:rFonts w:eastAsiaTheme="minorEastAsia"/>
                      <w:color w:val="auto"/>
                      <w:szCs w:val="21"/>
                    </w:rPr>
                  </w:pPr>
                  <w:r>
                    <w:rPr>
                      <w:rFonts w:eastAsiaTheme="minorEastAsia"/>
                      <w:color w:val="auto"/>
                      <w:szCs w:val="21"/>
                    </w:rPr>
                    <w:t>0.068</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24.82</w:t>
                  </w:r>
                </w:p>
              </w:tc>
              <w:tc>
                <w:tcPr>
                  <w:tcW w:w="990" w:type="dxa"/>
                  <w:vAlign w:val="center"/>
                </w:tcPr>
                <w:p>
                  <w:pPr>
                    <w:adjustRightInd w:val="0"/>
                    <w:snapToGrid w:val="0"/>
                    <w:jc w:val="center"/>
                    <w:rPr>
                      <w:rFonts w:eastAsiaTheme="minorEastAsia"/>
                      <w:color w:val="auto"/>
                      <w:szCs w:val="21"/>
                    </w:rPr>
                  </w:pPr>
                  <w:r>
                    <w:rPr>
                      <w:rFonts w:eastAsiaTheme="minorEastAsia"/>
                      <w:color w:val="auto"/>
                      <w:szCs w:val="21"/>
                    </w:rPr>
                    <w:t>10</w:t>
                  </w:r>
                </w:p>
              </w:tc>
              <w:tc>
                <w:tcPr>
                  <w:tcW w:w="1274" w:type="dxa"/>
                  <w:vAlign w:val="center"/>
                </w:tcPr>
                <w:p>
                  <w:pPr>
                    <w:adjustRightInd w:val="0"/>
                    <w:snapToGrid w:val="0"/>
                    <w:jc w:val="center"/>
                    <w:rPr>
                      <w:rFonts w:eastAsiaTheme="minorEastAsia"/>
                      <w:color w:val="auto"/>
                      <w:szCs w:val="21"/>
                    </w:rPr>
                  </w:pPr>
                  <w:r>
                    <w:rPr>
                      <w:rFonts w:eastAsiaTheme="minorEastAsia"/>
                      <w:color w:val="auto"/>
                      <w:szCs w:val="21"/>
                    </w:rPr>
                    <w:t>0.002</w:t>
                  </w:r>
                </w:p>
              </w:tc>
              <w:tc>
                <w:tcPr>
                  <w:tcW w:w="990" w:type="dxa"/>
                  <w:vAlign w:val="center"/>
                </w:tcPr>
                <w:p>
                  <w:pPr>
                    <w:adjustRightInd w:val="0"/>
                    <w:snapToGrid w:val="0"/>
                    <w:jc w:val="center"/>
                    <w:rPr>
                      <w:rFonts w:eastAsiaTheme="minorEastAsia"/>
                      <w:color w:val="auto"/>
                      <w:szCs w:val="21"/>
                    </w:rPr>
                  </w:pPr>
                  <w:r>
                    <w:rPr>
                      <w:rFonts w:eastAsiaTheme="minorEastAsia"/>
                      <w:color w:val="auto"/>
                      <w:szCs w:val="21"/>
                    </w:rPr>
                    <w:t>0.73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32" w:type="dxa"/>
                  <w:vAlign w:val="center"/>
                </w:tcPr>
                <w:p>
                  <w:pPr>
                    <w:adjustRightInd w:val="0"/>
                    <w:snapToGrid w:val="0"/>
                    <w:jc w:val="center"/>
                    <w:rPr>
                      <w:rFonts w:eastAsiaTheme="minorEastAsia"/>
                      <w:color w:val="auto"/>
                      <w:szCs w:val="21"/>
                    </w:rPr>
                  </w:pPr>
                  <w:r>
                    <w:rPr>
                      <w:rFonts w:eastAsiaTheme="minorEastAsia"/>
                      <w:color w:val="auto"/>
                      <w:szCs w:val="21"/>
                    </w:rPr>
                    <w:t>NH</w:t>
                  </w:r>
                  <w:r>
                    <w:rPr>
                      <w:rFonts w:eastAsiaTheme="minorEastAsia"/>
                      <w:color w:val="auto"/>
                      <w:szCs w:val="21"/>
                      <w:vertAlign w:val="subscript"/>
                    </w:rPr>
                    <w:t>3</w:t>
                  </w:r>
                  <w:r>
                    <w:rPr>
                      <w:rFonts w:eastAsiaTheme="minorEastAsia"/>
                      <w:color w:val="auto"/>
                      <w:szCs w:val="21"/>
                    </w:rPr>
                    <w:t>-N</w:t>
                  </w:r>
                </w:p>
              </w:tc>
              <w:tc>
                <w:tcPr>
                  <w:tcW w:w="937" w:type="dxa"/>
                  <w:vAlign w:val="center"/>
                </w:tcPr>
                <w:p>
                  <w:pPr>
                    <w:adjustRightInd w:val="0"/>
                    <w:snapToGrid w:val="0"/>
                    <w:jc w:val="center"/>
                    <w:rPr>
                      <w:rFonts w:eastAsiaTheme="minorEastAsia"/>
                      <w:color w:val="auto"/>
                      <w:szCs w:val="21"/>
                    </w:rPr>
                  </w:pPr>
                  <w:r>
                    <w:rPr>
                      <w:rFonts w:eastAsiaTheme="minorEastAsia"/>
                      <w:color w:val="auto"/>
                      <w:szCs w:val="21"/>
                    </w:rPr>
                    <w:t>35</w:t>
                  </w:r>
                </w:p>
              </w:tc>
              <w:tc>
                <w:tcPr>
                  <w:tcW w:w="825" w:type="dxa"/>
                  <w:vAlign w:val="center"/>
                </w:tcPr>
                <w:p>
                  <w:pPr>
                    <w:adjustRightInd w:val="0"/>
                    <w:snapToGrid w:val="0"/>
                    <w:jc w:val="center"/>
                    <w:rPr>
                      <w:rFonts w:eastAsiaTheme="minorEastAsia"/>
                      <w:color w:val="auto"/>
                      <w:szCs w:val="21"/>
                    </w:rPr>
                  </w:pPr>
                  <w:r>
                    <w:rPr>
                      <w:rFonts w:eastAsiaTheme="minorEastAsia"/>
                      <w:color w:val="auto"/>
                      <w:szCs w:val="21"/>
                    </w:rPr>
                    <w:t>0.007</w:t>
                  </w:r>
                </w:p>
              </w:tc>
              <w:tc>
                <w:tcPr>
                  <w:tcW w:w="1004" w:type="dxa"/>
                  <w:vAlign w:val="center"/>
                </w:tcPr>
                <w:p>
                  <w:pPr>
                    <w:adjustRightInd w:val="0"/>
                    <w:snapToGrid w:val="0"/>
                    <w:jc w:val="center"/>
                    <w:rPr>
                      <w:rFonts w:eastAsiaTheme="minorEastAsia"/>
                      <w:color w:val="auto"/>
                      <w:szCs w:val="21"/>
                    </w:rPr>
                  </w:pPr>
                  <w:r>
                    <w:rPr>
                      <w:rFonts w:eastAsiaTheme="minorEastAsia"/>
                      <w:color w:val="auto"/>
                      <w:szCs w:val="21"/>
                    </w:rPr>
                    <w:t>2.555</w:t>
                  </w:r>
                </w:p>
              </w:tc>
              <w:tc>
                <w:tcPr>
                  <w:tcW w:w="912" w:type="dxa"/>
                  <w:vAlign w:val="center"/>
                </w:tcPr>
                <w:p>
                  <w:pPr>
                    <w:adjustRightInd w:val="0"/>
                    <w:snapToGrid w:val="0"/>
                    <w:jc w:val="center"/>
                    <w:rPr>
                      <w:rFonts w:eastAsiaTheme="minorEastAsia"/>
                      <w:color w:val="auto"/>
                      <w:szCs w:val="21"/>
                    </w:rPr>
                  </w:pPr>
                  <w:r>
                    <w:rPr>
                      <w:rFonts w:eastAsiaTheme="minorEastAsia"/>
                      <w:color w:val="auto"/>
                      <w:szCs w:val="21"/>
                    </w:rPr>
                    <w:t>0.006</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2.19</w:t>
                  </w:r>
                </w:p>
              </w:tc>
              <w:tc>
                <w:tcPr>
                  <w:tcW w:w="990" w:type="dxa"/>
                  <w:vAlign w:val="center"/>
                </w:tcPr>
                <w:p>
                  <w:pPr>
                    <w:adjustRightInd w:val="0"/>
                    <w:snapToGrid w:val="0"/>
                    <w:jc w:val="center"/>
                    <w:rPr>
                      <w:rFonts w:eastAsiaTheme="minorEastAsia"/>
                      <w:color w:val="auto"/>
                      <w:szCs w:val="21"/>
                    </w:rPr>
                  </w:pPr>
                  <w:r>
                    <w:rPr>
                      <w:rFonts w:eastAsiaTheme="minorEastAsia"/>
                      <w:color w:val="auto"/>
                      <w:szCs w:val="21"/>
                    </w:rPr>
                    <w:t>5</w:t>
                  </w:r>
                </w:p>
              </w:tc>
              <w:tc>
                <w:tcPr>
                  <w:tcW w:w="1274" w:type="dxa"/>
                  <w:vAlign w:val="center"/>
                </w:tcPr>
                <w:p>
                  <w:pPr>
                    <w:adjustRightInd w:val="0"/>
                    <w:snapToGrid w:val="0"/>
                    <w:jc w:val="center"/>
                    <w:rPr>
                      <w:rFonts w:eastAsiaTheme="minorEastAsia"/>
                      <w:color w:val="auto"/>
                      <w:szCs w:val="21"/>
                    </w:rPr>
                  </w:pPr>
                  <w:r>
                    <w:rPr>
                      <w:rFonts w:eastAsiaTheme="minorEastAsia"/>
                      <w:color w:val="auto"/>
                      <w:szCs w:val="21"/>
                    </w:rPr>
                    <w:t>0.001</w:t>
                  </w:r>
                </w:p>
              </w:tc>
              <w:tc>
                <w:tcPr>
                  <w:tcW w:w="990" w:type="dxa"/>
                  <w:vAlign w:val="center"/>
                </w:tcPr>
                <w:p>
                  <w:pPr>
                    <w:adjustRightInd w:val="0"/>
                    <w:snapToGrid w:val="0"/>
                    <w:jc w:val="center"/>
                    <w:rPr>
                      <w:rFonts w:eastAsiaTheme="minorEastAsia"/>
                      <w:color w:val="auto"/>
                      <w:szCs w:val="21"/>
                    </w:rPr>
                  </w:pPr>
                  <w:r>
                    <w:rPr>
                      <w:rFonts w:eastAsiaTheme="minorEastAsia"/>
                      <w:color w:val="auto"/>
                      <w:szCs w:val="21"/>
                    </w:rPr>
                    <w:t>0.365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32" w:type="dxa"/>
                  <w:vAlign w:val="center"/>
                </w:tcPr>
                <w:p>
                  <w:pPr>
                    <w:adjustRightInd w:val="0"/>
                    <w:snapToGrid w:val="0"/>
                    <w:jc w:val="center"/>
                    <w:rPr>
                      <w:rFonts w:eastAsiaTheme="minorEastAsia"/>
                      <w:color w:val="auto"/>
                      <w:szCs w:val="21"/>
                    </w:rPr>
                  </w:pPr>
                  <w:r>
                    <w:rPr>
                      <w:rFonts w:eastAsiaTheme="minorEastAsia"/>
                      <w:color w:val="auto"/>
                      <w:szCs w:val="21"/>
                    </w:rPr>
                    <w:t>TP</w:t>
                  </w:r>
                </w:p>
              </w:tc>
              <w:tc>
                <w:tcPr>
                  <w:tcW w:w="937" w:type="dxa"/>
                  <w:vAlign w:val="center"/>
                </w:tcPr>
                <w:p>
                  <w:pPr>
                    <w:adjustRightInd w:val="0"/>
                    <w:snapToGrid w:val="0"/>
                    <w:jc w:val="center"/>
                    <w:rPr>
                      <w:rFonts w:eastAsiaTheme="minorEastAsia"/>
                      <w:color w:val="auto"/>
                      <w:szCs w:val="21"/>
                    </w:rPr>
                  </w:pPr>
                  <w:r>
                    <w:rPr>
                      <w:rFonts w:eastAsiaTheme="minorEastAsia"/>
                      <w:color w:val="auto"/>
                      <w:szCs w:val="21"/>
                    </w:rPr>
                    <w:t>3</w:t>
                  </w:r>
                </w:p>
              </w:tc>
              <w:tc>
                <w:tcPr>
                  <w:tcW w:w="825" w:type="dxa"/>
                  <w:vAlign w:val="center"/>
                </w:tcPr>
                <w:p>
                  <w:pPr>
                    <w:adjustRightInd w:val="0"/>
                    <w:snapToGrid w:val="0"/>
                    <w:jc w:val="center"/>
                    <w:rPr>
                      <w:rFonts w:eastAsiaTheme="minorEastAsia"/>
                      <w:color w:val="auto"/>
                      <w:szCs w:val="21"/>
                    </w:rPr>
                  </w:pPr>
                  <w:r>
                    <w:rPr>
                      <w:rFonts w:eastAsiaTheme="minorEastAsia"/>
                      <w:color w:val="auto"/>
                      <w:szCs w:val="21"/>
                    </w:rPr>
                    <w:t>0.0006</w:t>
                  </w:r>
                </w:p>
              </w:tc>
              <w:tc>
                <w:tcPr>
                  <w:tcW w:w="1004" w:type="dxa"/>
                  <w:vAlign w:val="center"/>
                </w:tcPr>
                <w:p>
                  <w:pPr>
                    <w:adjustRightInd w:val="0"/>
                    <w:snapToGrid w:val="0"/>
                    <w:jc w:val="center"/>
                    <w:rPr>
                      <w:rFonts w:eastAsiaTheme="minorEastAsia"/>
                      <w:color w:val="auto"/>
                      <w:szCs w:val="21"/>
                    </w:rPr>
                  </w:pPr>
                  <w:r>
                    <w:rPr>
                      <w:rFonts w:eastAsiaTheme="minorEastAsia"/>
                      <w:color w:val="auto"/>
                      <w:szCs w:val="21"/>
                    </w:rPr>
                    <w:t>0.219</w:t>
                  </w:r>
                </w:p>
              </w:tc>
              <w:tc>
                <w:tcPr>
                  <w:tcW w:w="912" w:type="dxa"/>
                  <w:vAlign w:val="center"/>
                </w:tcPr>
                <w:p>
                  <w:pPr>
                    <w:adjustRightInd w:val="0"/>
                    <w:snapToGrid w:val="0"/>
                    <w:jc w:val="center"/>
                    <w:rPr>
                      <w:rFonts w:eastAsiaTheme="minorEastAsia"/>
                      <w:color w:val="auto"/>
                      <w:szCs w:val="21"/>
                    </w:rPr>
                  </w:pPr>
                  <w:r>
                    <w:rPr>
                      <w:rFonts w:eastAsiaTheme="minorEastAsia"/>
                      <w:color w:val="auto"/>
                      <w:szCs w:val="21"/>
                    </w:rPr>
                    <w:t>0.0005</w:t>
                  </w:r>
                </w:p>
              </w:tc>
              <w:tc>
                <w:tcPr>
                  <w:tcW w:w="850" w:type="dxa"/>
                  <w:vAlign w:val="center"/>
                </w:tcPr>
                <w:p>
                  <w:pPr>
                    <w:adjustRightInd w:val="0"/>
                    <w:snapToGrid w:val="0"/>
                    <w:jc w:val="center"/>
                    <w:rPr>
                      <w:rFonts w:eastAsiaTheme="minorEastAsia"/>
                      <w:color w:val="auto"/>
                      <w:szCs w:val="21"/>
                    </w:rPr>
                  </w:pPr>
                  <w:r>
                    <w:rPr>
                      <w:rFonts w:eastAsiaTheme="minorEastAsia"/>
                      <w:color w:val="auto"/>
                      <w:szCs w:val="21"/>
                    </w:rPr>
                    <w:t>0.18</w:t>
                  </w:r>
                </w:p>
              </w:tc>
              <w:tc>
                <w:tcPr>
                  <w:tcW w:w="990" w:type="dxa"/>
                  <w:vAlign w:val="center"/>
                </w:tcPr>
                <w:p>
                  <w:pPr>
                    <w:adjustRightInd w:val="0"/>
                    <w:snapToGrid w:val="0"/>
                    <w:jc w:val="center"/>
                    <w:rPr>
                      <w:rFonts w:eastAsiaTheme="minorEastAsia"/>
                      <w:color w:val="auto"/>
                      <w:szCs w:val="21"/>
                    </w:rPr>
                  </w:pPr>
                  <w:r>
                    <w:rPr>
                      <w:rFonts w:eastAsiaTheme="minorEastAsia"/>
                      <w:color w:val="auto"/>
                      <w:szCs w:val="21"/>
                    </w:rPr>
                    <w:t>0.5</w:t>
                  </w:r>
                </w:p>
              </w:tc>
              <w:tc>
                <w:tcPr>
                  <w:tcW w:w="1274" w:type="dxa"/>
                  <w:vAlign w:val="center"/>
                </w:tcPr>
                <w:p>
                  <w:pPr>
                    <w:adjustRightInd w:val="0"/>
                    <w:snapToGrid w:val="0"/>
                    <w:jc w:val="center"/>
                    <w:rPr>
                      <w:rFonts w:eastAsiaTheme="minorEastAsia"/>
                      <w:color w:val="auto"/>
                      <w:szCs w:val="21"/>
                    </w:rPr>
                  </w:pPr>
                  <w:r>
                    <w:rPr>
                      <w:rFonts w:eastAsiaTheme="minorEastAsia"/>
                      <w:color w:val="auto"/>
                      <w:szCs w:val="21"/>
                    </w:rPr>
                    <w:t>0.0001</w:t>
                  </w:r>
                </w:p>
              </w:tc>
              <w:tc>
                <w:tcPr>
                  <w:tcW w:w="990" w:type="dxa"/>
                  <w:vAlign w:val="center"/>
                </w:tcPr>
                <w:p>
                  <w:pPr>
                    <w:adjustRightInd w:val="0"/>
                    <w:snapToGrid w:val="0"/>
                    <w:jc w:val="center"/>
                    <w:rPr>
                      <w:rFonts w:eastAsiaTheme="minorEastAsia"/>
                      <w:color w:val="auto"/>
                      <w:szCs w:val="21"/>
                    </w:rPr>
                  </w:pPr>
                  <w:r>
                    <w:rPr>
                      <w:rFonts w:eastAsiaTheme="minorEastAsia"/>
                      <w:color w:val="auto"/>
                      <w:szCs w:val="21"/>
                    </w:rPr>
                    <w:t>0.039</w:t>
                  </w:r>
                </w:p>
              </w:tc>
            </w:tr>
          </w:tbl>
          <w:p>
            <w:pPr>
              <w:widowControl/>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⑵</w:t>
            </w:r>
            <w:r>
              <w:rPr>
                <w:rFonts w:eastAsiaTheme="minorEastAsia"/>
                <w:color w:val="auto"/>
                <w:sz w:val="24"/>
              </w:rPr>
              <w:t>废气</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本项目冬季采暖为电暖，故无废气排放；废水处理时有少量臭气产生，产生臭气的主要场所有</w:t>
            </w:r>
            <w:r>
              <w:rPr>
                <w:rFonts w:eastAsiaTheme="minorEastAsia"/>
                <w:color w:val="auto"/>
                <w:kern w:val="24"/>
                <w:sz w:val="24"/>
              </w:rPr>
              <w:t>预处理池、调节池、</w:t>
            </w:r>
            <w:r>
              <w:rPr>
                <w:rFonts w:eastAsiaTheme="minorEastAsia"/>
                <w:color w:val="auto"/>
                <w:sz w:val="24"/>
              </w:rPr>
              <w:t>体化污水处理设备等，对厂区工作人员、对当地的大气造成污染，损害当地的生活环境，令人讨厌的臭气能使人食欲不振，头昏脑胀、恶心、呕吐和精神上受到干扰。</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项目运营期产生的废气主要为</w:t>
            </w:r>
            <w:r>
              <w:rPr>
                <w:rFonts w:eastAsiaTheme="minorEastAsia"/>
                <w:color w:val="auto"/>
                <w:kern w:val="24"/>
                <w:sz w:val="24"/>
              </w:rPr>
              <w:t>预处理池、调节池、</w:t>
            </w:r>
            <w:r>
              <w:rPr>
                <w:rFonts w:eastAsiaTheme="minorEastAsia"/>
                <w:color w:val="auto"/>
                <w:sz w:val="24"/>
              </w:rPr>
              <w:t>体化污水处理设备</w:t>
            </w:r>
            <w:r>
              <w:rPr>
                <w:rFonts w:eastAsiaTheme="minorEastAsia"/>
                <w:color w:val="auto"/>
                <w:kern w:val="0"/>
                <w:sz w:val="24"/>
              </w:rPr>
              <w:t>等环节产生的H</w:t>
            </w:r>
            <w:r>
              <w:rPr>
                <w:rFonts w:eastAsiaTheme="minorEastAsia"/>
                <w:color w:val="auto"/>
                <w:kern w:val="0"/>
                <w:sz w:val="24"/>
                <w:vertAlign w:val="subscript"/>
              </w:rPr>
              <w:t>2</w:t>
            </w:r>
            <w:r>
              <w:rPr>
                <w:rFonts w:eastAsiaTheme="minorEastAsia"/>
                <w:color w:val="auto"/>
                <w:kern w:val="0"/>
                <w:sz w:val="24"/>
              </w:rPr>
              <w:t>S、NH</w:t>
            </w:r>
            <w:r>
              <w:rPr>
                <w:rFonts w:eastAsiaTheme="minorEastAsia"/>
                <w:color w:val="auto"/>
                <w:kern w:val="0"/>
                <w:sz w:val="24"/>
                <w:vertAlign w:val="subscript"/>
              </w:rPr>
              <w:t>3</w:t>
            </w:r>
            <w:r>
              <w:rPr>
                <w:rFonts w:eastAsiaTheme="minorEastAsia"/>
                <w:color w:val="auto"/>
                <w:kern w:val="0"/>
                <w:sz w:val="24"/>
              </w:rPr>
              <w:t>等恶臭污染物</w:t>
            </w:r>
            <w:r>
              <w:rPr>
                <w:rFonts w:eastAsiaTheme="minorEastAsia"/>
                <w:color w:val="auto"/>
                <w:sz w:val="24"/>
              </w:rPr>
              <w:t>。</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类比同类污水处理厂（康乐县莲麓镇污水处理工程环境影响报告表），估算本污水处理厂的恶臭污染物排放量，见表52。</w:t>
            </w:r>
          </w:p>
          <w:p>
            <w:pPr>
              <w:adjustRightInd w:val="0"/>
              <w:snapToGrid w:val="0"/>
              <w:spacing w:line="360" w:lineRule="auto"/>
              <w:ind w:firstLine="482" w:firstLineChars="200"/>
              <w:jc w:val="center"/>
              <w:rPr>
                <w:rFonts w:eastAsiaTheme="minorEastAsia"/>
                <w:b/>
                <w:color w:val="auto"/>
                <w:sz w:val="24"/>
              </w:rPr>
            </w:pPr>
            <w:r>
              <w:rPr>
                <w:rFonts w:eastAsiaTheme="minorEastAsia"/>
                <w:b/>
                <w:color w:val="auto"/>
                <w:sz w:val="24"/>
              </w:rPr>
              <w:t>表52类比污水处理厂各恶臭污染物单位面积排放量</w:t>
            </w:r>
          </w:p>
          <w:tbl>
            <w:tblPr>
              <w:tblStyle w:val="38"/>
              <w:tblW w:w="8357"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589"/>
              <w:gridCol w:w="2384"/>
              <w:gridCol w:w="2384"/>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9" w:hRule="atLeast"/>
                <w:jc w:val="center"/>
              </w:trPr>
              <w:tc>
                <w:tcPr>
                  <w:tcW w:w="3589" w:type="dxa"/>
                  <w:vAlign w:val="center"/>
                </w:tcPr>
                <w:p>
                  <w:pPr>
                    <w:adjustRightInd w:val="0"/>
                    <w:snapToGrid w:val="0"/>
                    <w:spacing w:line="360" w:lineRule="auto"/>
                    <w:jc w:val="center"/>
                    <w:rPr>
                      <w:rFonts w:eastAsiaTheme="minorEastAsia"/>
                      <w:b/>
                      <w:color w:val="auto"/>
                      <w:szCs w:val="21"/>
                    </w:rPr>
                  </w:pPr>
                  <w:r>
                    <w:rPr>
                      <w:rFonts w:eastAsiaTheme="minorEastAsia"/>
                      <w:b/>
                      <w:color w:val="auto"/>
                      <w:szCs w:val="21"/>
                    </w:rPr>
                    <w:t>建（构）筑物名称</w:t>
                  </w:r>
                </w:p>
              </w:tc>
              <w:tc>
                <w:tcPr>
                  <w:tcW w:w="2384" w:type="dxa"/>
                  <w:vAlign w:val="center"/>
                </w:tcPr>
                <w:p>
                  <w:pPr>
                    <w:adjustRightInd w:val="0"/>
                    <w:snapToGrid w:val="0"/>
                    <w:spacing w:line="360" w:lineRule="auto"/>
                    <w:jc w:val="center"/>
                    <w:rPr>
                      <w:rFonts w:eastAsiaTheme="minorEastAsia"/>
                      <w:b/>
                      <w:color w:val="auto"/>
                      <w:szCs w:val="21"/>
                    </w:rPr>
                  </w:pPr>
                  <w:r>
                    <w:rPr>
                      <w:rFonts w:eastAsiaTheme="minorEastAsia"/>
                      <w:b/>
                      <w:color w:val="auto"/>
                      <w:szCs w:val="21"/>
                    </w:rPr>
                    <w:t>NH</w:t>
                  </w:r>
                  <w:r>
                    <w:rPr>
                      <w:rFonts w:eastAsiaTheme="minorEastAsia"/>
                      <w:b/>
                      <w:color w:val="auto"/>
                      <w:szCs w:val="21"/>
                      <w:vertAlign w:val="subscript"/>
                    </w:rPr>
                    <w:t>3</w:t>
                  </w:r>
                  <w:r>
                    <w:rPr>
                      <w:rFonts w:eastAsiaTheme="minorEastAsia"/>
                      <w:b/>
                      <w:color w:val="auto"/>
                      <w:szCs w:val="21"/>
                    </w:rPr>
                    <w:t>-N（mg/m</w:t>
                  </w:r>
                  <w:r>
                    <w:rPr>
                      <w:rFonts w:eastAsiaTheme="minorEastAsia"/>
                      <w:b/>
                      <w:color w:val="auto"/>
                      <w:szCs w:val="21"/>
                      <w:vertAlign w:val="superscript"/>
                    </w:rPr>
                    <w:t>2</w:t>
                  </w:r>
                  <w:r>
                    <w:rPr>
                      <w:rFonts w:eastAsiaTheme="minorEastAsia"/>
                      <w:b/>
                      <w:color w:val="auto"/>
                      <w:szCs w:val="21"/>
                    </w:rPr>
                    <w:t>.s）</w:t>
                  </w:r>
                </w:p>
              </w:tc>
              <w:tc>
                <w:tcPr>
                  <w:tcW w:w="2384" w:type="dxa"/>
                  <w:vAlign w:val="center"/>
                </w:tcPr>
                <w:p>
                  <w:pPr>
                    <w:adjustRightInd w:val="0"/>
                    <w:snapToGrid w:val="0"/>
                    <w:spacing w:line="360" w:lineRule="auto"/>
                    <w:jc w:val="center"/>
                    <w:rPr>
                      <w:rFonts w:eastAsiaTheme="minorEastAsia"/>
                      <w:b/>
                      <w:color w:val="auto"/>
                      <w:szCs w:val="21"/>
                    </w:rPr>
                  </w:pPr>
                  <w:r>
                    <w:rPr>
                      <w:rFonts w:eastAsiaTheme="minorEastAsia"/>
                      <w:b/>
                      <w:color w:val="auto"/>
                      <w:szCs w:val="21"/>
                    </w:rPr>
                    <w:t>H</w:t>
                  </w:r>
                  <w:r>
                    <w:rPr>
                      <w:rFonts w:eastAsiaTheme="minorEastAsia"/>
                      <w:b/>
                      <w:color w:val="auto"/>
                      <w:szCs w:val="21"/>
                      <w:vertAlign w:val="subscript"/>
                    </w:rPr>
                    <w:t>2</w:t>
                  </w:r>
                  <w:r>
                    <w:rPr>
                      <w:rFonts w:eastAsiaTheme="minorEastAsia"/>
                      <w:b/>
                      <w:color w:val="auto"/>
                      <w:szCs w:val="21"/>
                    </w:rPr>
                    <w:t>S（mg/m</w:t>
                  </w:r>
                  <w:r>
                    <w:rPr>
                      <w:rFonts w:eastAsiaTheme="minorEastAsia"/>
                      <w:b/>
                      <w:color w:val="auto"/>
                      <w:szCs w:val="21"/>
                      <w:vertAlign w:val="superscript"/>
                    </w:rPr>
                    <w:t>2</w:t>
                  </w:r>
                  <w:r>
                    <w:rPr>
                      <w:rFonts w:eastAsiaTheme="minorEastAsia"/>
                      <w:b/>
                      <w:color w:val="auto"/>
                      <w:szCs w:val="21"/>
                    </w:rPr>
                    <w:t>.s）</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9" w:hRule="atLeast"/>
                <w:jc w:val="center"/>
              </w:trPr>
              <w:tc>
                <w:tcPr>
                  <w:tcW w:w="3589" w:type="dxa"/>
                  <w:vAlign w:val="center"/>
                </w:tcPr>
                <w:p>
                  <w:pPr>
                    <w:adjustRightInd w:val="0"/>
                    <w:snapToGrid w:val="0"/>
                    <w:spacing w:line="360" w:lineRule="auto"/>
                    <w:jc w:val="center"/>
                    <w:rPr>
                      <w:rFonts w:eastAsiaTheme="minorEastAsia"/>
                      <w:color w:val="auto"/>
                      <w:szCs w:val="21"/>
                    </w:rPr>
                  </w:pPr>
                  <w:r>
                    <w:rPr>
                      <w:rFonts w:eastAsiaTheme="minorEastAsia"/>
                      <w:color w:val="auto"/>
                      <w:szCs w:val="21"/>
                    </w:rPr>
                    <w:t>格栅及沉砂池</w:t>
                  </w:r>
                </w:p>
              </w:tc>
              <w:tc>
                <w:tcPr>
                  <w:tcW w:w="2384" w:type="dxa"/>
                  <w:vAlign w:val="center"/>
                </w:tcPr>
                <w:p>
                  <w:pPr>
                    <w:adjustRightInd w:val="0"/>
                    <w:snapToGrid w:val="0"/>
                    <w:spacing w:line="360" w:lineRule="auto"/>
                    <w:jc w:val="center"/>
                    <w:rPr>
                      <w:rFonts w:eastAsiaTheme="minorEastAsia"/>
                      <w:color w:val="auto"/>
                      <w:szCs w:val="21"/>
                    </w:rPr>
                  </w:pPr>
                  <w:r>
                    <w:rPr>
                      <w:rFonts w:eastAsiaTheme="minorEastAsia"/>
                      <w:color w:val="auto"/>
                      <w:szCs w:val="21"/>
                    </w:rPr>
                    <w:t>0.103</w:t>
                  </w:r>
                </w:p>
              </w:tc>
              <w:tc>
                <w:tcPr>
                  <w:tcW w:w="2384" w:type="dxa"/>
                  <w:vAlign w:val="center"/>
                </w:tcPr>
                <w:p>
                  <w:pPr>
                    <w:adjustRightInd w:val="0"/>
                    <w:snapToGrid w:val="0"/>
                    <w:spacing w:line="360" w:lineRule="auto"/>
                    <w:jc w:val="center"/>
                    <w:rPr>
                      <w:rFonts w:eastAsiaTheme="minorEastAsia"/>
                      <w:color w:val="auto"/>
                      <w:szCs w:val="21"/>
                    </w:rPr>
                  </w:pPr>
                  <w:r>
                    <w:rPr>
                      <w:rFonts w:eastAsiaTheme="minorEastAsia"/>
                      <w:color w:val="auto"/>
                      <w:szCs w:val="21"/>
                    </w:rPr>
                    <w:t>1.09×10</w:t>
                  </w:r>
                  <w:r>
                    <w:rPr>
                      <w:rFonts w:eastAsiaTheme="minorEastAsia"/>
                      <w:color w:val="auto"/>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9" w:hRule="atLeast"/>
                <w:jc w:val="center"/>
              </w:trPr>
              <w:tc>
                <w:tcPr>
                  <w:tcW w:w="3589" w:type="dxa"/>
                  <w:vAlign w:val="center"/>
                </w:tcPr>
                <w:p>
                  <w:pPr>
                    <w:adjustRightInd w:val="0"/>
                    <w:snapToGrid w:val="0"/>
                    <w:spacing w:line="360" w:lineRule="auto"/>
                    <w:jc w:val="center"/>
                    <w:rPr>
                      <w:rFonts w:eastAsiaTheme="minorEastAsia"/>
                      <w:color w:val="auto"/>
                      <w:szCs w:val="21"/>
                    </w:rPr>
                  </w:pPr>
                  <w:r>
                    <w:rPr>
                      <w:rFonts w:eastAsiaTheme="minorEastAsia"/>
                      <w:color w:val="auto"/>
                      <w:szCs w:val="21"/>
                    </w:rPr>
                    <w:t>生物反应池</w:t>
                  </w:r>
                </w:p>
              </w:tc>
              <w:tc>
                <w:tcPr>
                  <w:tcW w:w="2384" w:type="dxa"/>
                  <w:vAlign w:val="center"/>
                </w:tcPr>
                <w:p>
                  <w:pPr>
                    <w:adjustRightInd w:val="0"/>
                    <w:snapToGrid w:val="0"/>
                    <w:spacing w:line="360" w:lineRule="auto"/>
                    <w:jc w:val="center"/>
                    <w:rPr>
                      <w:rFonts w:eastAsiaTheme="minorEastAsia"/>
                      <w:color w:val="auto"/>
                      <w:szCs w:val="21"/>
                    </w:rPr>
                  </w:pPr>
                  <w:r>
                    <w:rPr>
                      <w:rFonts w:eastAsiaTheme="minorEastAsia"/>
                      <w:color w:val="auto"/>
                      <w:szCs w:val="21"/>
                    </w:rPr>
                    <w:t>0.005</w:t>
                  </w:r>
                </w:p>
              </w:tc>
              <w:tc>
                <w:tcPr>
                  <w:tcW w:w="2384" w:type="dxa"/>
                  <w:vAlign w:val="center"/>
                </w:tcPr>
                <w:p>
                  <w:pPr>
                    <w:adjustRightInd w:val="0"/>
                    <w:snapToGrid w:val="0"/>
                    <w:spacing w:line="360" w:lineRule="auto"/>
                    <w:jc w:val="center"/>
                    <w:rPr>
                      <w:rFonts w:eastAsiaTheme="minorEastAsia"/>
                      <w:color w:val="auto"/>
                      <w:szCs w:val="21"/>
                    </w:rPr>
                  </w:pPr>
                  <w:r>
                    <w:rPr>
                      <w:rFonts w:eastAsiaTheme="minorEastAsia"/>
                      <w:color w:val="auto"/>
                      <w:szCs w:val="21"/>
                    </w:rPr>
                    <w:t>0.262×10</w:t>
                  </w:r>
                  <w:r>
                    <w:rPr>
                      <w:rFonts w:eastAsiaTheme="minorEastAsia"/>
                      <w:color w:val="auto"/>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9" w:hRule="atLeast"/>
                <w:jc w:val="center"/>
              </w:trPr>
              <w:tc>
                <w:tcPr>
                  <w:tcW w:w="3589" w:type="dxa"/>
                  <w:vAlign w:val="center"/>
                </w:tcPr>
                <w:p>
                  <w:pPr>
                    <w:adjustRightInd w:val="0"/>
                    <w:snapToGrid w:val="0"/>
                    <w:spacing w:line="360" w:lineRule="auto"/>
                    <w:jc w:val="center"/>
                    <w:rPr>
                      <w:rFonts w:eastAsiaTheme="minorEastAsia"/>
                      <w:color w:val="auto"/>
                      <w:szCs w:val="21"/>
                    </w:rPr>
                  </w:pPr>
                  <w:r>
                    <w:rPr>
                      <w:rFonts w:eastAsiaTheme="minorEastAsia"/>
                      <w:color w:val="auto"/>
                      <w:szCs w:val="21"/>
                    </w:rPr>
                    <w:t>污泥处理单元</w:t>
                  </w:r>
                </w:p>
              </w:tc>
              <w:tc>
                <w:tcPr>
                  <w:tcW w:w="2384" w:type="dxa"/>
                  <w:vAlign w:val="center"/>
                </w:tcPr>
                <w:p>
                  <w:pPr>
                    <w:adjustRightInd w:val="0"/>
                    <w:snapToGrid w:val="0"/>
                    <w:spacing w:line="360" w:lineRule="auto"/>
                    <w:jc w:val="center"/>
                    <w:rPr>
                      <w:rFonts w:eastAsiaTheme="minorEastAsia"/>
                      <w:color w:val="auto"/>
                      <w:szCs w:val="21"/>
                    </w:rPr>
                  </w:pPr>
                  <w:r>
                    <w:rPr>
                      <w:rFonts w:eastAsiaTheme="minorEastAsia"/>
                      <w:color w:val="auto"/>
                      <w:szCs w:val="21"/>
                    </w:rPr>
                    <w:t>0.015</w:t>
                  </w:r>
                </w:p>
              </w:tc>
              <w:tc>
                <w:tcPr>
                  <w:tcW w:w="2384" w:type="dxa"/>
                  <w:vAlign w:val="center"/>
                </w:tcPr>
                <w:p>
                  <w:pPr>
                    <w:adjustRightInd w:val="0"/>
                    <w:snapToGrid w:val="0"/>
                    <w:spacing w:line="360" w:lineRule="auto"/>
                    <w:jc w:val="center"/>
                    <w:rPr>
                      <w:rFonts w:eastAsiaTheme="minorEastAsia"/>
                      <w:color w:val="auto"/>
                      <w:szCs w:val="21"/>
                    </w:rPr>
                  </w:pPr>
                  <w:r>
                    <w:rPr>
                      <w:rFonts w:eastAsiaTheme="minorEastAsia"/>
                      <w:color w:val="auto"/>
                      <w:szCs w:val="21"/>
                    </w:rPr>
                    <w:t>0.03×10</w:t>
                  </w:r>
                  <w:r>
                    <w:rPr>
                      <w:rFonts w:eastAsiaTheme="minorEastAsia"/>
                      <w:color w:val="auto"/>
                      <w:szCs w:val="21"/>
                      <w:vertAlign w:val="superscript"/>
                    </w:rPr>
                    <w:t>-3</w:t>
                  </w:r>
                </w:p>
              </w:tc>
            </w:tr>
          </w:tbl>
          <w:p>
            <w:pPr>
              <w:adjustRightInd w:val="0"/>
              <w:snapToGrid w:val="0"/>
              <w:spacing w:line="360" w:lineRule="auto"/>
              <w:ind w:firstLine="480" w:firstLineChars="200"/>
              <w:rPr>
                <w:rFonts w:eastAsiaTheme="minorEastAsia"/>
                <w:color w:val="auto"/>
                <w:sz w:val="24"/>
              </w:rPr>
            </w:pPr>
            <w:r>
              <w:rPr>
                <w:rFonts w:eastAsiaTheme="minorEastAsia"/>
                <w:color w:val="auto"/>
                <w:sz w:val="24"/>
              </w:rPr>
              <w:t>其中预处理池及格栅池参照格栅及沉沙池的源强系数，调节池参照生物反应池的源强系数，一体化污水处理设备参照污泥处理单元的源强系数，具体见表53。</w:t>
            </w:r>
          </w:p>
          <w:p>
            <w:pPr>
              <w:adjustRightInd w:val="0"/>
              <w:snapToGrid w:val="0"/>
              <w:spacing w:line="360" w:lineRule="auto"/>
              <w:ind w:firstLine="482" w:firstLineChars="200"/>
              <w:jc w:val="center"/>
              <w:rPr>
                <w:rFonts w:eastAsiaTheme="minorEastAsia"/>
                <w:b/>
                <w:color w:val="auto"/>
                <w:sz w:val="24"/>
              </w:rPr>
            </w:pPr>
            <w:r>
              <w:rPr>
                <w:rFonts w:eastAsiaTheme="minorEastAsia"/>
                <w:b/>
                <w:color w:val="auto"/>
                <w:sz w:val="24"/>
              </w:rPr>
              <w:t>表53本工程恶臭污染物源强</w:t>
            </w:r>
          </w:p>
          <w:tbl>
            <w:tblPr>
              <w:tblStyle w:val="38"/>
              <w:tblW w:w="8732"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74"/>
              <w:gridCol w:w="1364"/>
              <w:gridCol w:w="1006"/>
              <w:gridCol w:w="1038"/>
              <w:gridCol w:w="1778"/>
              <w:gridCol w:w="1372"/>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2174" w:type="dxa"/>
                  <w:vMerge w:val="restart"/>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建（构）筑物名称</w:t>
                  </w:r>
                </w:p>
              </w:tc>
              <w:tc>
                <w:tcPr>
                  <w:tcW w:w="1364" w:type="dxa"/>
                  <w:vMerge w:val="restart"/>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面积（m</w:t>
                  </w:r>
                  <w:r>
                    <w:rPr>
                      <w:rFonts w:eastAsiaTheme="minorEastAsia"/>
                      <w:color w:val="auto"/>
                      <w:sz w:val="24"/>
                      <w:vertAlign w:val="superscript"/>
                    </w:rPr>
                    <w:t>2</w:t>
                  </w:r>
                  <w:r>
                    <w:rPr>
                      <w:rFonts w:eastAsiaTheme="minorEastAsia"/>
                      <w:color w:val="auto"/>
                      <w:sz w:val="24"/>
                    </w:rPr>
                    <w:t>）</w:t>
                  </w:r>
                </w:p>
              </w:tc>
              <w:tc>
                <w:tcPr>
                  <w:tcW w:w="2044" w:type="dxa"/>
                  <w:gridSpan w:val="2"/>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NH</w:t>
                  </w:r>
                  <w:r>
                    <w:rPr>
                      <w:rFonts w:eastAsiaTheme="minorEastAsia"/>
                      <w:color w:val="auto"/>
                      <w:sz w:val="24"/>
                      <w:vertAlign w:val="subscript"/>
                    </w:rPr>
                    <w:t>3</w:t>
                  </w:r>
                  <w:r>
                    <w:rPr>
                      <w:rFonts w:eastAsiaTheme="minorEastAsia"/>
                      <w:color w:val="auto"/>
                      <w:sz w:val="24"/>
                    </w:rPr>
                    <w:t>-N</w:t>
                  </w:r>
                </w:p>
              </w:tc>
              <w:tc>
                <w:tcPr>
                  <w:tcW w:w="3150" w:type="dxa"/>
                  <w:gridSpan w:val="2"/>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H</w:t>
                  </w:r>
                  <w:r>
                    <w:rPr>
                      <w:rFonts w:eastAsiaTheme="minorEastAsia"/>
                      <w:color w:val="auto"/>
                      <w:sz w:val="24"/>
                      <w:vertAlign w:val="subscript"/>
                    </w:rPr>
                    <w:t>2</w:t>
                  </w:r>
                  <w:r>
                    <w:rPr>
                      <w:rFonts w:eastAsiaTheme="minorEastAsia"/>
                      <w:color w:val="auto"/>
                      <w:sz w:val="24"/>
                    </w:rPr>
                    <w:t>S</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2174" w:type="dxa"/>
                  <w:vMerge w:val="continue"/>
                  <w:vAlign w:val="center"/>
                </w:tcPr>
                <w:p>
                  <w:pPr>
                    <w:adjustRightInd w:val="0"/>
                    <w:snapToGrid w:val="0"/>
                    <w:spacing w:line="240" w:lineRule="atLeast"/>
                    <w:jc w:val="center"/>
                    <w:rPr>
                      <w:rFonts w:eastAsiaTheme="minorEastAsia"/>
                      <w:color w:val="auto"/>
                      <w:sz w:val="24"/>
                    </w:rPr>
                  </w:pPr>
                </w:p>
              </w:tc>
              <w:tc>
                <w:tcPr>
                  <w:tcW w:w="1364" w:type="dxa"/>
                  <w:vMerge w:val="continue"/>
                  <w:vAlign w:val="center"/>
                </w:tcPr>
                <w:p>
                  <w:pPr>
                    <w:adjustRightInd w:val="0"/>
                    <w:snapToGrid w:val="0"/>
                    <w:spacing w:line="240" w:lineRule="atLeast"/>
                    <w:jc w:val="center"/>
                    <w:rPr>
                      <w:rFonts w:eastAsiaTheme="minorEastAsia"/>
                      <w:color w:val="auto"/>
                      <w:sz w:val="24"/>
                    </w:rPr>
                  </w:pPr>
                </w:p>
              </w:tc>
              <w:tc>
                <w:tcPr>
                  <w:tcW w:w="1006"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kg/h</w:t>
                  </w:r>
                </w:p>
              </w:tc>
              <w:tc>
                <w:tcPr>
                  <w:tcW w:w="1038"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t/a</w:t>
                  </w:r>
                </w:p>
              </w:tc>
              <w:tc>
                <w:tcPr>
                  <w:tcW w:w="1778"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kg/h</w:t>
                  </w:r>
                </w:p>
              </w:tc>
              <w:tc>
                <w:tcPr>
                  <w:tcW w:w="1372"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t/a</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2174"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预处理池</w:t>
                  </w:r>
                </w:p>
              </w:tc>
              <w:tc>
                <w:tcPr>
                  <w:tcW w:w="1364"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80</w:t>
                  </w:r>
                </w:p>
              </w:tc>
              <w:tc>
                <w:tcPr>
                  <w:tcW w:w="1006"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0.0297</w:t>
                  </w:r>
                </w:p>
              </w:tc>
              <w:tc>
                <w:tcPr>
                  <w:tcW w:w="1038"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0.26</w:t>
                  </w:r>
                </w:p>
              </w:tc>
              <w:tc>
                <w:tcPr>
                  <w:tcW w:w="1778"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0.314×10</w:t>
                  </w:r>
                  <w:r>
                    <w:rPr>
                      <w:rFonts w:eastAsiaTheme="minorEastAsia"/>
                      <w:color w:val="auto"/>
                      <w:sz w:val="24"/>
                      <w:vertAlign w:val="superscript"/>
                    </w:rPr>
                    <w:t>-3</w:t>
                  </w:r>
                </w:p>
              </w:tc>
              <w:tc>
                <w:tcPr>
                  <w:tcW w:w="1372"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2.75×10</w:t>
                  </w:r>
                  <w:r>
                    <w:rPr>
                      <w:rFonts w:eastAsiaTheme="minorEastAsia"/>
                      <w:color w:val="auto"/>
                      <w:sz w:val="24"/>
                      <w:vertAlign w:val="superscript"/>
                    </w:rPr>
                    <w:t>-3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2174"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格栅池</w:t>
                  </w:r>
                </w:p>
              </w:tc>
              <w:tc>
                <w:tcPr>
                  <w:tcW w:w="1364"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73.6</w:t>
                  </w:r>
                </w:p>
              </w:tc>
              <w:tc>
                <w:tcPr>
                  <w:tcW w:w="1006"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0.0273</w:t>
                  </w:r>
                </w:p>
              </w:tc>
              <w:tc>
                <w:tcPr>
                  <w:tcW w:w="1038"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0.239</w:t>
                  </w:r>
                </w:p>
              </w:tc>
              <w:tc>
                <w:tcPr>
                  <w:tcW w:w="1778"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0.289×10</w:t>
                  </w:r>
                  <w:r>
                    <w:rPr>
                      <w:rFonts w:eastAsiaTheme="minorEastAsia"/>
                      <w:color w:val="auto"/>
                      <w:sz w:val="24"/>
                      <w:vertAlign w:val="superscript"/>
                    </w:rPr>
                    <w:t>-3</w:t>
                  </w:r>
                </w:p>
              </w:tc>
              <w:tc>
                <w:tcPr>
                  <w:tcW w:w="1372"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2.53×10</w:t>
                  </w:r>
                  <w:r>
                    <w:rPr>
                      <w:rFonts w:eastAsiaTheme="minorEastAsia"/>
                      <w:color w:val="auto"/>
                      <w:sz w:val="24"/>
                      <w:vertAlign w:val="superscript"/>
                    </w:rPr>
                    <w:t>-3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2174"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调节池</w:t>
                  </w:r>
                </w:p>
              </w:tc>
              <w:tc>
                <w:tcPr>
                  <w:tcW w:w="1364"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256</w:t>
                  </w:r>
                </w:p>
              </w:tc>
              <w:tc>
                <w:tcPr>
                  <w:tcW w:w="1006"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0.005</w:t>
                  </w:r>
                </w:p>
              </w:tc>
              <w:tc>
                <w:tcPr>
                  <w:tcW w:w="1038"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0.04</w:t>
                  </w:r>
                </w:p>
              </w:tc>
              <w:tc>
                <w:tcPr>
                  <w:tcW w:w="1778"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0.241×10</w:t>
                  </w:r>
                  <w:r>
                    <w:rPr>
                      <w:rFonts w:eastAsiaTheme="minorEastAsia"/>
                      <w:color w:val="auto"/>
                      <w:sz w:val="24"/>
                      <w:vertAlign w:val="superscript"/>
                    </w:rPr>
                    <w:t>-3</w:t>
                  </w:r>
                </w:p>
              </w:tc>
              <w:tc>
                <w:tcPr>
                  <w:tcW w:w="1372"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2.115×10</w:t>
                  </w:r>
                  <w:r>
                    <w:rPr>
                      <w:rFonts w:eastAsiaTheme="minorEastAsia"/>
                      <w:color w:val="auto"/>
                      <w:sz w:val="24"/>
                      <w:vertAlign w:val="superscript"/>
                    </w:rPr>
                    <w:t>-3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2174"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一体化污水处理设备</w:t>
                  </w:r>
                </w:p>
              </w:tc>
              <w:tc>
                <w:tcPr>
                  <w:tcW w:w="1364"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228.8</w:t>
                  </w:r>
                </w:p>
              </w:tc>
              <w:tc>
                <w:tcPr>
                  <w:tcW w:w="1006"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0.0123</w:t>
                  </w:r>
                </w:p>
              </w:tc>
              <w:tc>
                <w:tcPr>
                  <w:tcW w:w="1038"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0.108</w:t>
                  </w:r>
                </w:p>
              </w:tc>
              <w:tc>
                <w:tcPr>
                  <w:tcW w:w="1778"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0.0247×10</w:t>
                  </w:r>
                  <w:r>
                    <w:rPr>
                      <w:rFonts w:eastAsiaTheme="minorEastAsia"/>
                      <w:color w:val="auto"/>
                      <w:sz w:val="24"/>
                      <w:vertAlign w:val="superscript"/>
                    </w:rPr>
                    <w:t>-3</w:t>
                  </w:r>
                </w:p>
              </w:tc>
              <w:tc>
                <w:tcPr>
                  <w:tcW w:w="1372"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0.216×10</w:t>
                  </w:r>
                  <w:r>
                    <w:rPr>
                      <w:rFonts w:eastAsiaTheme="minorEastAsia"/>
                      <w:color w:val="auto"/>
                      <w:sz w:val="24"/>
                      <w:vertAlign w:val="superscript"/>
                    </w:rPr>
                    <w:t>-3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jc w:val="center"/>
              </w:trPr>
              <w:tc>
                <w:tcPr>
                  <w:tcW w:w="2174"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合计</w:t>
                  </w:r>
                </w:p>
              </w:tc>
              <w:tc>
                <w:tcPr>
                  <w:tcW w:w="1364"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638.4</w:t>
                  </w:r>
                </w:p>
              </w:tc>
              <w:tc>
                <w:tcPr>
                  <w:tcW w:w="1006"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0.0739</w:t>
                  </w:r>
                </w:p>
              </w:tc>
              <w:tc>
                <w:tcPr>
                  <w:tcW w:w="1038"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0.647</w:t>
                  </w:r>
                </w:p>
              </w:tc>
              <w:tc>
                <w:tcPr>
                  <w:tcW w:w="1778"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0.869×10</w:t>
                  </w:r>
                  <w:r>
                    <w:rPr>
                      <w:rFonts w:eastAsiaTheme="minorEastAsia"/>
                      <w:color w:val="auto"/>
                      <w:sz w:val="24"/>
                      <w:vertAlign w:val="superscript"/>
                    </w:rPr>
                    <w:t>-3</w:t>
                  </w:r>
                </w:p>
              </w:tc>
              <w:tc>
                <w:tcPr>
                  <w:tcW w:w="1372" w:type="dxa"/>
                  <w:vAlign w:val="center"/>
                </w:tcPr>
                <w:p>
                  <w:pPr>
                    <w:adjustRightInd w:val="0"/>
                    <w:snapToGrid w:val="0"/>
                    <w:spacing w:line="240" w:lineRule="atLeast"/>
                    <w:jc w:val="center"/>
                    <w:rPr>
                      <w:rFonts w:eastAsiaTheme="minorEastAsia"/>
                      <w:color w:val="auto"/>
                      <w:sz w:val="24"/>
                    </w:rPr>
                  </w:pPr>
                  <w:r>
                    <w:rPr>
                      <w:rFonts w:eastAsiaTheme="minorEastAsia"/>
                      <w:color w:val="auto"/>
                      <w:sz w:val="24"/>
                    </w:rPr>
                    <w:t>7.611×10</w:t>
                  </w:r>
                  <w:r>
                    <w:rPr>
                      <w:rFonts w:eastAsiaTheme="minorEastAsia"/>
                      <w:color w:val="auto"/>
                      <w:sz w:val="24"/>
                      <w:vertAlign w:val="superscript"/>
                    </w:rPr>
                    <w:t>-3</w:t>
                  </w:r>
                </w:p>
              </w:tc>
            </w:tr>
          </w:tbl>
          <w:p>
            <w:pPr>
              <w:adjustRightInd w:val="0"/>
              <w:snapToGrid w:val="0"/>
              <w:spacing w:line="360" w:lineRule="auto"/>
              <w:ind w:firstLine="480" w:firstLineChars="200"/>
              <w:rPr>
                <w:rFonts w:eastAsiaTheme="minorEastAsia"/>
                <w:color w:val="auto"/>
                <w:sz w:val="32"/>
              </w:rPr>
            </w:pPr>
            <w:r>
              <w:rPr>
                <w:rFonts w:eastAsiaTheme="minorEastAsia"/>
                <w:color w:val="auto"/>
                <w:sz w:val="24"/>
              </w:rPr>
              <w:t>由此可计算得本工程恶臭污染物源强NH</w:t>
            </w:r>
            <w:r>
              <w:rPr>
                <w:rFonts w:eastAsiaTheme="minorEastAsia"/>
                <w:color w:val="auto"/>
                <w:sz w:val="24"/>
                <w:vertAlign w:val="subscript"/>
              </w:rPr>
              <w:t>3</w:t>
            </w:r>
            <w:r>
              <w:rPr>
                <w:rFonts w:eastAsiaTheme="minorEastAsia"/>
                <w:color w:val="auto"/>
                <w:sz w:val="24"/>
              </w:rPr>
              <w:t>和H</w:t>
            </w:r>
            <w:r>
              <w:rPr>
                <w:rFonts w:eastAsiaTheme="minorEastAsia"/>
                <w:color w:val="auto"/>
                <w:sz w:val="24"/>
                <w:vertAlign w:val="subscript"/>
              </w:rPr>
              <w:t>2</w:t>
            </w:r>
            <w:r>
              <w:rPr>
                <w:rFonts w:eastAsiaTheme="minorEastAsia"/>
                <w:color w:val="auto"/>
                <w:sz w:val="24"/>
              </w:rPr>
              <w:t>S产生量分别为0.647t/a和7.611×10</w:t>
            </w:r>
            <w:r>
              <w:rPr>
                <w:rFonts w:eastAsiaTheme="minorEastAsia"/>
                <w:color w:val="auto"/>
                <w:sz w:val="24"/>
                <w:vertAlign w:val="superscript"/>
              </w:rPr>
              <w:t>-3</w:t>
            </w:r>
            <w:r>
              <w:rPr>
                <w:rFonts w:eastAsiaTheme="minorEastAsia"/>
                <w:color w:val="auto"/>
                <w:sz w:val="24"/>
              </w:rPr>
              <w:t>t/a。</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本工程中除储泥池及污泥脱水机房高出地面，其他构筑物均为地埋式，有效的减少了臭气对厂区的影响，对于储泥池，池顶采用玻璃钢盖板密封，污泥脱水机房和设备间产生臭气的设备采用全封闭式设计，定期喷洒除臭剂，同时本工程对厂区进行绿化，改善臭气对环境影响。预计项目设备采用全封闭式设计，定期喷洒除臭剂，以及绿化对臭气的消除率为90%。</w:t>
            </w:r>
          </w:p>
          <w:p>
            <w:pPr>
              <w:adjustRightInd w:val="0"/>
              <w:snapToGrid w:val="0"/>
              <w:spacing w:line="360" w:lineRule="auto"/>
              <w:ind w:firstLine="480" w:firstLineChars="200"/>
              <w:rPr>
                <w:rFonts w:eastAsiaTheme="minorEastAsia"/>
                <w:color w:val="auto"/>
                <w:sz w:val="24"/>
              </w:rPr>
            </w:pPr>
            <w:r>
              <w:rPr>
                <w:rFonts w:hint="eastAsia" w:ascii="宋体" w:hAnsi="宋体" w:cs="宋体"/>
                <w:bCs/>
                <w:color w:val="auto"/>
                <w:sz w:val="24"/>
              </w:rPr>
              <w:t>⑶</w:t>
            </w:r>
            <w:r>
              <w:rPr>
                <w:rFonts w:eastAsiaTheme="minorEastAsia"/>
                <w:bCs/>
                <w:color w:val="auto"/>
                <w:sz w:val="24"/>
              </w:rPr>
              <w:t>噪声</w:t>
            </w:r>
          </w:p>
          <w:p>
            <w:pPr>
              <w:tabs>
                <w:tab w:val="left" w:pos="6363"/>
              </w:tabs>
              <w:adjustRightInd w:val="0"/>
              <w:snapToGrid w:val="0"/>
              <w:spacing w:line="360" w:lineRule="auto"/>
              <w:ind w:firstLine="480" w:firstLineChars="200"/>
              <w:rPr>
                <w:rFonts w:eastAsiaTheme="minorEastAsia"/>
                <w:color w:val="auto"/>
                <w:sz w:val="24"/>
              </w:rPr>
            </w:pPr>
            <w:r>
              <w:rPr>
                <w:rFonts w:eastAsiaTheme="minorEastAsia"/>
                <w:color w:val="auto"/>
                <w:sz w:val="24"/>
              </w:rPr>
              <w:t>本工程营运期噪声主要为鼓风机、污水泵、污泥泵、板框压滤机等设备的运行噪声，其声源强度见表54。</w:t>
            </w:r>
          </w:p>
          <w:p>
            <w:pPr>
              <w:tabs>
                <w:tab w:val="left" w:pos="6363"/>
              </w:tabs>
              <w:adjustRightInd w:val="0"/>
              <w:snapToGrid w:val="0"/>
              <w:spacing w:line="360" w:lineRule="auto"/>
              <w:ind w:firstLine="482" w:firstLineChars="200"/>
              <w:jc w:val="center"/>
              <w:rPr>
                <w:rFonts w:eastAsiaTheme="minorEastAsia"/>
                <w:b/>
                <w:color w:val="auto"/>
                <w:sz w:val="24"/>
              </w:rPr>
            </w:pPr>
            <w:r>
              <w:rPr>
                <w:rFonts w:eastAsiaTheme="minorEastAsia"/>
                <w:b/>
                <w:color w:val="auto"/>
                <w:sz w:val="24"/>
              </w:rPr>
              <w:t>表54运营期间主要噪声源平均声级值</w:t>
            </w:r>
          </w:p>
          <w:tbl>
            <w:tblPr>
              <w:tblStyle w:val="38"/>
              <w:tblW w:w="8509" w:type="dxa"/>
              <w:jc w:val="center"/>
              <w:tblBorders>
                <w:top w:val="double" w:color="000000" w:sz="6" w:space="0"/>
                <w:left w:val="none" w:color="auto" w:sz="0" w:space="0"/>
                <w:bottom w:val="doub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96"/>
              <w:gridCol w:w="3394"/>
              <w:gridCol w:w="2243"/>
              <w:gridCol w:w="2176"/>
            </w:tblGrid>
            <w:tr>
              <w:tblPrEx>
                <w:tblBorders>
                  <w:top w:val="double" w:color="000000" w:sz="6" w:space="0"/>
                  <w:left w:val="none" w:color="auto" w:sz="0" w:space="0"/>
                  <w:bottom w:val="doub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696" w:type="dxa"/>
                  <w:vAlign w:val="center"/>
                </w:tcPr>
                <w:p>
                  <w:pPr>
                    <w:pStyle w:val="19"/>
                    <w:adjustRightInd w:val="0"/>
                    <w:snapToGrid w:val="0"/>
                    <w:rPr>
                      <w:rFonts w:ascii="Times New Roman" w:hAnsi="Times New Roman" w:cs="Times New Roman" w:eastAsiaTheme="minorEastAsia"/>
                      <w:b/>
                      <w:bCs/>
                      <w:caps/>
                      <w:color w:val="auto"/>
                    </w:rPr>
                  </w:pPr>
                  <w:r>
                    <w:rPr>
                      <w:rFonts w:ascii="Times New Roman" w:hAnsi="Times New Roman" w:cs="Times New Roman" w:eastAsiaTheme="minorEastAsia"/>
                      <w:b/>
                      <w:bCs/>
                      <w:caps/>
                      <w:color w:val="auto"/>
                    </w:rPr>
                    <w:t>序号</w:t>
                  </w:r>
                </w:p>
              </w:tc>
              <w:tc>
                <w:tcPr>
                  <w:tcW w:w="3394" w:type="dxa"/>
                  <w:vAlign w:val="center"/>
                </w:tcPr>
                <w:p>
                  <w:pPr>
                    <w:pStyle w:val="19"/>
                    <w:adjustRightInd w:val="0"/>
                    <w:snapToGrid w:val="0"/>
                    <w:ind w:firstLine="482"/>
                    <w:jc w:val="center"/>
                    <w:rPr>
                      <w:rFonts w:ascii="Times New Roman" w:hAnsi="Times New Roman" w:cs="Times New Roman" w:eastAsiaTheme="minorEastAsia"/>
                      <w:b/>
                      <w:bCs/>
                      <w:caps/>
                      <w:color w:val="auto"/>
                    </w:rPr>
                  </w:pPr>
                  <w:r>
                    <w:rPr>
                      <w:rFonts w:ascii="Times New Roman" w:hAnsi="Times New Roman" w:cs="Times New Roman" w:eastAsiaTheme="minorEastAsia"/>
                      <w:b/>
                      <w:bCs/>
                      <w:caps/>
                      <w:color w:val="auto"/>
                    </w:rPr>
                    <w:t>噪声源</w:t>
                  </w:r>
                </w:p>
              </w:tc>
              <w:tc>
                <w:tcPr>
                  <w:tcW w:w="2243" w:type="dxa"/>
                  <w:vAlign w:val="center"/>
                </w:tcPr>
                <w:p>
                  <w:pPr>
                    <w:pStyle w:val="19"/>
                    <w:adjustRightInd w:val="0"/>
                    <w:snapToGrid w:val="0"/>
                    <w:ind w:firstLine="482"/>
                    <w:jc w:val="center"/>
                    <w:rPr>
                      <w:rFonts w:ascii="Times New Roman" w:hAnsi="Times New Roman" w:cs="Times New Roman" w:eastAsiaTheme="minorEastAsia"/>
                      <w:b/>
                      <w:bCs/>
                      <w:caps/>
                      <w:color w:val="auto"/>
                    </w:rPr>
                  </w:pPr>
                  <w:r>
                    <w:rPr>
                      <w:rFonts w:ascii="Times New Roman" w:hAnsi="Times New Roman" w:cs="Times New Roman" w:eastAsiaTheme="minorEastAsia"/>
                      <w:b/>
                      <w:bCs/>
                      <w:caps/>
                      <w:color w:val="auto"/>
                    </w:rPr>
                    <w:t>设备</w:t>
                  </w:r>
                </w:p>
              </w:tc>
              <w:tc>
                <w:tcPr>
                  <w:tcW w:w="2176" w:type="dxa"/>
                  <w:vAlign w:val="center"/>
                </w:tcPr>
                <w:p>
                  <w:pPr>
                    <w:pStyle w:val="19"/>
                    <w:adjustRightInd w:val="0"/>
                    <w:snapToGrid w:val="0"/>
                    <w:ind w:firstLine="482"/>
                    <w:jc w:val="center"/>
                    <w:rPr>
                      <w:rFonts w:ascii="Times New Roman" w:hAnsi="Times New Roman" w:cs="Times New Roman" w:eastAsiaTheme="minorEastAsia"/>
                      <w:b/>
                      <w:bCs/>
                      <w:caps/>
                      <w:color w:val="auto"/>
                    </w:rPr>
                  </w:pPr>
                  <w:r>
                    <w:rPr>
                      <w:rFonts w:ascii="Times New Roman" w:hAnsi="Times New Roman" w:cs="Times New Roman" w:eastAsiaTheme="minorEastAsia"/>
                      <w:b/>
                      <w:bCs/>
                      <w:caps/>
                      <w:color w:val="auto"/>
                    </w:rPr>
                    <w:t>声级（</w:t>
                  </w:r>
                  <w:r>
                    <w:rPr>
                      <w:rFonts w:ascii="Times New Roman" w:hAnsi="Times New Roman" w:cs="Times New Roman" w:eastAsiaTheme="minorEastAsia"/>
                      <w:b/>
                      <w:color w:val="auto"/>
                    </w:rPr>
                    <w:t>dB（A）</w:t>
                  </w:r>
                  <w:r>
                    <w:rPr>
                      <w:rFonts w:ascii="Times New Roman" w:hAnsi="Times New Roman" w:cs="Times New Roman" w:eastAsiaTheme="minorEastAsia"/>
                      <w:b/>
                      <w:bCs/>
                      <w:caps/>
                      <w:color w:val="auto"/>
                    </w:rPr>
                    <w:t>）</w:t>
                  </w:r>
                </w:p>
              </w:tc>
            </w:tr>
            <w:tr>
              <w:tblPrEx>
                <w:tblBorders>
                  <w:top w:val="double" w:color="000000" w:sz="6" w:space="0"/>
                  <w:left w:val="none" w:color="auto" w:sz="0" w:space="0"/>
                  <w:bottom w:val="doub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696" w:type="dxa"/>
                  <w:vAlign w:val="center"/>
                </w:tcPr>
                <w:p>
                  <w:pPr>
                    <w:pStyle w:val="19"/>
                    <w:adjustRightInd w:val="0"/>
                    <w:snapToGrid w:val="0"/>
                    <w:jc w:val="center"/>
                    <w:rPr>
                      <w:rFonts w:ascii="Times New Roman" w:hAnsi="Times New Roman" w:cs="Times New Roman" w:eastAsiaTheme="minorEastAsia"/>
                      <w:color w:val="auto"/>
                    </w:rPr>
                  </w:pPr>
                  <w:r>
                    <w:rPr>
                      <w:rFonts w:ascii="Times New Roman" w:hAnsi="Times New Roman" w:cs="Times New Roman" w:eastAsiaTheme="minorEastAsia"/>
                      <w:color w:val="auto"/>
                    </w:rPr>
                    <w:t>1</w:t>
                  </w:r>
                </w:p>
              </w:tc>
              <w:tc>
                <w:tcPr>
                  <w:tcW w:w="3394" w:type="dxa"/>
                  <w:vAlign w:val="center"/>
                </w:tcPr>
                <w:p>
                  <w:pPr>
                    <w:pStyle w:val="19"/>
                    <w:adjustRightInd w:val="0"/>
                    <w:snapToGrid w:val="0"/>
                    <w:jc w:val="center"/>
                    <w:rPr>
                      <w:rFonts w:ascii="Times New Roman" w:hAnsi="Times New Roman" w:cs="Times New Roman" w:eastAsiaTheme="minorEastAsia"/>
                      <w:color w:val="auto"/>
                    </w:rPr>
                  </w:pPr>
                  <w:r>
                    <w:rPr>
                      <w:rFonts w:ascii="Times New Roman" w:hAnsi="Times New Roman" w:cs="Times New Roman" w:eastAsiaTheme="minorEastAsia"/>
                      <w:color w:val="auto"/>
                    </w:rPr>
                    <w:t>提升泵房</w:t>
                  </w:r>
                </w:p>
              </w:tc>
              <w:tc>
                <w:tcPr>
                  <w:tcW w:w="2243" w:type="dxa"/>
                  <w:vAlign w:val="center"/>
                </w:tcPr>
                <w:p>
                  <w:pPr>
                    <w:pStyle w:val="19"/>
                    <w:adjustRightInd w:val="0"/>
                    <w:snapToGrid w:val="0"/>
                    <w:jc w:val="center"/>
                    <w:rPr>
                      <w:rFonts w:ascii="Times New Roman" w:hAnsi="Times New Roman" w:cs="Times New Roman" w:eastAsiaTheme="minorEastAsia"/>
                      <w:bCs/>
                      <w:caps/>
                      <w:color w:val="auto"/>
                    </w:rPr>
                  </w:pPr>
                  <w:r>
                    <w:rPr>
                      <w:rFonts w:ascii="Times New Roman" w:hAnsi="Times New Roman" w:cs="Times New Roman" w:eastAsiaTheme="minorEastAsia"/>
                      <w:bCs/>
                      <w:caps/>
                      <w:color w:val="auto"/>
                    </w:rPr>
                    <w:t>提升泵</w:t>
                  </w:r>
                </w:p>
              </w:tc>
              <w:tc>
                <w:tcPr>
                  <w:tcW w:w="2176" w:type="dxa"/>
                  <w:vAlign w:val="center"/>
                </w:tcPr>
                <w:p>
                  <w:pPr>
                    <w:pStyle w:val="19"/>
                    <w:adjustRightInd w:val="0"/>
                    <w:snapToGrid w:val="0"/>
                    <w:jc w:val="center"/>
                    <w:rPr>
                      <w:rFonts w:ascii="Times New Roman" w:hAnsi="Times New Roman" w:cs="Times New Roman" w:eastAsiaTheme="minorEastAsia"/>
                      <w:bCs/>
                      <w:caps/>
                      <w:color w:val="auto"/>
                    </w:rPr>
                  </w:pPr>
                  <w:r>
                    <w:rPr>
                      <w:rFonts w:ascii="Times New Roman" w:hAnsi="Times New Roman" w:cs="Times New Roman" w:eastAsiaTheme="minorEastAsia"/>
                      <w:bCs/>
                      <w:caps/>
                      <w:color w:val="auto"/>
                    </w:rPr>
                    <w:t>87</w:t>
                  </w:r>
                </w:p>
              </w:tc>
            </w:tr>
            <w:tr>
              <w:tblPrEx>
                <w:tblBorders>
                  <w:top w:val="double" w:color="000000" w:sz="6" w:space="0"/>
                  <w:left w:val="none" w:color="auto" w:sz="0" w:space="0"/>
                  <w:bottom w:val="doub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696" w:type="dxa"/>
                  <w:vAlign w:val="center"/>
                </w:tcPr>
                <w:p>
                  <w:pPr>
                    <w:pStyle w:val="19"/>
                    <w:adjustRightInd w:val="0"/>
                    <w:snapToGrid w:val="0"/>
                    <w:jc w:val="center"/>
                    <w:rPr>
                      <w:rFonts w:ascii="Times New Roman" w:hAnsi="Times New Roman" w:cs="Times New Roman" w:eastAsiaTheme="minorEastAsia"/>
                      <w:color w:val="auto"/>
                    </w:rPr>
                  </w:pPr>
                  <w:r>
                    <w:rPr>
                      <w:rFonts w:ascii="Times New Roman" w:hAnsi="Times New Roman" w:cs="Times New Roman" w:eastAsiaTheme="minorEastAsia"/>
                      <w:color w:val="auto"/>
                    </w:rPr>
                    <w:t>2</w:t>
                  </w:r>
                </w:p>
              </w:tc>
              <w:tc>
                <w:tcPr>
                  <w:tcW w:w="3394" w:type="dxa"/>
                  <w:vAlign w:val="center"/>
                </w:tcPr>
                <w:p>
                  <w:pPr>
                    <w:pStyle w:val="19"/>
                    <w:adjustRightInd w:val="0"/>
                    <w:snapToGrid w:val="0"/>
                    <w:jc w:val="center"/>
                    <w:rPr>
                      <w:rFonts w:ascii="Times New Roman" w:hAnsi="Times New Roman" w:cs="Times New Roman" w:eastAsiaTheme="minorEastAsia"/>
                      <w:color w:val="auto"/>
                    </w:rPr>
                  </w:pPr>
                  <w:r>
                    <w:rPr>
                      <w:rFonts w:ascii="Times New Roman" w:hAnsi="Times New Roman" w:cs="Times New Roman" w:eastAsiaTheme="minorEastAsia"/>
                      <w:color w:val="auto"/>
                    </w:rPr>
                    <w:t>格栅</w:t>
                  </w:r>
                </w:p>
              </w:tc>
              <w:tc>
                <w:tcPr>
                  <w:tcW w:w="2243" w:type="dxa"/>
                  <w:vAlign w:val="center"/>
                </w:tcPr>
                <w:p>
                  <w:pPr>
                    <w:pStyle w:val="19"/>
                    <w:adjustRightInd w:val="0"/>
                    <w:snapToGrid w:val="0"/>
                    <w:jc w:val="center"/>
                    <w:rPr>
                      <w:rFonts w:ascii="Times New Roman" w:hAnsi="Times New Roman" w:cs="Times New Roman" w:eastAsiaTheme="minorEastAsia"/>
                      <w:color w:val="auto"/>
                    </w:rPr>
                  </w:pPr>
                  <w:r>
                    <w:rPr>
                      <w:rFonts w:ascii="Times New Roman" w:hAnsi="Times New Roman" w:cs="Times New Roman" w:eastAsiaTheme="minorEastAsia"/>
                      <w:color w:val="auto"/>
                    </w:rPr>
                    <w:t>除污机</w:t>
                  </w:r>
                </w:p>
              </w:tc>
              <w:tc>
                <w:tcPr>
                  <w:tcW w:w="2176" w:type="dxa"/>
                  <w:vAlign w:val="center"/>
                </w:tcPr>
                <w:p>
                  <w:pPr>
                    <w:pStyle w:val="19"/>
                    <w:adjustRightInd w:val="0"/>
                    <w:snapToGrid w:val="0"/>
                    <w:jc w:val="center"/>
                    <w:rPr>
                      <w:rFonts w:ascii="Times New Roman" w:hAnsi="Times New Roman" w:cs="Times New Roman" w:eastAsiaTheme="minorEastAsia"/>
                      <w:color w:val="auto"/>
                    </w:rPr>
                  </w:pPr>
                  <w:r>
                    <w:rPr>
                      <w:rFonts w:ascii="Times New Roman" w:hAnsi="Times New Roman" w:cs="Times New Roman" w:eastAsiaTheme="minorEastAsia"/>
                      <w:color w:val="auto"/>
                    </w:rPr>
                    <w:t>80</w:t>
                  </w:r>
                </w:p>
              </w:tc>
            </w:tr>
            <w:tr>
              <w:tblPrEx>
                <w:tblBorders>
                  <w:top w:val="double" w:color="000000" w:sz="6" w:space="0"/>
                  <w:left w:val="none" w:color="auto" w:sz="0" w:space="0"/>
                  <w:bottom w:val="doub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696" w:type="dxa"/>
                  <w:vAlign w:val="center"/>
                </w:tcPr>
                <w:p>
                  <w:pPr>
                    <w:pStyle w:val="19"/>
                    <w:adjustRightInd w:val="0"/>
                    <w:snapToGrid w:val="0"/>
                    <w:jc w:val="center"/>
                    <w:rPr>
                      <w:rFonts w:ascii="Times New Roman" w:hAnsi="Times New Roman" w:cs="Times New Roman" w:eastAsiaTheme="minorEastAsia"/>
                      <w:color w:val="auto"/>
                    </w:rPr>
                  </w:pPr>
                  <w:r>
                    <w:rPr>
                      <w:rFonts w:ascii="Times New Roman" w:hAnsi="Times New Roman" w:cs="Times New Roman" w:eastAsiaTheme="minorEastAsia"/>
                      <w:color w:val="auto"/>
                    </w:rPr>
                    <w:t>3</w:t>
                  </w:r>
                </w:p>
              </w:tc>
              <w:tc>
                <w:tcPr>
                  <w:tcW w:w="3394" w:type="dxa"/>
                  <w:vAlign w:val="center"/>
                </w:tcPr>
                <w:p>
                  <w:pPr>
                    <w:pStyle w:val="19"/>
                    <w:adjustRightInd w:val="0"/>
                    <w:snapToGrid w:val="0"/>
                    <w:jc w:val="center"/>
                    <w:rPr>
                      <w:rFonts w:ascii="Times New Roman" w:hAnsi="Times New Roman" w:cs="Times New Roman" w:eastAsiaTheme="minorEastAsia"/>
                      <w:color w:val="auto"/>
                    </w:rPr>
                  </w:pPr>
                  <w:r>
                    <w:rPr>
                      <w:rFonts w:ascii="Times New Roman" w:hAnsi="Times New Roman" w:cs="Times New Roman" w:eastAsiaTheme="minorEastAsia"/>
                      <w:color w:val="auto"/>
                    </w:rPr>
                    <w:t>一体化污水处理设备</w:t>
                  </w:r>
                </w:p>
              </w:tc>
              <w:tc>
                <w:tcPr>
                  <w:tcW w:w="2243" w:type="dxa"/>
                  <w:vAlign w:val="center"/>
                </w:tcPr>
                <w:p>
                  <w:pPr>
                    <w:pStyle w:val="19"/>
                    <w:adjustRightInd w:val="0"/>
                    <w:snapToGrid w:val="0"/>
                    <w:jc w:val="center"/>
                    <w:rPr>
                      <w:rFonts w:ascii="Times New Roman" w:hAnsi="Times New Roman" w:cs="Times New Roman" w:eastAsiaTheme="minorEastAsia"/>
                      <w:color w:val="auto"/>
                    </w:rPr>
                  </w:pPr>
                  <w:r>
                    <w:rPr>
                      <w:rFonts w:ascii="Times New Roman" w:hAnsi="Times New Roman" w:cs="Times New Roman" w:eastAsiaTheme="minorEastAsia"/>
                      <w:color w:val="auto"/>
                    </w:rPr>
                    <w:t>处理器</w:t>
                  </w:r>
                </w:p>
              </w:tc>
              <w:tc>
                <w:tcPr>
                  <w:tcW w:w="2176" w:type="dxa"/>
                  <w:vAlign w:val="center"/>
                </w:tcPr>
                <w:p>
                  <w:pPr>
                    <w:pStyle w:val="19"/>
                    <w:adjustRightInd w:val="0"/>
                    <w:snapToGrid w:val="0"/>
                    <w:jc w:val="center"/>
                    <w:rPr>
                      <w:rFonts w:ascii="Times New Roman" w:hAnsi="Times New Roman" w:cs="Times New Roman" w:eastAsiaTheme="minorEastAsia"/>
                      <w:color w:val="auto"/>
                    </w:rPr>
                  </w:pPr>
                  <w:r>
                    <w:rPr>
                      <w:rFonts w:ascii="Times New Roman" w:hAnsi="Times New Roman" w:cs="Times New Roman" w:eastAsiaTheme="minorEastAsia"/>
                      <w:color w:val="auto"/>
                    </w:rPr>
                    <w:t>85</w:t>
                  </w:r>
                </w:p>
              </w:tc>
            </w:tr>
            <w:tr>
              <w:tblPrEx>
                <w:tblBorders>
                  <w:top w:val="double" w:color="000000" w:sz="6" w:space="0"/>
                  <w:left w:val="none" w:color="auto" w:sz="0" w:space="0"/>
                  <w:bottom w:val="doub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696" w:type="dxa"/>
                  <w:vAlign w:val="center"/>
                </w:tcPr>
                <w:p>
                  <w:pPr>
                    <w:pStyle w:val="19"/>
                    <w:adjustRightInd w:val="0"/>
                    <w:snapToGrid w:val="0"/>
                    <w:jc w:val="center"/>
                    <w:rPr>
                      <w:rFonts w:ascii="Times New Roman" w:hAnsi="Times New Roman" w:cs="Times New Roman" w:eastAsiaTheme="minorEastAsia"/>
                      <w:color w:val="auto"/>
                    </w:rPr>
                  </w:pPr>
                  <w:r>
                    <w:rPr>
                      <w:rFonts w:ascii="Times New Roman" w:hAnsi="Times New Roman" w:cs="Times New Roman" w:eastAsiaTheme="minorEastAsia"/>
                      <w:color w:val="auto"/>
                    </w:rPr>
                    <w:t>4</w:t>
                  </w:r>
                </w:p>
              </w:tc>
              <w:tc>
                <w:tcPr>
                  <w:tcW w:w="3394" w:type="dxa"/>
                  <w:vAlign w:val="center"/>
                </w:tcPr>
                <w:p>
                  <w:pPr>
                    <w:pStyle w:val="19"/>
                    <w:adjustRightInd w:val="0"/>
                    <w:snapToGrid w:val="0"/>
                    <w:jc w:val="center"/>
                    <w:rPr>
                      <w:rFonts w:ascii="Times New Roman" w:hAnsi="Times New Roman" w:cs="Times New Roman" w:eastAsiaTheme="minorEastAsia"/>
                      <w:color w:val="auto"/>
                    </w:rPr>
                  </w:pPr>
                  <w:r>
                    <w:rPr>
                      <w:rFonts w:ascii="Times New Roman" w:hAnsi="Times New Roman" w:cs="Times New Roman" w:eastAsiaTheme="minorEastAsia"/>
                      <w:color w:val="auto"/>
                    </w:rPr>
                    <w:t>/</w:t>
                  </w:r>
                </w:p>
              </w:tc>
              <w:tc>
                <w:tcPr>
                  <w:tcW w:w="2243" w:type="dxa"/>
                  <w:vAlign w:val="center"/>
                </w:tcPr>
                <w:p>
                  <w:pPr>
                    <w:pStyle w:val="19"/>
                    <w:adjustRightInd w:val="0"/>
                    <w:snapToGrid w:val="0"/>
                    <w:jc w:val="center"/>
                    <w:rPr>
                      <w:rFonts w:ascii="Times New Roman" w:hAnsi="Times New Roman" w:cs="Times New Roman" w:eastAsiaTheme="minorEastAsia"/>
                      <w:color w:val="auto"/>
                    </w:rPr>
                  </w:pPr>
                  <w:r>
                    <w:rPr>
                      <w:rFonts w:ascii="Times New Roman" w:hAnsi="Times New Roman" w:cs="Times New Roman" w:eastAsiaTheme="minorEastAsia"/>
                      <w:color w:val="auto"/>
                    </w:rPr>
                    <w:t>各类泵</w:t>
                  </w:r>
                </w:p>
              </w:tc>
              <w:tc>
                <w:tcPr>
                  <w:tcW w:w="2176" w:type="dxa"/>
                  <w:vAlign w:val="center"/>
                </w:tcPr>
                <w:p>
                  <w:pPr>
                    <w:pStyle w:val="19"/>
                    <w:adjustRightInd w:val="0"/>
                    <w:snapToGrid w:val="0"/>
                    <w:jc w:val="center"/>
                    <w:rPr>
                      <w:rFonts w:ascii="Times New Roman" w:hAnsi="Times New Roman" w:cs="Times New Roman" w:eastAsiaTheme="minorEastAsia"/>
                      <w:color w:val="auto"/>
                    </w:rPr>
                  </w:pPr>
                  <w:r>
                    <w:rPr>
                      <w:rFonts w:ascii="Times New Roman" w:hAnsi="Times New Roman" w:cs="Times New Roman" w:eastAsiaTheme="minorEastAsia"/>
                      <w:color w:val="auto"/>
                    </w:rPr>
                    <w:t>75</w:t>
                  </w:r>
                </w:p>
              </w:tc>
            </w:tr>
          </w:tbl>
          <w:p>
            <w:pPr>
              <w:adjustRightInd w:val="0"/>
              <w:snapToGrid w:val="0"/>
              <w:spacing w:line="360" w:lineRule="auto"/>
              <w:ind w:firstLine="361" w:firstLineChars="200"/>
              <w:rPr>
                <w:rFonts w:eastAsiaTheme="minorEastAsia"/>
                <w:b/>
                <w:bCs/>
                <w:color w:val="auto"/>
                <w:sz w:val="18"/>
                <w:szCs w:val="18"/>
              </w:rPr>
            </w:pPr>
            <w:r>
              <w:rPr>
                <w:rFonts w:eastAsiaTheme="minorEastAsia"/>
                <w:b/>
                <w:color w:val="auto"/>
                <w:sz w:val="18"/>
                <w:szCs w:val="18"/>
              </w:rPr>
              <w:t>注：表中噪声值为距离噪声源1m处声压级。</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⑷</w:t>
            </w:r>
            <w:r>
              <w:rPr>
                <w:rFonts w:eastAsiaTheme="minorEastAsia"/>
                <w:color w:val="auto"/>
                <w:sz w:val="24"/>
              </w:rPr>
              <w:t>固体废物</w:t>
            </w:r>
          </w:p>
          <w:p>
            <w:pPr>
              <w:widowControl/>
              <w:adjustRightInd w:val="0"/>
              <w:snapToGrid w:val="0"/>
              <w:spacing w:line="360" w:lineRule="auto"/>
              <w:ind w:firstLine="480" w:firstLineChars="200"/>
              <w:rPr>
                <w:rFonts w:eastAsiaTheme="minorEastAsia"/>
                <w:color w:val="auto"/>
                <w:sz w:val="24"/>
              </w:rPr>
            </w:pPr>
            <w:r>
              <w:rPr>
                <w:rFonts w:eastAsiaTheme="minorEastAsia"/>
                <w:color w:val="auto"/>
                <w:sz w:val="24"/>
              </w:rPr>
              <w:t>运营期固体废弃物主要为格栅及沉砂池产生的栅渣、沉砂，污泥处理间产生的剩余污泥以及办公人员产生的生活垃圾等。</w:t>
            </w:r>
          </w:p>
          <w:p>
            <w:pPr>
              <w:widowControl/>
              <w:adjustRightInd w:val="0"/>
              <w:snapToGrid w:val="0"/>
              <w:spacing w:line="360" w:lineRule="auto"/>
              <w:ind w:firstLine="480" w:firstLineChars="200"/>
              <w:rPr>
                <w:rFonts w:eastAsiaTheme="minorEastAsia"/>
                <w:bCs/>
                <w:color w:val="auto"/>
                <w:sz w:val="24"/>
              </w:rPr>
            </w:pPr>
            <w:r>
              <w:rPr>
                <w:rFonts w:hint="eastAsia" w:ascii="宋体" w:hAnsi="宋体" w:cs="宋体"/>
                <w:bCs/>
                <w:color w:val="auto"/>
                <w:sz w:val="24"/>
              </w:rPr>
              <w:t>①</w:t>
            </w:r>
            <w:r>
              <w:rPr>
                <w:rFonts w:eastAsiaTheme="minorEastAsia"/>
                <w:bCs/>
                <w:color w:val="auto"/>
                <w:sz w:val="24"/>
              </w:rPr>
              <w:t>栅渣、沉砂</w:t>
            </w:r>
          </w:p>
          <w:p>
            <w:pPr>
              <w:widowControl/>
              <w:adjustRightInd w:val="0"/>
              <w:snapToGrid w:val="0"/>
              <w:spacing w:line="360" w:lineRule="auto"/>
              <w:ind w:firstLine="480" w:firstLineChars="200"/>
              <w:rPr>
                <w:rFonts w:eastAsiaTheme="minorEastAsia"/>
                <w:color w:val="auto"/>
                <w:sz w:val="24"/>
              </w:rPr>
            </w:pPr>
            <w:r>
              <w:rPr>
                <w:rFonts w:eastAsiaTheme="minorEastAsia"/>
                <w:color w:val="auto"/>
                <w:sz w:val="24"/>
              </w:rPr>
              <w:t>栅渣和沉砂产生量根据《污水处理厂工艺设计手册》（高俊发、王社平编，2003 年）提供的产污系数进行核算，栅渣产生系数为 0.05～0.10m</w:t>
            </w:r>
            <w:r>
              <w:rPr>
                <w:rFonts w:eastAsiaTheme="minorEastAsia"/>
                <w:color w:val="auto"/>
                <w:sz w:val="24"/>
                <w:vertAlign w:val="superscript"/>
              </w:rPr>
              <w:t>3</w:t>
            </w:r>
            <w:r>
              <w:rPr>
                <w:rFonts w:eastAsiaTheme="minorEastAsia"/>
                <w:color w:val="auto"/>
                <w:sz w:val="24"/>
              </w:rPr>
              <w:t>/1000m</w:t>
            </w:r>
            <w:r>
              <w:rPr>
                <w:rFonts w:eastAsiaTheme="minorEastAsia"/>
                <w:color w:val="auto"/>
                <w:sz w:val="24"/>
                <w:vertAlign w:val="superscript"/>
              </w:rPr>
              <w:t>3</w:t>
            </w:r>
            <w:r>
              <w:rPr>
                <w:rFonts w:eastAsiaTheme="minorEastAsia"/>
                <w:color w:val="auto"/>
                <w:sz w:val="24"/>
              </w:rPr>
              <w:t>污水（栅渣含水率 80%，容重960kg/m</w:t>
            </w:r>
            <w:r>
              <w:rPr>
                <w:rFonts w:eastAsiaTheme="minorEastAsia"/>
                <w:color w:val="auto"/>
                <w:sz w:val="24"/>
                <w:vertAlign w:val="superscript"/>
              </w:rPr>
              <w:t>3</w:t>
            </w:r>
            <w:r>
              <w:rPr>
                <w:rFonts w:eastAsiaTheme="minorEastAsia"/>
                <w:color w:val="auto"/>
                <w:sz w:val="24"/>
              </w:rPr>
              <w:t>，本项目取系数 0.08），栅渣产生量为5.61t/a（15.36kg/d）；沉砂产生系数为 0.03 m</w:t>
            </w:r>
            <w:r>
              <w:rPr>
                <w:rFonts w:eastAsiaTheme="minorEastAsia"/>
                <w:color w:val="auto"/>
                <w:sz w:val="24"/>
                <w:vertAlign w:val="superscript"/>
              </w:rPr>
              <w:t>3</w:t>
            </w:r>
            <w:r>
              <w:rPr>
                <w:rFonts w:eastAsiaTheme="minorEastAsia"/>
                <w:color w:val="auto"/>
                <w:sz w:val="24"/>
              </w:rPr>
              <w:t>/1000 m</w:t>
            </w:r>
            <w:r>
              <w:rPr>
                <w:rFonts w:eastAsiaTheme="minorEastAsia"/>
                <w:color w:val="auto"/>
                <w:sz w:val="24"/>
                <w:vertAlign w:val="superscript"/>
              </w:rPr>
              <w:t>3</w:t>
            </w:r>
            <w:r>
              <w:rPr>
                <w:rFonts w:eastAsiaTheme="minorEastAsia"/>
                <w:color w:val="auto"/>
                <w:sz w:val="24"/>
              </w:rPr>
              <w:t>污水（沉砂含水率 60% ，容重 1500kg/ m</w:t>
            </w:r>
            <w:r>
              <w:rPr>
                <w:rFonts w:eastAsiaTheme="minorEastAsia"/>
                <w:color w:val="auto"/>
                <w:sz w:val="24"/>
                <w:vertAlign w:val="superscript"/>
              </w:rPr>
              <w:t>3</w:t>
            </w:r>
            <w:r>
              <w:rPr>
                <w:rFonts w:eastAsiaTheme="minorEastAsia"/>
                <w:color w:val="auto"/>
                <w:sz w:val="24"/>
              </w:rPr>
              <w:t>），沉砂产生量为3.285t/a（9kg/d ）。故栅渣、沉砂产生量为8.895t/a（24.36kg/d）。</w:t>
            </w:r>
          </w:p>
          <w:p>
            <w:pPr>
              <w:widowControl/>
              <w:adjustRightInd w:val="0"/>
              <w:snapToGrid w:val="0"/>
              <w:spacing w:line="360" w:lineRule="auto"/>
              <w:ind w:firstLine="480" w:firstLineChars="200"/>
              <w:rPr>
                <w:rFonts w:eastAsiaTheme="minorEastAsia"/>
                <w:bCs/>
                <w:color w:val="auto"/>
                <w:sz w:val="24"/>
              </w:rPr>
            </w:pPr>
            <w:r>
              <w:rPr>
                <w:rFonts w:hint="eastAsia" w:ascii="宋体" w:hAnsi="宋体" w:cs="宋体"/>
                <w:bCs/>
                <w:color w:val="auto"/>
                <w:sz w:val="24"/>
              </w:rPr>
              <w:t>②</w:t>
            </w:r>
            <w:r>
              <w:rPr>
                <w:rFonts w:eastAsiaTheme="minorEastAsia"/>
                <w:bCs/>
                <w:color w:val="auto"/>
                <w:sz w:val="24"/>
              </w:rPr>
              <w:t>污泥</w:t>
            </w:r>
          </w:p>
          <w:p>
            <w:pPr>
              <w:widowControl/>
              <w:adjustRightInd w:val="0"/>
              <w:snapToGrid w:val="0"/>
              <w:spacing w:line="360" w:lineRule="auto"/>
              <w:ind w:firstLine="480" w:firstLineChars="200"/>
              <w:rPr>
                <w:rFonts w:eastAsiaTheme="minorEastAsia"/>
                <w:color w:val="auto"/>
                <w:sz w:val="24"/>
              </w:rPr>
            </w:pPr>
            <w:r>
              <w:rPr>
                <w:rFonts w:eastAsiaTheme="minorEastAsia"/>
                <w:color w:val="auto"/>
                <w:sz w:val="24"/>
              </w:rPr>
              <w:t>污泥产生量根据《集中式污染治理设施产排污系数手册》（2010 修订）提供的公式进行核算。</w:t>
            </w:r>
          </w:p>
          <w:p>
            <w:pPr>
              <w:widowControl/>
              <w:spacing w:line="360" w:lineRule="auto"/>
              <w:ind w:firstLine="480" w:firstLineChars="200"/>
              <w:rPr>
                <w:rFonts w:eastAsiaTheme="minorEastAsia"/>
                <w:color w:val="auto"/>
                <w:sz w:val="24"/>
              </w:rPr>
            </w:pPr>
            <w:r>
              <w:rPr>
                <w:rFonts w:eastAsiaTheme="minorEastAsia"/>
                <w:color w:val="auto"/>
                <w:sz w:val="24"/>
              </w:rPr>
              <w:t>污泥产生量计算公式如下：</w:t>
            </w:r>
          </w:p>
          <w:p>
            <w:pPr>
              <w:widowControl/>
              <w:spacing w:line="360" w:lineRule="auto"/>
              <w:ind w:firstLine="1200" w:firstLineChars="500"/>
              <w:rPr>
                <w:rFonts w:eastAsiaTheme="minorEastAsia"/>
                <w:color w:val="auto"/>
                <w:sz w:val="24"/>
              </w:rPr>
            </w:pPr>
            <w:r>
              <w:rPr>
                <w:rFonts w:eastAsiaTheme="minorEastAsia"/>
                <w:bCs/>
                <w:color w:val="auto"/>
                <w:sz w:val="24"/>
              </w:rPr>
              <w:t>S=Fs</w:t>
            </w:r>
            <w:r>
              <w:rPr>
                <w:rFonts w:eastAsiaTheme="minorEastAsia"/>
                <w:bCs/>
                <w:color w:val="auto"/>
                <w:sz w:val="24"/>
                <w:lang w:val="en-GB"/>
              </w:rPr>
              <w:t>×</w:t>
            </w:r>
            <w:r>
              <w:rPr>
                <w:rFonts w:eastAsiaTheme="minorEastAsia"/>
                <w:bCs/>
                <w:color w:val="auto"/>
                <w:sz w:val="24"/>
              </w:rPr>
              <w:t>q</w:t>
            </w:r>
            <w:r>
              <w:rPr>
                <w:rFonts w:eastAsiaTheme="minorEastAsia"/>
                <w:bCs/>
                <w:color w:val="auto"/>
                <w:sz w:val="24"/>
                <w:vertAlign w:val="subscript"/>
              </w:rPr>
              <w:t>0</w:t>
            </w:r>
            <w:r>
              <w:rPr>
                <w:rFonts w:eastAsiaTheme="minorEastAsia"/>
                <w:bCs/>
                <w:color w:val="auto"/>
                <w:sz w:val="24"/>
                <w:lang w:val="en-GB"/>
              </w:rPr>
              <w:t>×</w:t>
            </w:r>
            <w:r>
              <w:rPr>
                <w:rFonts w:eastAsiaTheme="minorEastAsia"/>
                <w:bCs/>
                <w:color w:val="auto"/>
                <w:sz w:val="24"/>
              </w:rPr>
              <w:t>Ws</w:t>
            </w:r>
            <w:r>
              <w:rPr>
                <w:rFonts w:eastAsiaTheme="minorEastAsia"/>
                <w:bCs/>
                <w:color w:val="auto"/>
                <w:sz w:val="24"/>
                <w:lang w:val="en-GB"/>
              </w:rPr>
              <w:t>＋</w:t>
            </w:r>
            <w:r>
              <w:rPr>
                <w:rFonts w:eastAsiaTheme="minorEastAsia"/>
                <w:bCs/>
                <w:color w:val="auto"/>
                <w:sz w:val="24"/>
              </w:rPr>
              <w:t>F</w:t>
            </w:r>
            <w:r>
              <w:rPr>
                <w:rFonts w:eastAsiaTheme="minorEastAsia"/>
                <w:bCs/>
                <w:color w:val="auto"/>
                <w:sz w:val="24"/>
                <w:vertAlign w:val="subscript"/>
              </w:rPr>
              <w:t>L</w:t>
            </w:r>
            <w:r>
              <w:rPr>
                <w:rFonts w:eastAsiaTheme="minorEastAsia"/>
                <w:bCs/>
                <w:color w:val="auto"/>
                <w:sz w:val="24"/>
                <w:lang w:val="en-GB"/>
              </w:rPr>
              <w:t>×</w:t>
            </w:r>
            <w:r>
              <w:rPr>
                <w:rFonts w:eastAsiaTheme="minorEastAsia"/>
                <w:bCs/>
                <w:color w:val="auto"/>
                <w:sz w:val="24"/>
              </w:rPr>
              <w:t>q</w:t>
            </w:r>
            <w:r>
              <w:rPr>
                <w:rFonts w:eastAsiaTheme="minorEastAsia"/>
                <w:bCs/>
                <w:color w:val="auto"/>
                <w:sz w:val="24"/>
                <w:vertAlign w:val="subscript"/>
              </w:rPr>
              <w:t>0</w:t>
            </w:r>
            <w:r>
              <w:rPr>
                <w:rFonts w:eastAsiaTheme="minorEastAsia"/>
                <w:bCs/>
                <w:color w:val="auto"/>
                <w:sz w:val="24"/>
                <w:lang w:val="en-GB"/>
              </w:rPr>
              <w:t>×</w:t>
            </w:r>
            <w:r>
              <w:rPr>
                <w:rFonts w:eastAsiaTheme="minorEastAsia"/>
                <w:bCs/>
                <w:color w:val="auto"/>
                <w:sz w:val="24"/>
              </w:rPr>
              <w:t>W</w:t>
            </w:r>
            <w:r>
              <w:rPr>
                <w:rFonts w:eastAsiaTheme="minorEastAsia"/>
                <w:bCs/>
                <w:color w:val="auto"/>
                <w:sz w:val="24"/>
                <w:vertAlign w:val="subscript"/>
              </w:rPr>
              <w:t>L</w:t>
            </w:r>
            <w:r>
              <w:rPr>
                <w:rFonts w:eastAsiaTheme="minorEastAsia"/>
                <w:bCs/>
                <w:color w:val="auto"/>
                <w:sz w:val="24"/>
                <w:lang w:val="en-GB"/>
              </w:rPr>
              <w:t>×</w:t>
            </w:r>
            <w:r>
              <w:rPr>
                <w:rFonts w:eastAsiaTheme="minorEastAsia"/>
                <w:bCs/>
                <w:color w:val="auto"/>
                <w:sz w:val="24"/>
              </w:rPr>
              <w:t>X</w:t>
            </w:r>
          </w:p>
          <w:p>
            <w:pPr>
              <w:spacing w:line="360" w:lineRule="auto"/>
              <w:ind w:firstLine="480" w:firstLineChars="200"/>
              <w:rPr>
                <w:rFonts w:eastAsiaTheme="minorEastAsia"/>
                <w:color w:val="auto"/>
                <w:sz w:val="24"/>
              </w:rPr>
            </w:pPr>
            <w:r>
              <w:rPr>
                <w:rFonts w:eastAsiaTheme="minorEastAsia"/>
                <w:color w:val="auto"/>
                <w:sz w:val="24"/>
              </w:rPr>
              <w:t>式中：S—干污泥产生量，g/d；</w:t>
            </w:r>
          </w:p>
          <w:p>
            <w:pPr>
              <w:spacing w:line="360" w:lineRule="auto"/>
              <w:ind w:firstLine="1200" w:firstLineChars="500"/>
              <w:rPr>
                <w:rFonts w:eastAsiaTheme="minorEastAsia"/>
                <w:color w:val="auto"/>
                <w:sz w:val="24"/>
              </w:rPr>
            </w:pPr>
            <w:r>
              <w:rPr>
                <w:rFonts w:eastAsiaTheme="minorEastAsia"/>
                <w:bCs/>
                <w:color w:val="auto"/>
                <w:sz w:val="24"/>
              </w:rPr>
              <w:t>Fs—</w:t>
            </w:r>
            <w:r>
              <w:rPr>
                <w:rFonts w:eastAsiaTheme="minorEastAsia"/>
                <w:color w:val="auto"/>
                <w:sz w:val="24"/>
              </w:rPr>
              <w:t>悬浮物去除率，0.6；</w:t>
            </w:r>
          </w:p>
          <w:p>
            <w:pPr>
              <w:spacing w:line="360" w:lineRule="auto"/>
              <w:ind w:firstLine="1200" w:firstLineChars="500"/>
              <w:rPr>
                <w:rFonts w:eastAsiaTheme="minorEastAsia"/>
                <w:color w:val="auto"/>
                <w:sz w:val="24"/>
              </w:rPr>
            </w:pPr>
            <w:r>
              <w:rPr>
                <w:rFonts w:eastAsiaTheme="minorEastAsia"/>
                <w:bCs/>
                <w:color w:val="auto"/>
                <w:sz w:val="24"/>
              </w:rPr>
              <w:t>q</w:t>
            </w:r>
            <w:r>
              <w:rPr>
                <w:rFonts w:eastAsiaTheme="minorEastAsia"/>
                <w:bCs/>
                <w:color w:val="auto"/>
                <w:sz w:val="24"/>
                <w:vertAlign w:val="subscript"/>
              </w:rPr>
              <w:t>0</w:t>
            </w:r>
            <w:r>
              <w:rPr>
                <w:rFonts w:eastAsiaTheme="minorEastAsia"/>
                <w:bCs/>
                <w:color w:val="auto"/>
                <w:sz w:val="24"/>
              </w:rPr>
              <w:t>—</w:t>
            </w:r>
            <w:r>
              <w:rPr>
                <w:rFonts w:eastAsiaTheme="minorEastAsia"/>
                <w:color w:val="auto"/>
                <w:sz w:val="24"/>
              </w:rPr>
              <w:t>污水处理厂每日进水量，200m</w:t>
            </w:r>
            <w:r>
              <w:rPr>
                <w:rFonts w:eastAsiaTheme="minorEastAsia"/>
                <w:color w:val="auto"/>
                <w:sz w:val="24"/>
                <w:vertAlign w:val="superscript"/>
              </w:rPr>
              <w:t>3</w:t>
            </w:r>
            <w:r>
              <w:rPr>
                <w:rFonts w:eastAsiaTheme="minorEastAsia"/>
                <w:color w:val="auto"/>
                <w:sz w:val="24"/>
              </w:rPr>
              <w:t>/d；</w:t>
            </w:r>
          </w:p>
          <w:p>
            <w:pPr>
              <w:spacing w:line="360" w:lineRule="auto"/>
              <w:ind w:firstLine="1200" w:firstLineChars="500"/>
              <w:rPr>
                <w:rFonts w:eastAsiaTheme="minorEastAsia"/>
                <w:color w:val="auto"/>
                <w:sz w:val="24"/>
              </w:rPr>
            </w:pPr>
            <w:r>
              <w:rPr>
                <w:rFonts w:eastAsiaTheme="minorEastAsia"/>
                <w:bCs/>
                <w:color w:val="auto"/>
                <w:sz w:val="24"/>
              </w:rPr>
              <w:t>Ws—</w:t>
            </w:r>
            <w:r>
              <w:rPr>
                <w:rFonts w:eastAsiaTheme="minorEastAsia"/>
                <w:color w:val="auto"/>
                <w:sz w:val="24"/>
              </w:rPr>
              <w:t>悬浮物浓度，23.15g/m</w:t>
            </w:r>
            <w:r>
              <w:rPr>
                <w:rFonts w:eastAsiaTheme="minorEastAsia"/>
                <w:color w:val="auto"/>
                <w:sz w:val="24"/>
                <w:vertAlign w:val="superscript"/>
              </w:rPr>
              <w:t>3</w:t>
            </w:r>
            <w:r>
              <w:rPr>
                <w:rFonts w:eastAsiaTheme="minorEastAsia"/>
                <w:color w:val="auto"/>
                <w:sz w:val="24"/>
              </w:rPr>
              <w:t>；</w:t>
            </w:r>
          </w:p>
          <w:p>
            <w:pPr>
              <w:spacing w:line="360" w:lineRule="auto"/>
              <w:ind w:firstLine="1200" w:firstLineChars="500"/>
              <w:rPr>
                <w:rFonts w:eastAsiaTheme="minorEastAsia"/>
                <w:bCs/>
                <w:color w:val="auto"/>
                <w:sz w:val="24"/>
              </w:rPr>
            </w:pPr>
            <w:r>
              <w:rPr>
                <w:rFonts w:eastAsiaTheme="minorEastAsia"/>
                <w:bCs/>
                <w:color w:val="auto"/>
                <w:sz w:val="24"/>
              </w:rPr>
              <w:t>F</w:t>
            </w:r>
            <w:r>
              <w:rPr>
                <w:rFonts w:eastAsiaTheme="minorEastAsia"/>
                <w:bCs/>
                <w:color w:val="auto"/>
                <w:sz w:val="24"/>
                <w:vertAlign w:val="subscript"/>
              </w:rPr>
              <w:t>L</w:t>
            </w:r>
            <w:r>
              <w:rPr>
                <w:rFonts w:eastAsiaTheme="minorEastAsia"/>
                <w:bCs/>
                <w:color w:val="auto"/>
                <w:sz w:val="24"/>
              </w:rPr>
              <w:t>—</w:t>
            </w:r>
            <w:r>
              <w:rPr>
                <w:rFonts w:eastAsiaTheme="minorEastAsia"/>
                <w:color w:val="auto"/>
                <w:sz w:val="24"/>
              </w:rPr>
              <w:t>溶解性成分（以BOD</w:t>
            </w:r>
            <w:r>
              <w:rPr>
                <w:rFonts w:eastAsiaTheme="minorEastAsia"/>
                <w:color w:val="auto"/>
                <w:sz w:val="24"/>
                <w:vertAlign w:val="subscript"/>
              </w:rPr>
              <w:t>5</w:t>
            </w:r>
            <w:r>
              <w:rPr>
                <w:rFonts w:eastAsiaTheme="minorEastAsia"/>
                <w:color w:val="auto"/>
                <w:sz w:val="24"/>
              </w:rPr>
              <w:t>计）去除率，0.6；</w:t>
            </w:r>
          </w:p>
          <w:p>
            <w:pPr>
              <w:spacing w:line="360" w:lineRule="auto"/>
              <w:ind w:firstLine="1200" w:firstLineChars="500"/>
              <w:rPr>
                <w:rFonts w:eastAsiaTheme="minorEastAsia"/>
                <w:color w:val="auto"/>
                <w:sz w:val="24"/>
              </w:rPr>
            </w:pPr>
            <w:r>
              <w:rPr>
                <w:rFonts w:eastAsiaTheme="minorEastAsia"/>
                <w:bCs/>
                <w:color w:val="auto"/>
                <w:sz w:val="24"/>
              </w:rPr>
              <w:t>W</w:t>
            </w:r>
            <w:r>
              <w:rPr>
                <w:rFonts w:eastAsiaTheme="minorEastAsia"/>
                <w:bCs/>
                <w:color w:val="auto"/>
                <w:sz w:val="24"/>
                <w:vertAlign w:val="subscript"/>
              </w:rPr>
              <w:t>L</w:t>
            </w:r>
            <w:r>
              <w:rPr>
                <w:rFonts w:eastAsiaTheme="minorEastAsia"/>
                <w:bCs/>
                <w:color w:val="auto"/>
                <w:sz w:val="24"/>
              </w:rPr>
              <w:t>—</w:t>
            </w:r>
            <w:r>
              <w:rPr>
                <w:rFonts w:eastAsiaTheme="minorEastAsia"/>
                <w:color w:val="auto"/>
                <w:sz w:val="24"/>
              </w:rPr>
              <w:t>溶解性成分（以BOD</w:t>
            </w:r>
            <w:r>
              <w:rPr>
                <w:rFonts w:eastAsiaTheme="minorEastAsia"/>
                <w:color w:val="auto"/>
                <w:sz w:val="24"/>
                <w:vertAlign w:val="subscript"/>
              </w:rPr>
              <w:t>5</w:t>
            </w:r>
            <w:r>
              <w:rPr>
                <w:rFonts w:eastAsiaTheme="minorEastAsia"/>
                <w:color w:val="auto"/>
                <w:sz w:val="24"/>
              </w:rPr>
              <w:t>计）浓度，23.52g/m</w:t>
            </w:r>
            <w:r>
              <w:rPr>
                <w:rFonts w:eastAsiaTheme="minorEastAsia"/>
                <w:color w:val="auto"/>
                <w:sz w:val="24"/>
                <w:vertAlign w:val="superscript"/>
              </w:rPr>
              <w:t>3</w:t>
            </w:r>
            <w:r>
              <w:rPr>
                <w:rFonts w:eastAsiaTheme="minorEastAsia"/>
                <w:color w:val="auto"/>
                <w:sz w:val="24"/>
              </w:rPr>
              <w:t>；</w:t>
            </w:r>
          </w:p>
          <w:p>
            <w:pPr>
              <w:spacing w:line="360" w:lineRule="auto"/>
              <w:ind w:firstLine="1200" w:firstLineChars="500"/>
              <w:rPr>
                <w:rFonts w:eastAsiaTheme="minorEastAsia"/>
                <w:color w:val="auto"/>
                <w:sz w:val="24"/>
              </w:rPr>
            </w:pPr>
            <w:r>
              <w:rPr>
                <w:rFonts w:eastAsiaTheme="minorEastAsia"/>
                <w:bCs/>
                <w:color w:val="auto"/>
                <w:sz w:val="24"/>
              </w:rPr>
              <w:t>X—</w:t>
            </w:r>
            <w:r>
              <w:rPr>
                <w:rFonts w:eastAsiaTheme="minorEastAsia"/>
                <w:color w:val="auto"/>
                <w:sz w:val="24"/>
              </w:rPr>
              <w:t>溶解性成分（以BOD</w:t>
            </w:r>
            <w:r>
              <w:rPr>
                <w:rFonts w:eastAsiaTheme="minorEastAsia"/>
                <w:color w:val="auto"/>
                <w:sz w:val="24"/>
                <w:vertAlign w:val="subscript"/>
              </w:rPr>
              <w:t>5</w:t>
            </w:r>
            <w:r>
              <w:rPr>
                <w:rFonts w:eastAsiaTheme="minorEastAsia"/>
                <w:color w:val="auto"/>
                <w:sz w:val="24"/>
              </w:rPr>
              <w:t>计）的污泥转换率，一般取X=0.3。</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根据计算，本工程干污泥产生量约为0.0036t/d，湿污泥脱水后含水率约为60%，则本工程经脱水后的污泥产生量约为0.00144t/d，即0.5256t/a。生活污水处理产生的污泥不属于危险废物，污泥脱水后，运往指定地点进行统一处理。</w:t>
            </w:r>
          </w:p>
          <w:p>
            <w:pPr>
              <w:widowControl/>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③</w:t>
            </w:r>
            <w:r>
              <w:rPr>
                <w:rFonts w:eastAsiaTheme="minorEastAsia"/>
                <w:color w:val="auto"/>
                <w:sz w:val="24"/>
              </w:rPr>
              <w:t>生活垃圾</w:t>
            </w:r>
          </w:p>
          <w:p>
            <w:pPr>
              <w:widowControl/>
              <w:adjustRightInd w:val="0"/>
              <w:snapToGrid w:val="0"/>
              <w:spacing w:line="360" w:lineRule="auto"/>
              <w:ind w:firstLine="480" w:firstLineChars="200"/>
              <w:rPr>
                <w:rFonts w:eastAsiaTheme="minorEastAsia"/>
                <w:color w:val="auto"/>
                <w:sz w:val="24"/>
              </w:rPr>
            </w:pPr>
            <w:r>
              <w:rPr>
                <w:rFonts w:eastAsiaTheme="minorEastAsia"/>
                <w:color w:val="auto"/>
                <w:sz w:val="24"/>
              </w:rPr>
              <w:t>本项目建成后，职工定员3人，生活垃圾按照产生系数 1.0kg/(人•d)计，生活垃圾产生量为3kg/d（1.095t/a）。</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项目产生的固体废物总量为10.5156t/a（28.81kg/d），均为一般固废，不涉及危险废物，全部运至宁县生活垃圾填埋场填埋处置。</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 5 \* GB2 </w:instrText>
            </w:r>
            <w:r>
              <w:rPr>
                <w:rFonts w:eastAsiaTheme="minorEastAsia"/>
                <w:color w:val="auto"/>
                <w:sz w:val="24"/>
              </w:rPr>
              <w:fldChar w:fldCharType="separate"/>
            </w:r>
            <w:r>
              <w:rPr>
                <w:rFonts w:hint="eastAsia" w:ascii="宋体" w:hAnsi="宋体" w:cs="宋体"/>
                <w:color w:val="auto"/>
                <w:sz w:val="24"/>
              </w:rPr>
              <w:t>⑸</w:t>
            </w:r>
            <w:r>
              <w:rPr>
                <w:rFonts w:eastAsiaTheme="minorEastAsia"/>
                <w:color w:val="auto"/>
                <w:sz w:val="24"/>
              </w:rPr>
              <w:fldChar w:fldCharType="end"/>
            </w:r>
            <w:r>
              <w:rPr>
                <w:rFonts w:eastAsiaTheme="minorEastAsia"/>
                <w:color w:val="auto"/>
                <w:sz w:val="24"/>
              </w:rPr>
              <w:t>生态环境</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本项目污水处理厂改扩建过程中可能会对场地绿化植物、水土流失、土壤等生态环境产生一定影响。项目建成后，通过绿化措施进行恢复，可以改善局部生态环境。</w:t>
            </w:r>
          </w:p>
          <w:p>
            <w:pPr>
              <w:adjustRightInd w:val="0"/>
              <w:snapToGrid w:val="0"/>
              <w:spacing w:line="360" w:lineRule="auto"/>
              <w:rPr>
                <w:rFonts w:eastAsiaTheme="minorEastAsia"/>
                <w:color w:val="auto"/>
                <w:sz w:val="24"/>
              </w:rPr>
            </w:pPr>
          </w:p>
          <w:p>
            <w:pPr>
              <w:adjustRightInd w:val="0"/>
              <w:snapToGrid w:val="0"/>
              <w:spacing w:line="360" w:lineRule="auto"/>
              <w:rPr>
                <w:rFonts w:eastAsiaTheme="minorEastAsia"/>
                <w:color w:val="auto"/>
                <w:sz w:val="24"/>
              </w:rPr>
            </w:pPr>
          </w:p>
          <w:p>
            <w:pPr>
              <w:adjustRightInd w:val="0"/>
              <w:snapToGrid w:val="0"/>
              <w:spacing w:line="360" w:lineRule="auto"/>
              <w:rPr>
                <w:rFonts w:eastAsiaTheme="minorEastAsia"/>
                <w:color w:val="auto"/>
                <w:sz w:val="24"/>
              </w:rPr>
            </w:pPr>
          </w:p>
        </w:tc>
      </w:tr>
    </w:tbl>
    <w:p>
      <w:pPr>
        <w:adjustRightInd w:val="0"/>
        <w:snapToGrid w:val="0"/>
        <w:rPr>
          <w:rFonts w:eastAsiaTheme="minorEastAsia"/>
          <w:b/>
          <w:color w:val="auto"/>
          <w:sz w:val="28"/>
          <w:szCs w:val="28"/>
        </w:rPr>
      </w:pPr>
      <w:r>
        <w:rPr>
          <w:rFonts w:eastAsiaTheme="minorEastAsia"/>
          <w:b/>
          <w:color w:val="auto"/>
          <w:sz w:val="28"/>
          <w:szCs w:val="28"/>
        </w:rPr>
        <w:br w:type="page"/>
      </w:r>
    </w:p>
    <w:p>
      <w:pPr>
        <w:adjustRightInd w:val="0"/>
        <w:snapToGrid w:val="0"/>
        <w:rPr>
          <w:rFonts w:eastAsiaTheme="minorEastAsia"/>
          <w:b/>
          <w:color w:val="auto"/>
          <w:sz w:val="28"/>
          <w:szCs w:val="28"/>
        </w:rPr>
      </w:pPr>
      <w:r>
        <w:rPr>
          <w:rFonts w:eastAsiaTheme="minorEastAsia"/>
          <w:b/>
          <w:color w:val="auto"/>
          <w:sz w:val="28"/>
          <w:szCs w:val="28"/>
        </w:rPr>
        <w:t>项目主要污染物产生及预计排放情况</w:t>
      </w:r>
    </w:p>
    <w:tbl>
      <w:tblPr>
        <w:tblStyle w:val="38"/>
        <w:tblW w:w="90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479"/>
        <w:gridCol w:w="1551"/>
        <w:gridCol w:w="1271"/>
        <w:gridCol w:w="2239"/>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947" w:type="dxa"/>
            <w:tcBorders>
              <w:tl2br w:val="single" w:color="auto" w:sz="4" w:space="0"/>
            </w:tcBorders>
          </w:tcPr>
          <w:p>
            <w:pPr>
              <w:rPr>
                <w:rFonts w:eastAsiaTheme="minorEastAsia"/>
                <w:color w:val="auto"/>
                <w:szCs w:val="21"/>
              </w:rPr>
            </w:pPr>
            <w:r>
              <w:rPr>
                <w:rFonts w:eastAsiaTheme="minorEastAsia"/>
                <w:color w:val="auto"/>
                <w:szCs w:val="21"/>
              </w:rPr>
              <w:t>内容</w:t>
            </w:r>
          </w:p>
          <w:p>
            <w:pPr>
              <w:rPr>
                <w:rFonts w:eastAsiaTheme="minorEastAsia"/>
                <w:color w:val="auto"/>
                <w:szCs w:val="21"/>
              </w:rPr>
            </w:pPr>
            <w:r>
              <w:rPr>
                <w:rFonts w:eastAsiaTheme="minorEastAsia"/>
                <w:color w:val="auto"/>
                <w:szCs w:val="21"/>
              </w:rPr>
              <w:t>类型</w:t>
            </w:r>
          </w:p>
        </w:tc>
        <w:tc>
          <w:tcPr>
            <w:tcW w:w="2030" w:type="dxa"/>
            <w:gridSpan w:val="2"/>
            <w:vAlign w:val="center"/>
          </w:tcPr>
          <w:p>
            <w:pPr>
              <w:jc w:val="center"/>
              <w:rPr>
                <w:rFonts w:eastAsiaTheme="minorEastAsia"/>
                <w:color w:val="auto"/>
                <w:szCs w:val="21"/>
              </w:rPr>
            </w:pPr>
            <w:r>
              <w:rPr>
                <w:rFonts w:eastAsiaTheme="minorEastAsia"/>
                <w:color w:val="auto"/>
                <w:szCs w:val="21"/>
              </w:rPr>
              <w:t>排放源</w:t>
            </w:r>
          </w:p>
        </w:tc>
        <w:tc>
          <w:tcPr>
            <w:tcW w:w="1271" w:type="dxa"/>
            <w:vAlign w:val="center"/>
          </w:tcPr>
          <w:p>
            <w:pPr>
              <w:jc w:val="center"/>
              <w:rPr>
                <w:rFonts w:eastAsiaTheme="minorEastAsia"/>
                <w:color w:val="auto"/>
                <w:szCs w:val="21"/>
              </w:rPr>
            </w:pPr>
            <w:r>
              <w:rPr>
                <w:rFonts w:eastAsiaTheme="minorEastAsia"/>
                <w:color w:val="auto"/>
                <w:szCs w:val="21"/>
              </w:rPr>
              <w:t>污染物名称</w:t>
            </w:r>
          </w:p>
        </w:tc>
        <w:tc>
          <w:tcPr>
            <w:tcW w:w="2239" w:type="dxa"/>
            <w:vAlign w:val="center"/>
          </w:tcPr>
          <w:p>
            <w:pPr>
              <w:jc w:val="center"/>
              <w:rPr>
                <w:rFonts w:eastAsiaTheme="minorEastAsia"/>
                <w:color w:val="auto"/>
                <w:szCs w:val="21"/>
              </w:rPr>
            </w:pPr>
            <w:r>
              <w:rPr>
                <w:rFonts w:eastAsiaTheme="minorEastAsia"/>
                <w:color w:val="auto"/>
                <w:szCs w:val="21"/>
              </w:rPr>
              <w:t>处理前产生浓度及</w:t>
            </w:r>
          </w:p>
          <w:p>
            <w:pPr>
              <w:jc w:val="center"/>
              <w:rPr>
                <w:rFonts w:eastAsiaTheme="minorEastAsia"/>
                <w:color w:val="auto"/>
                <w:szCs w:val="21"/>
              </w:rPr>
            </w:pPr>
            <w:r>
              <w:rPr>
                <w:rFonts w:eastAsiaTheme="minorEastAsia"/>
                <w:color w:val="auto"/>
                <w:szCs w:val="21"/>
              </w:rPr>
              <w:t>产生量</w:t>
            </w:r>
          </w:p>
        </w:tc>
        <w:tc>
          <w:tcPr>
            <w:tcW w:w="2552" w:type="dxa"/>
            <w:vAlign w:val="center"/>
          </w:tcPr>
          <w:p>
            <w:pPr>
              <w:jc w:val="center"/>
              <w:rPr>
                <w:rFonts w:eastAsiaTheme="minorEastAsia"/>
                <w:color w:val="auto"/>
                <w:szCs w:val="21"/>
              </w:rPr>
            </w:pPr>
            <w:r>
              <w:rPr>
                <w:rFonts w:eastAsiaTheme="minorEastAsia"/>
                <w:color w:val="auto"/>
                <w:szCs w:val="21"/>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trPr>
        <w:tc>
          <w:tcPr>
            <w:tcW w:w="947" w:type="dxa"/>
            <w:vMerge w:val="restart"/>
            <w:vAlign w:val="center"/>
          </w:tcPr>
          <w:p>
            <w:pPr>
              <w:jc w:val="center"/>
              <w:rPr>
                <w:rFonts w:eastAsiaTheme="minorEastAsia"/>
                <w:color w:val="auto"/>
                <w:szCs w:val="21"/>
              </w:rPr>
            </w:pPr>
            <w:r>
              <w:rPr>
                <w:rFonts w:eastAsiaTheme="minorEastAsia"/>
                <w:color w:val="auto"/>
                <w:szCs w:val="21"/>
              </w:rPr>
              <w:t>大</w:t>
            </w:r>
          </w:p>
          <w:p>
            <w:pPr>
              <w:jc w:val="center"/>
              <w:rPr>
                <w:rFonts w:eastAsiaTheme="minorEastAsia"/>
                <w:color w:val="auto"/>
                <w:szCs w:val="21"/>
              </w:rPr>
            </w:pPr>
            <w:r>
              <w:rPr>
                <w:rFonts w:eastAsiaTheme="minorEastAsia"/>
                <w:color w:val="auto"/>
                <w:szCs w:val="21"/>
              </w:rPr>
              <w:t>气</w:t>
            </w:r>
          </w:p>
          <w:p>
            <w:pPr>
              <w:jc w:val="center"/>
              <w:rPr>
                <w:rFonts w:eastAsiaTheme="minorEastAsia"/>
                <w:color w:val="auto"/>
                <w:szCs w:val="21"/>
              </w:rPr>
            </w:pPr>
            <w:r>
              <w:rPr>
                <w:rFonts w:eastAsiaTheme="minorEastAsia"/>
                <w:color w:val="auto"/>
                <w:szCs w:val="21"/>
              </w:rPr>
              <w:t>污</w:t>
            </w:r>
          </w:p>
          <w:p>
            <w:pPr>
              <w:jc w:val="center"/>
              <w:rPr>
                <w:rFonts w:eastAsiaTheme="minorEastAsia"/>
                <w:color w:val="auto"/>
                <w:szCs w:val="21"/>
              </w:rPr>
            </w:pPr>
            <w:r>
              <w:rPr>
                <w:rFonts w:eastAsiaTheme="minorEastAsia"/>
                <w:color w:val="auto"/>
                <w:szCs w:val="21"/>
              </w:rPr>
              <w:t>染</w:t>
            </w:r>
          </w:p>
          <w:p>
            <w:pPr>
              <w:jc w:val="center"/>
              <w:rPr>
                <w:rFonts w:eastAsiaTheme="minorEastAsia"/>
                <w:color w:val="auto"/>
                <w:szCs w:val="21"/>
              </w:rPr>
            </w:pPr>
            <w:r>
              <w:rPr>
                <w:rFonts w:eastAsiaTheme="minorEastAsia"/>
                <w:color w:val="auto"/>
                <w:szCs w:val="21"/>
              </w:rPr>
              <w:t>物</w:t>
            </w:r>
          </w:p>
        </w:tc>
        <w:tc>
          <w:tcPr>
            <w:tcW w:w="479" w:type="dxa"/>
            <w:vMerge w:val="restart"/>
            <w:vAlign w:val="center"/>
          </w:tcPr>
          <w:p>
            <w:pPr>
              <w:jc w:val="center"/>
              <w:rPr>
                <w:rFonts w:eastAsiaTheme="minorEastAsia"/>
                <w:color w:val="auto"/>
                <w:szCs w:val="21"/>
              </w:rPr>
            </w:pPr>
            <w:r>
              <w:rPr>
                <w:rFonts w:eastAsiaTheme="minorEastAsia"/>
                <w:color w:val="auto"/>
                <w:szCs w:val="21"/>
              </w:rPr>
              <w:t>施工期</w:t>
            </w:r>
          </w:p>
        </w:tc>
        <w:tc>
          <w:tcPr>
            <w:tcW w:w="1551" w:type="dxa"/>
            <w:vAlign w:val="center"/>
          </w:tcPr>
          <w:p>
            <w:pPr>
              <w:jc w:val="center"/>
              <w:rPr>
                <w:rFonts w:eastAsiaTheme="minorEastAsia"/>
                <w:color w:val="auto"/>
                <w:szCs w:val="21"/>
              </w:rPr>
            </w:pPr>
            <w:r>
              <w:rPr>
                <w:rFonts w:eastAsiaTheme="minorEastAsia"/>
                <w:color w:val="auto"/>
                <w:szCs w:val="21"/>
              </w:rPr>
              <w:t>施工扬尘</w:t>
            </w:r>
          </w:p>
        </w:tc>
        <w:tc>
          <w:tcPr>
            <w:tcW w:w="1271" w:type="dxa"/>
            <w:tcBorders>
              <w:bottom w:val="single" w:color="auto" w:sz="4" w:space="0"/>
            </w:tcBorders>
            <w:vAlign w:val="center"/>
          </w:tcPr>
          <w:p>
            <w:pPr>
              <w:jc w:val="center"/>
              <w:rPr>
                <w:rFonts w:eastAsiaTheme="minorEastAsia"/>
                <w:color w:val="auto"/>
                <w:szCs w:val="21"/>
              </w:rPr>
            </w:pPr>
            <w:r>
              <w:rPr>
                <w:rFonts w:eastAsiaTheme="minorEastAsia"/>
                <w:color w:val="auto"/>
                <w:szCs w:val="21"/>
              </w:rPr>
              <w:t>粉尘</w:t>
            </w:r>
          </w:p>
        </w:tc>
        <w:tc>
          <w:tcPr>
            <w:tcW w:w="2239" w:type="dxa"/>
            <w:vAlign w:val="center"/>
          </w:tcPr>
          <w:p>
            <w:pPr>
              <w:adjustRightInd w:val="0"/>
              <w:snapToGrid w:val="0"/>
              <w:jc w:val="center"/>
              <w:rPr>
                <w:rFonts w:eastAsiaTheme="minorEastAsia"/>
                <w:color w:val="auto"/>
                <w:szCs w:val="21"/>
              </w:rPr>
            </w:pPr>
            <w:r>
              <w:rPr>
                <w:rFonts w:eastAsiaTheme="minorEastAsia"/>
                <w:color w:val="auto"/>
                <w:szCs w:val="21"/>
              </w:rPr>
              <w:t>少量</w:t>
            </w:r>
          </w:p>
        </w:tc>
        <w:tc>
          <w:tcPr>
            <w:tcW w:w="2552" w:type="dxa"/>
            <w:vAlign w:val="center"/>
          </w:tcPr>
          <w:p>
            <w:pPr>
              <w:jc w:val="center"/>
              <w:rPr>
                <w:rFonts w:eastAsiaTheme="minorEastAsia"/>
                <w:color w:val="auto"/>
                <w:szCs w:val="21"/>
              </w:rPr>
            </w:pPr>
            <w:r>
              <w:rPr>
                <w:rFonts w:eastAsiaTheme="minorEastAsia"/>
                <w:color w:val="auto"/>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trPr>
        <w:tc>
          <w:tcPr>
            <w:tcW w:w="947" w:type="dxa"/>
            <w:vMerge w:val="continue"/>
            <w:vAlign w:val="center"/>
          </w:tcPr>
          <w:p>
            <w:pPr>
              <w:jc w:val="center"/>
              <w:rPr>
                <w:rFonts w:eastAsiaTheme="minorEastAsia"/>
                <w:color w:val="auto"/>
                <w:szCs w:val="21"/>
              </w:rPr>
            </w:pPr>
          </w:p>
        </w:tc>
        <w:tc>
          <w:tcPr>
            <w:tcW w:w="479" w:type="dxa"/>
            <w:vMerge w:val="continue"/>
            <w:vAlign w:val="center"/>
          </w:tcPr>
          <w:p>
            <w:pPr>
              <w:jc w:val="center"/>
              <w:rPr>
                <w:rFonts w:eastAsiaTheme="minorEastAsia"/>
                <w:color w:val="auto"/>
                <w:szCs w:val="21"/>
              </w:rPr>
            </w:pPr>
          </w:p>
        </w:tc>
        <w:tc>
          <w:tcPr>
            <w:tcW w:w="1551" w:type="dxa"/>
            <w:vAlign w:val="center"/>
          </w:tcPr>
          <w:p>
            <w:pPr>
              <w:jc w:val="center"/>
              <w:rPr>
                <w:rFonts w:eastAsiaTheme="minorEastAsia"/>
                <w:color w:val="auto"/>
                <w:szCs w:val="21"/>
              </w:rPr>
            </w:pPr>
            <w:r>
              <w:rPr>
                <w:rFonts w:eastAsiaTheme="minorEastAsia"/>
                <w:color w:val="auto"/>
                <w:szCs w:val="21"/>
              </w:rPr>
              <w:t>汽车运输</w:t>
            </w:r>
          </w:p>
        </w:tc>
        <w:tc>
          <w:tcPr>
            <w:tcW w:w="1271" w:type="dxa"/>
            <w:tcBorders>
              <w:bottom w:val="single" w:color="auto" w:sz="4" w:space="0"/>
            </w:tcBorders>
            <w:vAlign w:val="center"/>
          </w:tcPr>
          <w:p>
            <w:pPr>
              <w:jc w:val="center"/>
              <w:rPr>
                <w:rFonts w:eastAsiaTheme="minorEastAsia"/>
                <w:color w:val="auto"/>
                <w:szCs w:val="21"/>
              </w:rPr>
            </w:pPr>
            <w:r>
              <w:rPr>
                <w:rFonts w:eastAsiaTheme="minorEastAsia"/>
                <w:color w:val="auto"/>
                <w:szCs w:val="21"/>
              </w:rPr>
              <w:t>燃油废气</w:t>
            </w:r>
          </w:p>
        </w:tc>
        <w:tc>
          <w:tcPr>
            <w:tcW w:w="2239" w:type="dxa"/>
            <w:vAlign w:val="center"/>
          </w:tcPr>
          <w:p>
            <w:pPr>
              <w:adjustRightInd w:val="0"/>
              <w:snapToGrid w:val="0"/>
              <w:jc w:val="center"/>
              <w:rPr>
                <w:rFonts w:eastAsiaTheme="minorEastAsia"/>
                <w:color w:val="auto"/>
                <w:szCs w:val="21"/>
              </w:rPr>
            </w:pPr>
            <w:r>
              <w:rPr>
                <w:rFonts w:eastAsiaTheme="minorEastAsia"/>
                <w:color w:val="auto"/>
                <w:szCs w:val="21"/>
              </w:rPr>
              <w:t>少量</w:t>
            </w:r>
          </w:p>
        </w:tc>
        <w:tc>
          <w:tcPr>
            <w:tcW w:w="2552" w:type="dxa"/>
            <w:vAlign w:val="center"/>
          </w:tcPr>
          <w:p>
            <w:pPr>
              <w:jc w:val="center"/>
              <w:rPr>
                <w:rFonts w:eastAsiaTheme="minorEastAsia"/>
                <w:color w:val="auto"/>
                <w:szCs w:val="21"/>
              </w:rPr>
            </w:pPr>
            <w:r>
              <w:rPr>
                <w:rFonts w:eastAsiaTheme="minorEastAsia"/>
                <w:color w:val="auto"/>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trPr>
        <w:tc>
          <w:tcPr>
            <w:tcW w:w="947" w:type="dxa"/>
            <w:vMerge w:val="continue"/>
            <w:vAlign w:val="center"/>
          </w:tcPr>
          <w:p>
            <w:pPr>
              <w:jc w:val="center"/>
              <w:rPr>
                <w:rFonts w:eastAsiaTheme="minorEastAsia"/>
                <w:color w:val="auto"/>
                <w:szCs w:val="21"/>
              </w:rPr>
            </w:pPr>
          </w:p>
        </w:tc>
        <w:tc>
          <w:tcPr>
            <w:tcW w:w="479" w:type="dxa"/>
            <w:vMerge w:val="restart"/>
            <w:vAlign w:val="center"/>
          </w:tcPr>
          <w:p>
            <w:pPr>
              <w:jc w:val="center"/>
              <w:rPr>
                <w:rFonts w:eastAsiaTheme="minorEastAsia"/>
                <w:color w:val="auto"/>
                <w:szCs w:val="21"/>
              </w:rPr>
            </w:pPr>
            <w:r>
              <w:rPr>
                <w:rFonts w:eastAsiaTheme="minorEastAsia"/>
                <w:color w:val="auto"/>
                <w:szCs w:val="21"/>
              </w:rPr>
              <w:t>运营期</w:t>
            </w:r>
          </w:p>
        </w:tc>
        <w:tc>
          <w:tcPr>
            <w:tcW w:w="1551" w:type="dxa"/>
            <w:vMerge w:val="restart"/>
            <w:vAlign w:val="center"/>
          </w:tcPr>
          <w:p>
            <w:pPr>
              <w:jc w:val="center"/>
              <w:rPr>
                <w:rFonts w:eastAsiaTheme="minorEastAsia"/>
                <w:color w:val="auto"/>
                <w:szCs w:val="21"/>
              </w:rPr>
            </w:pPr>
            <w:r>
              <w:rPr>
                <w:rFonts w:eastAsiaTheme="minorEastAsia"/>
                <w:color w:val="auto"/>
                <w:szCs w:val="21"/>
              </w:rPr>
              <w:t>无组织排放</w:t>
            </w:r>
          </w:p>
        </w:tc>
        <w:tc>
          <w:tcPr>
            <w:tcW w:w="1271" w:type="dxa"/>
            <w:vAlign w:val="center"/>
          </w:tcPr>
          <w:p>
            <w:pPr>
              <w:jc w:val="center"/>
              <w:rPr>
                <w:rFonts w:eastAsiaTheme="minorEastAsia"/>
                <w:color w:val="auto"/>
                <w:szCs w:val="21"/>
              </w:rPr>
            </w:pPr>
            <w:r>
              <w:rPr>
                <w:rFonts w:eastAsiaTheme="minorEastAsia"/>
                <w:color w:val="auto"/>
                <w:szCs w:val="21"/>
              </w:rPr>
              <w:t>NH</w:t>
            </w:r>
            <w:r>
              <w:rPr>
                <w:rFonts w:eastAsiaTheme="minorEastAsia"/>
                <w:color w:val="auto"/>
                <w:szCs w:val="21"/>
                <w:vertAlign w:val="subscript"/>
              </w:rPr>
              <w:t>3</w:t>
            </w:r>
          </w:p>
        </w:tc>
        <w:tc>
          <w:tcPr>
            <w:tcW w:w="2239" w:type="dxa"/>
            <w:vAlign w:val="center"/>
          </w:tcPr>
          <w:p>
            <w:pPr>
              <w:jc w:val="center"/>
              <w:rPr>
                <w:rFonts w:eastAsiaTheme="minorEastAsia"/>
                <w:color w:val="auto"/>
                <w:szCs w:val="21"/>
              </w:rPr>
            </w:pPr>
            <w:r>
              <w:rPr>
                <w:rFonts w:eastAsiaTheme="minorEastAsia"/>
                <w:color w:val="auto"/>
                <w:szCs w:val="21"/>
              </w:rPr>
              <w:t>0.647 t/a</w:t>
            </w:r>
          </w:p>
        </w:tc>
        <w:tc>
          <w:tcPr>
            <w:tcW w:w="2552" w:type="dxa"/>
            <w:vAlign w:val="center"/>
          </w:tcPr>
          <w:p>
            <w:pPr>
              <w:jc w:val="center"/>
              <w:rPr>
                <w:rFonts w:eastAsiaTheme="minorEastAsia"/>
                <w:color w:val="auto"/>
                <w:szCs w:val="21"/>
              </w:rPr>
            </w:pPr>
            <w:r>
              <w:rPr>
                <w:rFonts w:eastAsiaTheme="minorEastAsia"/>
                <w:color w:val="auto"/>
                <w:szCs w:val="21"/>
              </w:rPr>
              <w:t>0.0647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trPr>
        <w:tc>
          <w:tcPr>
            <w:tcW w:w="947" w:type="dxa"/>
            <w:vMerge w:val="continue"/>
            <w:vAlign w:val="center"/>
          </w:tcPr>
          <w:p>
            <w:pPr>
              <w:jc w:val="center"/>
              <w:rPr>
                <w:rFonts w:eastAsiaTheme="minorEastAsia"/>
                <w:color w:val="auto"/>
                <w:szCs w:val="21"/>
              </w:rPr>
            </w:pPr>
          </w:p>
        </w:tc>
        <w:tc>
          <w:tcPr>
            <w:tcW w:w="479" w:type="dxa"/>
            <w:vMerge w:val="continue"/>
            <w:vAlign w:val="center"/>
          </w:tcPr>
          <w:p>
            <w:pPr>
              <w:jc w:val="center"/>
              <w:rPr>
                <w:rFonts w:eastAsiaTheme="minorEastAsia"/>
                <w:color w:val="auto"/>
                <w:szCs w:val="21"/>
              </w:rPr>
            </w:pPr>
          </w:p>
        </w:tc>
        <w:tc>
          <w:tcPr>
            <w:tcW w:w="1551" w:type="dxa"/>
            <w:vMerge w:val="continue"/>
            <w:vAlign w:val="center"/>
          </w:tcPr>
          <w:p>
            <w:pPr>
              <w:jc w:val="center"/>
              <w:rPr>
                <w:rFonts w:eastAsiaTheme="minorEastAsia"/>
                <w:color w:val="auto"/>
                <w:szCs w:val="21"/>
              </w:rPr>
            </w:pPr>
          </w:p>
        </w:tc>
        <w:tc>
          <w:tcPr>
            <w:tcW w:w="1271" w:type="dxa"/>
            <w:vAlign w:val="center"/>
          </w:tcPr>
          <w:p>
            <w:pPr>
              <w:jc w:val="center"/>
              <w:rPr>
                <w:rFonts w:eastAsiaTheme="minorEastAsia"/>
                <w:color w:val="auto"/>
                <w:szCs w:val="21"/>
              </w:rPr>
            </w:pPr>
            <w:r>
              <w:rPr>
                <w:rFonts w:eastAsiaTheme="minorEastAsia"/>
                <w:color w:val="auto"/>
                <w:szCs w:val="21"/>
              </w:rPr>
              <w:t>H</w:t>
            </w:r>
            <w:r>
              <w:rPr>
                <w:rFonts w:eastAsiaTheme="minorEastAsia"/>
                <w:color w:val="auto"/>
                <w:szCs w:val="21"/>
                <w:vertAlign w:val="subscript"/>
              </w:rPr>
              <w:t>2</w:t>
            </w:r>
            <w:r>
              <w:rPr>
                <w:rFonts w:eastAsiaTheme="minorEastAsia"/>
                <w:color w:val="auto"/>
                <w:szCs w:val="21"/>
              </w:rPr>
              <w:t>S</w:t>
            </w:r>
          </w:p>
        </w:tc>
        <w:tc>
          <w:tcPr>
            <w:tcW w:w="2239" w:type="dxa"/>
            <w:vAlign w:val="center"/>
          </w:tcPr>
          <w:p>
            <w:pPr>
              <w:jc w:val="center"/>
              <w:rPr>
                <w:rFonts w:eastAsiaTheme="minorEastAsia"/>
                <w:color w:val="auto"/>
                <w:szCs w:val="21"/>
              </w:rPr>
            </w:pPr>
            <w:r>
              <w:rPr>
                <w:rFonts w:eastAsiaTheme="minorEastAsia"/>
                <w:color w:val="auto"/>
                <w:szCs w:val="21"/>
              </w:rPr>
              <w:t>7.611×10</w:t>
            </w:r>
            <w:r>
              <w:rPr>
                <w:rFonts w:eastAsiaTheme="minorEastAsia"/>
                <w:color w:val="auto"/>
                <w:szCs w:val="21"/>
                <w:vertAlign w:val="superscript"/>
              </w:rPr>
              <w:t>-3</w:t>
            </w:r>
            <w:r>
              <w:rPr>
                <w:rFonts w:eastAsiaTheme="minorEastAsia"/>
                <w:color w:val="auto"/>
                <w:szCs w:val="21"/>
              </w:rPr>
              <w:t xml:space="preserve"> t/a</w:t>
            </w:r>
          </w:p>
        </w:tc>
        <w:tc>
          <w:tcPr>
            <w:tcW w:w="2552" w:type="dxa"/>
            <w:vAlign w:val="center"/>
          </w:tcPr>
          <w:p>
            <w:pPr>
              <w:jc w:val="center"/>
              <w:rPr>
                <w:rFonts w:eastAsiaTheme="minorEastAsia"/>
                <w:color w:val="auto"/>
                <w:szCs w:val="21"/>
              </w:rPr>
            </w:pPr>
            <w:r>
              <w:rPr>
                <w:rFonts w:eastAsiaTheme="minorEastAsia"/>
                <w:color w:val="auto"/>
                <w:szCs w:val="21"/>
              </w:rPr>
              <w:t>7.611×10</w:t>
            </w:r>
            <w:r>
              <w:rPr>
                <w:rFonts w:eastAsiaTheme="minorEastAsia"/>
                <w:color w:val="auto"/>
                <w:szCs w:val="21"/>
                <w:vertAlign w:val="superscript"/>
              </w:rPr>
              <w:t>-4</w:t>
            </w:r>
            <w:r>
              <w:rPr>
                <w:rFonts w:eastAsiaTheme="minorEastAsia"/>
                <w:color w:val="auto"/>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947" w:type="dxa"/>
            <w:vMerge w:val="restart"/>
            <w:vAlign w:val="center"/>
          </w:tcPr>
          <w:p>
            <w:pPr>
              <w:jc w:val="center"/>
              <w:rPr>
                <w:rFonts w:eastAsiaTheme="minorEastAsia"/>
                <w:color w:val="auto"/>
                <w:szCs w:val="21"/>
              </w:rPr>
            </w:pPr>
            <w:r>
              <w:rPr>
                <w:rFonts w:eastAsiaTheme="minorEastAsia"/>
                <w:color w:val="auto"/>
                <w:szCs w:val="21"/>
              </w:rPr>
              <w:t>水</w:t>
            </w:r>
          </w:p>
          <w:p>
            <w:pPr>
              <w:jc w:val="center"/>
              <w:rPr>
                <w:rFonts w:eastAsiaTheme="minorEastAsia"/>
                <w:color w:val="auto"/>
                <w:szCs w:val="21"/>
              </w:rPr>
            </w:pPr>
            <w:r>
              <w:rPr>
                <w:rFonts w:eastAsiaTheme="minorEastAsia"/>
                <w:color w:val="auto"/>
                <w:szCs w:val="21"/>
              </w:rPr>
              <w:t>污</w:t>
            </w:r>
          </w:p>
          <w:p>
            <w:pPr>
              <w:jc w:val="center"/>
              <w:rPr>
                <w:rFonts w:eastAsiaTheme="minorEastAsia"/>
                <w:color w:val="auto"/>
                <w:szCs w:val="21"/>
              </w:rPr>
            </w:pPr>
            <w:r>
              <w:rPr>
                <w:rFonts w:eastAsiaTheme="minorEastAsia"/>
                <w:color w:val="auto"/>
                <w:szCs w:val="21"/>
              </w:rPr>
              <w:t>染</w:t>
            </w:r>
          </w:p>
          <w:p>
            <w:pPr>
              <w:jc w:val="center"/>
              <w:rPr>
                <w:rFonts w:eastAsiaTheme="minorEastAsia"/>
                <w:color w:val="auto"/>
                <w:szCs w:val="21"/>
              </w:rPr>
            </w:pPr>
            <w:r>
              <w:rPr>
                <w:rFonts w:eastAsiaTheme="minorEastAsia"/>
                <w:color w:val="auto"/>
                <w:szCs w:val="21"/>
              </w:rPr>
              <w:t>物</w:t>
            </w:r>
          </w:p>
        </w:tc>
        <w:tc>
          <w:tcPr>
            <w:tcW w:w="479" w:type="dxa"/>
            <w:vAlign w:val="center"/>
          </w:tcPr>
          <w:p>
            <w:pPr>
              <w:spacing w:line="0" w:lineRule="atLeast"/>
              <w:jc w:val="center"/>
              <w:rPr>
                <w:rFonts w:eastAsiaTheme="minorEastAsia"/>
                <w:color w:val="auto"/>
                <w:szCs w:val="21"/>
              </w:rPr>
            </w:pPr>
            <w:r>
              <w:rPr>
                <w:rFonts w:eastAsiaTheme="minorEastAsia"/>
                <w:color w:val="auto"/>
                <w:szCs w:val="21"/>
              </w:rPr>
              <w:t>施工期</w:t>
            </w:r>
          </w:p>
        </w:tc>
        <w:tc>
          <w:tcPr>
            <w:tcW w:w="1551" w:type="dxa"/>
            <w:vAlign w:val="center"/>
          </w:tcPr>
          <w:p>
            <w:pPr>
              <w:spacing w:line="0" w:lineRule="atLeast"/>
              <w:jc w:val="center"/>
              <w:rPr>
                <w:rFonts w:eastAsiaTheme="minorEastAsia"/>
                <w:color w:val="auto"/>
                <w:szCs w:val="21"/>
              </w:rPr>
            </w:pPr>
            <w:r>
              <w:rPr>
                <w:rFonts w:eastAsiaTheme="minorEastAsia"/>
                <w:color w:val="auto"/>
                <w:szCs w:val="21"/>
              </w:rPr>
              <w:t>生活污水</w:t>
            </w:r>
          </w:p>
        </w:tc>
        <w:tc>
          <w:tcPr>
            <w:tcW w:w="1271" w:type="dxa"/>
            <w:tcBorders>
              <w:bottom w:val="single" w:color="auto" w:sz="4" w:space="0"/>
            </w:tcBorders>
            <w:vAlign w:val="center"/>
          </w:tcPr>
          <w:p>
            <w:pPr>
              <w:spacing w:line="0" w:lineRule="atLeast"/>
              <w:jc w:val="center"/>
              <w:rPr>
                <w:rFonts w:eastAsiaTheme="minorEastAsia"/>
                <w:color w:val="auto"/>
                <w:szCs w:val="21"/>
              </w:rPr>
            </w:pPr>
            <w:r>
              <w:rPr>
                <w:rFonts w:eastAsiaTheme="minorEastAsia"/>
                <w:color w:val="auto"/>
                <w:szCs w:val="21"/>
              </w:rPr>
              <w:t>COD</w:t>
            </w:r>
          </w:p>
          <w:p>
            <w:pPr>
              <w:spacing w:line="0" w:lineRule="atLeast"/>
              <w:jc w:val="center"/>
              <w:rPr>
                <w:rFonts w:eastAsiaTheme="minorEastAsia"/>
                <w:color w:val="auto"/>
                <w:szCs w:val="21"/>
              </w:rPr>
            </w:pPr>
            <w:r>
              <w:rPr>
                <w:rFonts w:eastAsiaTheme="minorEastAsia"/>
                <w:color w:val="auto"/>
                <w:szCs w:val="21"/>
              </w:rPr>
              <w:t>BOD</w:t>
            </w:r>
            <w:r>
              <w:rPr>
                <w:rFonts w:eastAsiaTheme="minorEastAsia"/>
                <w:color w:val="auto"/>
                <w:szCs w:val="21"/>
                <w:vertAlign w:val="subscript"/>
              </w:rPr>
              <w:t>5</w:t>
            </w:r>
          </w:p>
          <w:p>
            <w:pPr>
              <w:spacing w:line="0" w:lineRule="atLeast"/>
              <w:jc w:val="center"/>
              <w:rPr>
                <w:rFonts w:eastAsiaTheme="minorEastAsia"/>
                <w:color w:val="auto"/>
                <w:szCs w:val="21"/>
                <w:vertAlign w:val="subscript"/>
              </w:rPr>
            </w:pPr>
            <w:r>
              <w:rPr>
                <w:rFonts w:eastAsiaTheme="minorEastAsia"/>
                <w:color w:val="auto"/>
                <w:szCs w:val="21"/>
              </w:rPr>
              <w:t>氨氮</w:t>
            </w:r>
          </w:p>
        </w:tc>
        <w:tc>
          <w:tcPr>
            <w:tcW w:w="2239" w:type="dxa"/>
            <w:vAlign w:val="center"/>
          </w:tcPr>
          <w:p>
            <w:pPr>
              <w:jc w:val="center"/>
              <w:rPr>
                <w:rFonts w:eastAsiaTheme="minorEastAsia"/>
                <w:color w:val="auto"/>
                <w:szCs w:val="21"/>
              </w:rPr>
            </w:pPr>
            <w:r>
              <w:rPr>
                <w:rFonts w:eastAsiaTheme="minorEastAsia"/>
                <w:color w:val="auto"/>
                <w:szCs w:val="21"/>
              </w:rPr>
              <w:t>84m</w:t>
            </w:r>
            <w:r>
              <w:rPr>
                <w:rFonts w:eastAsiaTheme="minorEastAsia"/>
                <w:color w:val="auto"/>
                <w:szCs w:val="21"/>
                <w:vertAlign w:val="superscript"/>
              </w:rPr>
              <w:t>3</w:t>
            </w:r>
          </w:p>
        </w:tc>
        <w:tc>
          <w:tcPr>
            <w:tcW w:w="2552" w:type="dxa"/>
            <w:vAlign w:val="center"/>
          </w:tcPr>
          <w:p>
            <w:pPr>
              <w:spacing w:line="0" w:lineRule="atLeast"/>
              <w:jc w:val="center"/>
              <w:rPr>
                <w:rFonts w:eastAsiaTheme="minorEastAsia"/>
                <w:color w:val="auto"/>
                <w:szCs w:val="21"/>
              </w:rPr>
            </w:pPr>
            <w:r>
              <w:rPr>
                <w:rFonts w:eastAsiaTheme="minorEastAsia"/>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07" w:hRule="atLeast"/>
        </w:trPr>
        <w:tc>
          <w:tcPr>
            <w:tcW w:w="947" w:type="dxa"/>
            <w:vMerge w:val="continue"/>
            <w:vAlign w:val="center"/>
          </w:tcPr>
          <w:p>
            <w:pPr>
              <w:spacing w:line="480" w:lineRule="exact"/>
              <w:jc w:val="center"/>
              <w:rPr>
                <w:rFonts w:eastAsiaTheme="minorEastAsia"/>
                <w:color w:val="auto"/>
                <w:szCs w:val="21"/>
              </w:rPr>
            </w:pPr>
          </w:p>
        </w:tc>
        <w:tc>
          <w:tcPr>
            <w:tcW w:w="479" w:type="dxa"/>
            <w:vMerge w:val="restart"/>
            <w:vAlign w:val="center"/>
          </w:tcPr>
          <w:p>
            <w:pPr>
              <w:spacing w:line="0" w:lineRule="atLeast"/>
              <w:jc w:val="center"/>
              <w:rPr>
                <w:rFonts w:eastAsiaTheme="minorEastAsia"/>
                <w:color w:val="auto"/>
                <w:szCs w:val="21"/>
              </w:rPr>
            </w:pPr>
            <w:r>
              <w:rPr>
                <w:rFonts w:eastAsiaTheme="minorEastAsia"/>
                <w:color w:val="auto"/>
                <w:szCs w:val="21"/>
              </w:rPr>
              <w:t>运营期</w:t>
            </w:r>
          </w:p>
        </w:tc>
        <w:tc>
          <w:tcPr>
            <w:tcW w:w="1551" w:type="dxa"/>
            <w:vMerge w:val="restart"/>
            <w:vAlign w:val="center"/>
          </w:tcPr>
          <w:p>
            <w:pPr>
              <w:spacing w:line="0" w:lineRule="atLeast"/>
              <w:jc w:val="center"/>
              <w:rPr>
                <w:rFonts w:eastAsiaTheme="minorEastAsia"/>
                <w:color w:val="auto"/>
                <w:szCs w:val="21"/>
              </w:rPr>
            </w:pPr>
            <w:r>
              <w:rPr>
                <w:rFonts w:eastAsiaTheme="minorEastAsia"/>
                <w:color w:val="auto"/>
                <w:szCs w:val="21"/>
              </w:rPr>
              <w:t>污水处理</w:t>
            </w:r>
          </w:p>
        </w:tc>
        <w:tc>
          <w:tcPr>
            <w:tcW w:w="1271" w:type="dxa"/>
            <w:vAlign w:val="center"/>
          </w:tcPr>
          <w:p>
            <w:pPr>
              <w:jc w:val="center"/>
              <w:rPr>
                <w:rFonts w:eastAsiaTheme="minorEastAsia"/>
                <w:color w:val="auto"/>
                <w:szCs w:val="21"/>
              </w:rPr>
            </w:pPr>
            <w:r>
              <w:rPr>
                <w:rFonts w:eastAsiaTheme="minorEastAsia"/>
                <w:color w:val="auto"/>
                <w:szCs w:val="21"/>
              </w:rPr>
              <w:t>污水量</w:t>
            </w:r>
          </w:p>
        </w:tc>
        <w:tc>
          <w:tcPr>
            <w:tcW w:w="2239" w:type="dxa"/>
            <w:vAlign w:val="center"/>
          </w:tcPr>
          <w:p>
            <w:pPr>
              <w:jc w:val="center"/>
              <w:rPr>
                <w:rFonts w:eastAsiaTheme="minorEastAsia"/>
                <w:color w:val="auto"/>
                <w:szCs w:val="21"/>
              </w:rPr>
            </w:pPr>
            <w:r>
              <w:rPr>
                <w:rFonts w:eastAsiaTheme="minorEastAsia"/>
                <w:color w:val="auto"/>
                <w:szCs w:val="21"/>
              </w:rPr>
              <w:t>7.3万m</w:t>
            </w:r>
            <w:r>
              <w:rPr>
                <w:rFonts w:eastAsiaTheme="minorEastAsia"/>
                <w:color w:val="auto"/>
                <w:szCs w:val="21"/>
                <w:vertAlign w:val="superscript"/>
              </w:rPr>
              <w:t>3</w:t>
            </w:r>
            <w:r>
              <w:rPr>
                <w:rFonts w:eastAsiaTheme="minorEastAsia"/>
                <w:color w:val="auto"/>
                <w:szCs w:val="21"/>
              </w:rPr>
              <w:t>/a</w:t>
            </w:r>
          </w:p>
        </w:tc>
        <w:tc>
          <w:tcPr>
            <w:tcW w:w="2552" w:type="dxa"/>
            <w:vAlign w:val="center"/>
          </w:tcPr>
          <w:p>
            <w:pPr>
              <w:jc w:val="center"/>
              <w:rPr>
                <w:rFonts w:eastAsiaTheme="minorEastAsia"/>
                <w:color w:val="auto"/>
                <w:szCs w:val="21"/>
              </w:rPr>
            </w:pPr>
            <w:r>
              <w:rPr>
                <w:rFonts w:eastAsiaTheme="minorEastAsia"/>
                <w:color w:val="auto"/>
                <w:szCs w:val="21"/>
              </w:rPr>
              <w:t>7.3万m</w:t>
            </w:r>
            <w:r>
              <w:rPr>
                <w:rFonts w:eastAsiaTheme="minorEastAsia"/>
                <w:color w:val="auto"/>
                <w:szCs w:val="21"/>
                <w:vertAlign w:val="superscript"/>
              </w:rPr>
              <w:t>3</w:t>
            </w:r>
            <w:r>
              <w:rPr>
                <w:rFonts w:eastAsiaTheme="minorEastAsia"/>
                <w:color w:val="auto"/>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947" w:type="dxa"/>
            <w:vMerge w:val="continue"/>
            <w:vAlign w:val="center"/>
          </w:tcPr>
          <w:p>
            <w:pPr>
              <w:spacing w:line="480" w:lineRule="exact"/>
              <w:jc w:val="center"/>
              <w:rPr>
                <w:rFonts w:eastAsiaTheme="minorEastAsia"/>
                <w:color w:val="auto"/>
                <w:szCs w:val="21"/>
              </w:rPr>
            </w:pPr>
          </w:p>
        </w:tc>
        <w:tc>
          <w:tcPr>
            <w:tcW w:w="479" w:type="dxa"/>
            <w:vMerge w:val="continue"/>
            <w:vAlign w:val="center"/>
          </w:tcPr>
          <w:p>
            <w:pPr>
              <w:spacing w:line="0" w:lineRule="atLeast"/>
              <w:jc w:val="center"/>
              <w:rPr>
                <w:rFonts w:eastAsiaTheme="minorEastAsia"/>
                <w:color w:val="auto"/>
                <w:szCs w:val="21"/>
              </w:rPr>
            </w:pPr>
          </w:p>
        </w:tc>
        <w:tc>
          <w:tcPr>
            <w:tcW w:w="1551" w:type="dxa"/>
            <w:vMerge w:val="continue"/>
            <w:vAlign w:val="center"/>
          </w:tcPr>
          <w:p>
            <w:pPr>
              <w:spacing w:line="0" w:lineRule="atLeast"/>
              <w:jc w:val="center"/>
              <w:rPr>
                <w:rFonts w:eastAsiaTheme="minorEastAsia"/>
                <w:color w:val="auto"/>
                <w:szCs w:val="21"/>
              </w:rPr>
            </w:pPr>
          </w:p>
        </w:tc>
        <w:tc>
          <w:tcPr>
            <w:tcW w:w="1271" w:type="dxa"/>
            <w:vAlign w:val="center"/>
          </w:tcPr>
          <w:p>
            <w:pPr>
              <w:jc w:val="center"/>
              <w:rPr>
                <w:rFonts w:eastAsiaTheme="minorEastAsia"/>
                <w:color w:val="auto"/>
                <w:szCs w:val="21"/>
              </w:rPr>
            </w:pPr>
            <w:r>
              <w:rPr>
                <w:rFonts w:eastAsiaTheme="minorEastAsia"/>
                <w:color w:val="auto"/>
                <w:szCs w:val="21"/>
              </w:rPr>
              <w:t>CODcr</w:t>
            </w:r>
          </w:p>
        </w:tc>
        <w:tc>
          <w:tcPr>
            <w:tcW w:w="2239" w:type="dxa"/>
          </w:tcPr>
          <w:p>
            <w:pPr>
              <w:jc w:val="center"/>
              <w:rPr>
                <w:rFonts w:eastAsiaTheme="minorEastAsia"/>
                <w:color w:val="auto"/>
                <w:szCs w:val="21"/>
              </w:rPr>
            </w:pPr>
            <w:r>
              <w:rPr>
                <w:rFonts w:eastAsiaTheme="minorEastAsia"/>
                <w:color w:val="auto"/>
                <w:szCs w:val="21"/>
              </w:rPr>
              <w:t>500mg/L、36.5t/a</w:t>
            </w:r>
          </w:p>
        </w:tc>
        <w:tc>
          <w:tcPr>
            <w:tcW w:w="2552" w:type="dxa"/>
          </w:tcPr>
          <w:p>
            <w:pPr>
              <w:jc w:val="center"/>
              <w:rPr>
                <w:rFonts w:eastAsiaTheme="minorEastAsia"/>
                <w:color w:val="auto"/>
                <w:szCs w:val="21"/>
              </w:rPr>
            </w:pPr>
            <w:r>
              <w:rPr>
                <w:rFonts w:eastAsiaTheme="minorEastAsia"/>
                <w:color w:val="auto"/>
                <w:szCs w:val="21"/>
              </w:rPr>
              <w:t>50mg/L、3.65t/a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947" w:type="dxa"/>
            <w:vMerge w:val="continue"/>
            <w:vAlign w:val="center"/>
          </w:tcPr>
          <w:p>
            <w:pPr>
              <w:spacing w:line="480" w:lineRule="exact"/>
              <w:jc w:val="center"/>
              <w:rPr>
                <w:rFonts w:eastAsiaTheme="minorEastAsia"/>
                <w:color w:val="auto"/>
                <w:szCs w:val="21"/>
              </w:rPr>
            </w:pPr>
          </w:p>
        </w:tc>
        <w:tc>
          <w:tcPr>
            <w:tcW w:w="479" w:type="dxa"/>
            <w:vMerge w:val="continue"/>
            <w:vAlign w:val="center"/>
          </w:tcPr>
          <w:p>
            <w:pPr>
              <w:spacing w:line="0" w:lineRule="atLeast"/>
              <w:jc w:val="center"/>
              <w:rPr>
                <w:rFonts w:eastAsiaTheme="minorEastAsia"/>
                <w:color w:val="auto"/>
                <w:szCs w:val="21"/>
              </w:rPr>
            </w:pPr>
          </w:p>
        </w:tc>
        <w:tc>
          <w:tcPr>
            <w:tcW w:w="1551" w:type="dxa"/>
            <w:vMerge w:val="continue"/>
            <w:vAlign w:val="center"/>
          </w:tcPr>
          <w:p>
            <w:pPr>
              <w:spacing w:line="0" w:lineRule="atLeast"/>
              <w:jc w:val="center"/>
              <w:rPr>
                <w:rFonts w:eastAsiaTheme="minorEastAsia"/>
                <w:color w:val="auto"/>
                <w:szCs w:val="21"/>
              </w:rPr>
            </w:pPr>
          </w:p>
        </w:tc>
        <w:tc>
          <w:tcPr>
            <w:tcW w:w="1271" w:type="dxa"/>
            <w:vAlign w:val="center"/>
          </w:tcPr>
          <w:p>
            <w:pPr>
              <w:jc w:val="center"/>
              <w:rPr>
                <w:rFonts w:eastAsiaTheme="minorEastAsia"/>
                <w:color w:val="auto"/>
                <w:szCs w:val="21"/>
              </w:rPr>
            </w:pPr>
            <w:r>
              <w:rPr>
                <w:rFonts w:eastAsiaTheme="minorEastAsia"/>
                <w:color w:val="auto"/>
                <w:szCs w:val="21"/>
              </w:rPr>
              <w:t>BOD</w:t>
            </w:r>
            <w:r>
              <w:rPr>
                <w:rFonts w:eastAsiaTheme="minorEastAsia"/>
                <w:color w:val="auto"/>
                <w:szCs w:val="21"/>
                <w:vertAlign w:val="subscript"/>
              </w:rPr>
              <w:t>5</w:t>
            </w:r>
          </w:p>
        </w:tc>
        <w:tc>
          <w:tcPr>
            <w:tcW w:w="2239" w:type="dxa"/>
            <w:vAlign w:val="center"/>
          </w:tcPr>
          <w:p>
            <w:pPr>
              <w:jc w:val="center"/>
              <w:rPr>
                <w:rFonts w:eastAsiaTheme="minorEastAsia"/>
                <w:color w:val="auto"/>
                <w:szCs w:val="21"/>
              </w:rPr>
            </w:pPr>
            <w:r>
              <w:rPr>
                <w:rFonts w:eastAsiaTheme="minorEastAsia"/>
                <w:color w:val="auto"/>
                <w:szCs w:val="21"/>
              </w:rPr>
              <w:t>350mg/L、25.55t/a</w:t>
            </w:r>
          </w:p>
        </w:tc>
        <w:tc>
          <w:tcPr>
            <w:tcW w:w="2552" w:type="dxa"/>
          </w:tcPr>
          <w:p>
            <w:pPr>
              <w:jc w:val="center"/>
              <w:rPr>
                <w:rFonts w:eastAsiaTheme="minorEastAsia"/>
                <w:color w:val="auto"/>
                <w:szCs w:val="21"/>
              </w:rPr>
            </w:pPr>
            <w:r>
              <w:rPr>
                <w:rFonts w:eastAsiaTheme="minorEastAsia"/>
                <w:color w:val="auto"/>
                <w:szCs w:val="21"/>
              </w:rPr>
              <w:t>10mg/L、0.73t/a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trPr>
        <w:tc>
          <w:tcPr>
            <w:tcW w:w="947" w:type="dxa"/>
            <w:vMerge w:val="continue"/>
            <w:vAlign w:val="center"/>
          </w:tcPr>
          <w:p>
            <w:pPr>
              <w:spacing w:line="480" w:lineRule="exact"/>
              <w:jc w:val="center"/>
              <w:rPr>
                <w:rFonts w:eastAsiaTheme="minorEastAsia"/>
                <w:color w:val="auto"/>
                <w:szCs w:val="21"/>
              </w:rPr>
            </w:pPr>
          </w:p>
        </w:tc>
        <w:tc>
          <w:tcPr>
            <w:tcW w:w="479" w:type="dxa"/>
            <w:vMerge w:val="continue"/>
            <w:vAlign w:val="center"/>
          </w:tcPr>
          <w:p>
            <w:pPr>
              <w:spacing w:line="0" w:lineRule="atLeast"/>
              <w:jc w:val="center"/>
              <w:rPr>
                <w:rFonts w:eastAsiaTheme="minorEastAsia"/>
                <w:color w:val="auto"/>
                <w:szCs w:val="21"/>
              </w:rPr>
            </w:pPr>
          </w:p>
        </w:tc>
        <w:tc>
          <w:tcPr>
            <w:tcW w:w="1551" w:type="dxa"/>
            <w:vMerge w:val="continue"/>
            <w:vAlign w:val="center"/>
          </w:tcPr>
          <w:p>
            <w:pPr>
              <w:spacing w:line="0" w:lineRule="atLeast"/>
              <w:jc w:val="center"/>
              <w:rPr>
                <w:rFonts w:eastAsiaTheme="minorEastAsia"/>
                <w:color w:val="auto"/>
                <w:szCs w:val="21"/>
              </w:rPr>
            </w:pPr>
          </w:p>
        </w:tc>
        <w:tc>
          <w:tcPr>
            <w:tcW w:w="1271" w:type="dxa"/>
            <w:vAlign w:val="center"/>
          </w:tcPr>
          <w:p>
            <w:pPr>
              <w:jc w:val="center"/>
              <w:rPr>
                <w:rFonts w:eastAsiaTheme="minorEastAsia"/>
                <w:color w:val="auto"/>
                <w:szCs w:val="21"/>
              </w:rPr>
            </w:pPr>
            <w:r>
              <w:rPr>
                <w:rFonts w:eastAsiaTheme="minorEastAsia"/>
                <w:color w:val="auto"/>
                <w:szCs w:val="21"/>
              </w:rPr>
              <w:t>SS</w:t>
            </w:r>
          </w:p>
        </w:tc>
        <w:tc>
          <w:tcPr>
            <w:tcW w:w="2239" w:type="dxa"/>
          </w:tcPr>
          <w:p>
            <w:pPr>
              <w:jc w:val="center"/>
              <w:rPr>
                <w:rFonts w:eastAsiaTheme="minorEastAsia"/>
                <w:color w:val="auto"/>
                <w:szCs w:val="21"/>
              </w:rPr>
            </w:pPr>
            <w:r>
              <w:rPr>
                <w:rFonts w:eastAsiaTheme="minorEastAsia"/>
                <w:color w:val="auto"/>
                <w:szCs w:val="21"/>
              </w:rPr>
              <w:t>350mg/L、25.55t/a</w:t>
            </w:r>
          </w:p>
        </w:tc>
        <w:tc>
          <w:tcPr>
            <w:tcW w:w="2552" w:type="dxa"/>
          </w:tcPr>
          <w:p>
            <w:pPr>
              <w:jc w:val="center"/>
              <w:rPr>
                <w:rFonts w:eastAsiaTheme="minorEastAsia"/>
                <w:color w:val="auto"/>
                <w:szCs w:val="21"/>
              </w:rPr>
            </w:pPr>
            <w:r>
              <w:rPr>
                <w:rFonts w:eastAsiaTheme="minorEastAsia"/>
                <w:color w:val="auto"/>
                <w:szCs w:val="21"/>
              </w:rPr>
              <w:t>10mg/L、0.73t/a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trPr>
        <w:tc>
          <w:tcPr>
            <w:tcW w:w="947" w:type="dxa"/>
            <w:vMerge w:val="continue"/>
            <w:vAlign w:val="center"/>
          </w:tcPr>
          <w:p>
            <w:pPr>
              <w:spacing w:line="480" w:lineRule="exact"/>
              <w:jc w:val="center"/>
              <w:rPr>
                <w:rFonts w:eastAsiaTheme="minorEastAsia"/>
                <w:color w:val="auto"/>
                <w:szCs w:val="21"/>
              </w:rPr>
            </w:pPr>
          </w:p>
        </w:tc>
        <w:tc>
          <w:tcPr>
            <w:tcW w:w="479" w:type="dxa"/>
            <w:vMerge w:val="continue"/>
            <w:vAlign w:val="center"/>
          </w:tcPr>
          <w:p>
            <w:pPr>
              <w:spacing w:line="0" w:lineRule="atLeast"/>
              <w:jc w:val="center"/>
              <w:rPr>
                <w:rFonts w:eastAsiaTheme="minorEastAsia"/>
                <w:color w:val="auto"/>
                <w:szCs w:val="21"/>
              </w:rPr>
            </w:pPr>
          </w:p>
        </w:tc>
        <w:tc>
          <w:tcPr>
            <w:tcW w:w="1551" w:type="dxa"/>
            <w:vMerge w:val="continue"/>
            <w:vAlign w:val="center"/>
          </w:tcPr>
          <w:p>
            <w:pPr>
              <w:spacing w:line="0" w:lineRule="atLeast"/>
              <w:jc w:val="center"/>
              <w:rPr>
                <w:rFonts w:eastAsiaTheme="minorEastAsia"/>
                <w:color w:val="auto"/>
                <w:szCs w:val="21"/>
              </w:rPr>
            </w:pPr>
          </w:p>
        </w:tc>
        <w:tc>
          <w:tcPr>
            <w:tcW w:w="1271" w:type="dxa"/>
            <w:vAlign w:val="center"/>
          </w:tcPr>
          <w:p>
            <w:pPr>
              <w:jc w:val="center"/>
              <w:rPr>
                <w:rFonts w:eastAsiaTheme="minorEastAsia"/>
                <w:color w:val="auto"/>
                <w:szCs w:val="21"/>
              </w:rPr>
            </w:pPr>
            <w:r>
              <w:rPr>
                <w:rFonts w:eastAsiaTheme="minorEastAsia"/>
                <w:color w:val="auto"/>
                <w:szCs w:val="21"/>
              </w:rPr>
              <w:t>NH</w:t>
            </w:r>
            <w:r>
              <w:rPr>
                <w:rFonts w:eastAsiaTheme="minorEastAsia"/>
                <w:color w:val="auto"/>
                <w:szCs w:val="21"/>
                <w:vertAlign w:val="subscript"/>
              </w:rPr>
              <w:t>3</w:t>
            </w:r>
            <w:r>
              <w:rPr>
                <w:rFonts w:eastAsiaTheme="minorEastAsia"/>
                <w:color w:val="auto"/>
                <w:szCs w:val="21"/>
              </w:rPr>
              <w:t>-N</w:t>
            </w:r>
          </w:p>
        </w:tc>
        <w:tc>
          <w:tcPr>
            <w:tcW w:w="2239" w:type="dxa"/>
          </w:tcPr>
          <w:p>
            <w:pPr>
              <w:jc w:val="center"/>
              <w:rPr>
                <w:rFonts w:eastAsiaTheme="minorEastAsia"/>
                <w:color w:val="auto"/>
                <w:szCs w:val="21"/>
              </w:rPr>
            </w:pPr>
            <w:r>
              <w:rPr>
                <w:rFonts w:eastAsiaTheme="minorEastAsia"/>
                <w:color w:val="auto"/>
                <w:szCs w:val="21"/>
              </w:rPr>
              <w:t>35mg/L、2.555t/a</w:t>
            </w:r>
          </w:p>
        </w:tc>
        <w:tc>
          <w:tcPr>
            <w:tcW w:w="2552" w:type="dxa"/>
          </w:tcPr>
          <w:p>
            <w:pPr>
              <w:jc w:val="center"/>
              <w:rPr>
                <w:rFonts w:eastAsiaTheme="minorEastAsia"/>
                <w:color w:val="auto"/>
                <w:szCs w:val="21"/>
              </w:rPr>
            </w:pPr>
            <w:r>
              <w:rPr>
                <w:rFonts w:eastAsiaTheme="minorEastAsia"/>
                <w:color w:val="auto"/>
                <w:szCs w:val="21"/>
              </w:rPr>
              <w:t>5mg/L、0.365t/a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947" w:type="dxa"/>
            <w:vMerge w:val="continue"/>
            <w:vAlign w:val="center"/>
          </w:tcPr>
          <w:p>
            <w:pPr>
              <w:spacing w:line="480" w:lineRule="exact"/>
              <w:jc w:val="center"/>
              <w:rPr>
                <w:rFonts w:eastAsiaTheme="minorEastAsia"/>
                <w:color w:val="auto"/>
                <w:szCs w:val="21"/>
              </w:rPr>
            </w:pPr>
          </w:p>
        </w:tc>
        <w:tc>
          <w:tcPr>
            <w:tcW w:w="479" w:type="dxa"/>
            <w:vMerge w:val="continue"/>
            <w:vAlign w:val="center"/>
          </w:tcPr>
          <w:p>
            <w:pPr>
              <w:spacing w:line="0" w:lineRule="atLeast"/>
              <w:jc w:val="center"/>
              <w:rPr>
                <w:rFonts w:eastAsiaTheme="minorEastAsia"/>
                <w:color w:val="auto"/>
                <w:szCs w:val="21"/>
              </w:rPr>
            </w:pPr>
          </w:p>
        </w:tc>
        <w:tc>
          <w:tcPr>
            <w:tcW w:w="1551" w:type="dxa"/>
            <w:vMerge w:val="continue"/>
            <w:vAlign w:val="center"/>
          </w:tcPr>
          <w:p>
            <w:pPr>
              <w:spacing w:line="0" w:lineRule="atLeast"/>
              <w:jc w:val="center"/>
              <w:rPr>
                <w:rFonts w:eastAsiaTheme="minorEastAsia"/>
                <w:color w:val="auto"/>
                <w:szCs w:val="21"/>
              </w:rPr>
            </w:pPr>
          </w:p>
        </w:tc>
        <w:tc>
          <w:tcPr>
            <w:tcW w:w="1271" w:type="dxa"/>
            <w:vAlign w:val="center"/>
          </w:tcPr>
          <w:p>
            <w:pPr>
              <w:jc w:val="center"/>
              <w:rPr>
                <w:rFonts w:eastAsiaTheme="minorEastAsia"/>
                <w:color w:val="auto"/>
                <w:szCs w:val="21"/>
              </w:rPr>
            </w:pPr>
            <w:r>
              <w:rPr>
                <w:rFonts w:eastAsiaTheme="minorEastAsia"/>
                <w:color w:val="auto"/>
                <w:szCs w:val="21"/>
              </w:rPr>
              <w:t>TP</w:t>
            </w:r>
          </w:p>
        </w:tc>
        <w:tc>
          <w:tcPr>
            <w:tcW w:w="2239" w:type="dxa"/>
          </w:tcPr>
          <w:p>
            <w:pPr>
              <w:jc w:val="center"/>
              <w:rPr>
                <w:rFonts w:eastAsiaTheme="minorEastAsia"/>
                <w:color w:val="auto"/>
                <w:szCs w:val="21"/>
              </w:rPr>
            </w:pPr>
            <w:r>
              <w:rPr>
                <w:rFonts w:eastAsiaTheme="minorEastAsia"/>
                <w:color w:val="auto"/>
                <w:szCs w:val="21"/>
              </w:rPr>
              <w:t>3mg/L、0.219t/a</w:t>
            </w:r>
          </w:p>
        </w:tc>
        <w:tc>
          <w:tcPr>
            <w:tcW w:w="2552" w:type="dxa"/>
          </w:tcPr>
          <w:p>
            <w:pPr>
              <w:jc w:val="center"/>
              <w:rPr>
                <w:rFonts w:eastAsiaTheme="minorEastAsia"/>
                <w:color w:val="auto"/>
                <w:szCs w:val="21"/>
              </w:rPr>
            </w:pPr>
            <w:r>
              <w:rPr>
                <w:rFonts w:eastAsiaTheme="minorEastAsia"/>
                <w:color w:val="auto"/>
                <w:szCs w:val="21"/>
              </w:rPr>
              <w:t>0.5mg/L、0.039t/a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947" w:type="dxa"/>
            <w:vMerge w:val="restart"/>
            <w:vAlign w:val="center"/>
          </w:tcPr>
          <w:p>
            <w:pPr>
              <w:jc w:val="center"/>
              <w:rPr>
                <w:rFonts w:eastAsiaTheme="minorEastAsia"/>
                <w:color w:val="auto"/>
                <w:szCs w:val="21"/>
              </w:rPr>
            </w:pPr>
            <w:r>
              <w:rPr>
                <w:rFonts w:eastAsiaTheme="minorEastAsia"/>
                <w:color w:val="auto"/>
                <w:szCs w:val="21"/>
              </w:rPr>
              <w:t>固</w:t>
            </w:r>
          </w:p>
          <w:p>
            <w:pPr>
              <w:jc w:val="center"/>
              <w:rPr>
                <w:rFonts w:eastAsiaTheme="minorEastAsia"/>
                <w:color w:val="auto"/>
                <w:szCs w:val="21"/>
              </w:rPr>
            </w:pPr>
            <w:r>
              <w:rPr>
                <w:rFonts w:eastAsiaTheme="minorEastAsia"/>
                <w:color w:val="auto"/>
                <w:szCs w:val="21"/>
              </w:rPr>
              <w:t>体</w:t>
            </w:r>
          </w:p>
          <w:p>
            <w:pPr>
              <w:jc w:val="center"/>
              <w:rPr>
                <w:rFonts w:eastAsiaTheme="minorEastAsia"/>
                <w:color w:val="auto"/>
                <w:szCs w:val="21"/>
              </w:rPr>
            </w:pPr>
            <w:r>
              <w:rPr>
                <w:rFonts w:eastAsiaTheme="minorEastAsia"/>
                <w:color w:val="auto"/>
                <w:szCs w:val="21"/>
              </w:rPr>
              <w:t>废</w:t>
            </w:r>
          </w:p>
          <w:p>
            <w:pPr>
              <w:jc w:val="center"/>
              <w:rPr>
                <w:rFonts w:eastAsiaTheme="minorEastAsia"/>
                <w:color w:val="auto"/>
                <w:szCs w:val="21"/>
              </w:rPr>
            </w:pPr>
            <w:r>
              <w:rPr>
                <w:rFonts w:eastAsiaTheme="minorEastAsia"/>
                <w:color w:val="auto"/>
                <w:szCs w:val="21"/>
              </w:rPr>
              <w:t>物</w:t>
            </w:r>
          </w:p>
        </w:tc>
        <w:tc>
          <w:tcPr>
            <w:tcW w:w="479" w:type="dxa"/>
            <w:vMerge w:val="restart"/>
            <w:vAlign w:val="center"/>
          </w:tcPr>
          <w:p>
            <w:pPr>
              <w:spacing w:line="0" w:lineRule="atLeast"/>
              <w:jc w:val="center"/>
              <w:rPr>
                <w:rFonts w:eastAsiaTheme="minorEastAsia"/>
                <w:color w:val="auto"/>
                <w:szCs w:val="21"/>
              </w:rPr>
            </w:pPr>
            <w:r>
              <w:rPr>
                <w:rFonts w:eastAsiaTheme="minorEastAsia"/>
                <w:color w:val="auto"/>
                <w:szCs w:val="21"/>
              </w:rPr>
              <w:t>施工期</w:t>
            </w:r>
          </w:p>
        </w:tc>
        <w:tc>
          <w:tcPr>
            <w:tcW w:w="1551" w:type="dxa"/>
            <w:vAlign w:val="center"/>
          </w:tcPr>
          <w:p>
            <w:pPr>
              <w:spacing w:line="0" w:lineRule="atLeast"/>
              <w:jc w:val="center"/>
              <w:rPr>
                <w:rFonts w:eastAsiaTheme="minorEastAsia"/>
                <w:color w:val="auto"/>
                <w:szCs w:val="21"/>
              </w:rPr>
            </w:pPr>
            <w:r>
              <w:rPr>
                <w:rFonts w:eastAsiaTheme="minorEastAsia"/>
                <w:color w:val="auto"/>
                <w:szCs w:val="21"/>
              </w:rPr>
              <w:t>施工过程</w:t>
            </w:r>
          </w:p>
        </w:tc>
        <w:tc>
          <w:tcPr>
            <w:tcW w:w="1271" w:type="dxa"/>
            <w:tcBorders>
              <w:bottom w:val="single" w:color="auto" w:sz="4" w:space="0"/>
            </w:tcBorders>
            <w:vAlign w:val="center"/>
          </w:tcPr>
          <w:p>
            <w:pPr>
              <w:spacing w:line="0" w:lineRule="atLeast"/>
              <w:jc w:val="center"/>
              <w:rPr>
                <w:rFonts w:eastAsiaTheme="minorEastAsia"/>
                <w:color w:val="auto"/>
                <w:szCs w:val="21"/>
              </w:rPr>
            </w:pPr>
            <w:r>
              <w:rPr>
                <w:rFonts w:eastAsiaTheme="minorEastAsia"/>
                <w:color w:val="auto"/>
                <w:szCs w:val="21"/>
              </w:rPr>
              <w:t>建筑垃圾</w:t>
            </w:r>
          </w:p>
        </w:tc>
        <w:tc>
          <w:tcPr>
            <w:tcW w:w="2239" w:type="dxa"/>
            <w:tcBorders>
              <w:bottom w:val="single" w:color="auto" w:sz="4" w:space="0"/>
            </w:tcBorders>
            <w:vAlign w:val="center"/>
          </w:tcPr>
          <w:p>
            <w:pPr>
              <w:spacing w:line="0" w:lineRule="atLeast"/>
              <w:jc w:val="center"/>
              <w:rPr>
                <w:rFonts w:eastAsiaTheme="minorEastAsia"/>
                <w:color w:val="auto"/>
                <w:szCs w:val="21"/>
              </w:rPr>
            </w:pPr>
            <w:r>
              <w:rPr>
                <w:rFonts w:eastAsiaTheme="minorEastAsia"/>
                <w:color w:val="auto"/>
                <w:szCs w:val="21"/>
              </w:rPr>
              <w:t>2.76t</w:t>
            </w:r>
          </w:p>
        </w:tc>
        <w:tc>
          <w:tcPr>
            <w:tcW w:w="2552" w:type="dxa"/>
            <w:tcBorders>
              <w:bottom w:val="single" w:color="auto" w:sz="4" w:space="0"/>
            </w:tcBorders>
            <w:vAlign w:val="center"/>
          </w:tcPr>
          <w:p>
            <w:pPr>
              <w:spacing w:line="0" w:lineRule="atLeast"/>
              <w:jc w:val="center"/>
              <w:rPr>
                <w:rFonts w:eastAsiaTheme="minorEastAsia"/>
                <w:color w:val="auto"/>
                <w:szCs w:val="21"/>
              </w:rPr>
            </w:pPr>
            <w:r>
              <w:rPr>
                <w:rFonts w:eastAsiaTheme="minorEastAsia"/>
                <w:color w:val="auto"/>
                <w:szCs w:val="21"/>
              </w:rPr>
              <w:t>2.76t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trPr>
        <w:tc>
          <w:tcPr>
            <w:tcW w:w="947" w:type="dxa"/>
            <w:vMerge w:val="continue"/>
            <w:vAlign w:val="center"/>
          </w:tcPr>
          <w:p>
            <w:pPr>
              <w:spacing w:line="480" w:lineRule="exact"/>
              <w:jc w:val="center"/>
              <w:rPr>
                <w:rFonts w:eastAsiaTheme="minorEastAsia"/>
                <w:color w:val="auto"/>
                <w:szCs w:val="21"/>
              </w:rPr>
            </w:pPr>
          </w:p>
        </w:tc>
        <w:tc>
          <w:tcPr>
            <w:tcW w:w="479" w:type="dxa"/>
            <w:vMerge w:val="continue"/>
            <w:vAlign w:val="center"/>
          </w:tcPr>
          <w:p>
            <w:pPr>
              <w:spacing w:line="0" w:lineRule="atLeast"/>
              <w:jc w:val="center"/>
              <w:rPr>
                <w:rFonts w:eastAsiaTheme="minorEastAsia"/>
                <w:color w:val="auto"/>
                <w:szCs w:val="21"/>
              </w:rPr>
            </w:pPr>
          </w:p>
        </w:tc>
        <w:tc>
          <w:tcPr>
            <w:tcW w:w="1551" w:type="dxa"/>
            <w:tcBorders>
              <w:bottom w:val="single" w:color="auto" w:sz="4" w:space="0"/>
            </w:tcBorders>
            <w:vAlign w:val="center"/>
          </w:tcPr>
          <w:p>
            <w:pPr>
              <w:spacing w:line="0" w:lineRule="atLeast"/>
              <w:jc w:val="center"/>
              <w:rPr>
                <w:rFonts w:eastAsiaTheme="minorEastAsia"/>
                <w:color w:val="auto"/>
                <w:szCs w:val="21"/>
              </w:rPr>
            </w:pPr>
            <w:r>
              <w:rPr>
                <w:rFonts w:eastAsiaTheme="minorEastAsia"/>
                <w:color w:val="auto"/>
                <w:szCs w:val="21"/>
              </w:rPr>
              <w:t>施工人员</w:t>
            </w:r>
          </w:p>
        </w:tc>
        <w:tc>
          <w:tcPr>
            <w:tcW w:w="1271" w:type="dxa"/>
            <w:tcBorders>
              <w:bottom w:val="single" w:color="auto" w:sz="4" w:space="0"/>
            </w:tcBorders>
            <w:vAlign w:val="center"/>
          </w:tcPr>
          <w:p>
            <w:pPr>
              <w:spacing w:line="0" w:lineRule="atLeast"/>
              <w:jc w:val="center"/>
              <w:rPr>
                <w:rFonts w:eastAsiaTheme="minorEastAsia"/>
                <w:color w:val="auto"/>
                <w:szCs w:val="21"/>
              </w:rPr>
            </w:pPr>
            <w:r>
              <w:rPr>
                <w:rFonts w:eastAsiaTheme="minorEastAsia"/>
                <w:color w:val="auto"/>
                <w:szCs w:val="21"/>
              </w:rPr>
              <w:t>生活垃圾</w:t>
            </w:r>
          </w:p>
        </w:tc>
        <w:tc>
          <w:tcPr>
            <w:tcW w:w="2239" w:type="dxa"/>
            <w:tcBorders>
              <w:bottom w:val="single" w:color="auto" w:sz="4" w:space="0"/>
            </w:tcBorders>
            <w:vAlign w:val="center"/>
          </w:tcPr>
          <w:p>
            <w:pPr>
              <w:spacing w:line="0" w:lineRule="atLeast"/>
              <w:jc w:val="center"/>
              <w:rPr>
                <w:rFonts w:eastAsiaTheme="minorEastAsia"/>
                <w:color w:val="auto"/>
                <w:szCs w:val="21"/>
              </w:rPr>
            </w:pPr>
            <w:r>
              <w:rPr>
                <w:rFonts w:eastAsiaTheme="minorEastAsia"/>
                <w:color w:val="auto"/>
                <w:szCs w:val="21"/>
              </w:rPr>
              <w:t>1.05t</w:t>
            </w:r>
          </w:p>
        </w:tc>
        <w:tc>
          <w:tcPr>
            <w:tcW w:w="2552" w:type="dxa"/>
            <w:tcBorders>
              <w:bottom w:val="single" w:color="auto" w:sz="4" w:space="0"/>
            </w:tcBorders>
            <w:vAlign w:val="center"/>
          </w:tcPr>
          <w:p>
            <w:pPr>
              <w:spacing w:line="0" w:lineRule="atLeast"/>
              <w:jc w:val="center"/>
              <w:rPr>
                <w:rFonts w:eastAsiaTheme="minorEastAsia"/>
                <w:color w:val="auto"/>
                <w:szCs w:val="21"/>
              </w:rPr>
            </w:pPr>
            <w:r>
              <w:rPr>
                <w:rFonts w:eastAsiaTheme="minorEastAsia"/>
                <w:color w:val="auto"/>
                <w:szCs w:val="21"/>
              </w:rPr>
              <w:t>1.05t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trPr>
        <w:tc>
          <w:tcPr>
            <w:tcW w:w="947" w:type="dxa"/>
            <w:vMerge w:val="continue"/>
            <w:vAlign w:val="center"/>
          </w:tcPr>
          <w:p>
            <w:pPr>
              <w:spacing w:line="480" w:lineRule="exact"/>
              <w:jc w:val="center"/>
              <w:rPr>
                <w:rFonts w:eastAsiaTheme="minorEastAsia"/>
                <w:color w:val="auto"/>
                <w:szCs w:val="21"/>
              </w:rPr>
            </w:pPr>
          </w:p>
        </w:tc>
        <w:tc>
          <w:tcPr>
            <w:tcW w:w="479" w:type="dxa"/>
            <w:vMerge w:val="restart"/>
            <w:vAlign w:val="center"/>
          </w:tcPr>
          <w:p>
            <w:pPr>
              <w:spacing w:line="0" w:lineRule="atLeast"/>
              <w:jc w:val="center"/>
              <w:rPr>
                <w:rFonts w:eastAsiaTheme="minorEastAsia"/>
                <w:color w:val="auto"/>
                <w:szCs w:val="21"/>
              </w:rPr>
            </w:pPr>
            <w:r>
              <w:rPr>
                <w:rFonts w:eastAsiaTheme="minorEastAsia"/>
                <w:color w:val="auto"/>
                <w:szCs w:val="21"/>
              </w:rPr>
              <w:t>运营期</w:t>
            </w:r>
          </w:p>
        </w:tc>
        <w:tc>
          <w:tcPr>
            <w:tcW w:w="1551" w:type="dxa"/>
            <w:tcBorders>
              <w:bottom w:val="single" w:color="auto" w:sz="4" w:space="0"/>
            </w:tcBorders>
            <w:vAlign w:val="center"/>
          </w:tcPr>
          <w:p>
            <w:pPr>
              <w:spacing w:line="0" w:lineRule="atLeast"/>
              <w:jc w:val="center"/>
              <w:rPr>
                <w:rFonts w:eastAsiaTheme="minorEastAsia"/>
                <w:color w:val="auto"/>
                <w:szCs w:val="21"/>
              </w:rPr>
            </w:pPr>
            <w:r>
              <w:rPr>
                <w:rFonts w:eastAsiaTheme="minorEastAsia"/>
                <w:color w:val="auto"/>
                <w:szCs w:val="21"/>
              </w:rPr>
              <w:t>格栅、除砂间</w:t>
            </w:r>
          </w:p>
        </w:tc>
        <w:tc>
          <w:tcPr>
            <w:tcW w:w="1271" w:type="dxa"/>
            <w:vAlign w:val="center"/>
          </w:tcPr>
          <w:p>
            <w:pPr>
              <w:spacing w:line="0" w:lineRule="atLeast"/>
              <w:jc w:val="center"/>
              <w:rPr>
                <w:rFonts w:eastAsiaTheme="minorEastAsia"/>
                <w:color w:val="auto"/>
                <w:szCs w:val="21"/>
              </w:rPr>
            </w:pPr>
            <w:r>
              <w:rPr>
                <w:rFonts w:eastAsiaTheme="minorEastAsia"/>
                <w:color w:val="auto"/>
                <w:szCs w:val="21"/>
              </w:rPr>
              <w:t>栅渣、沉砂</w:t>
            </w:r>
          </w:p>
        </w:tc>
        <w:tc>
          <w:tcPr>
            <w:tcW w:w="2239" w:type="dxa"/>
            <w:vAlign w:val="center"/>
          </w:tcPr>
          <w:p>
            <w:pPr>
              <w:spacing w:line="0" w:lineRule="atLeast"/>
              <w:jc w:val="center"/>
              <w:rPr>
                <w:rFonts w:eastAsiaTheme="minorEastAsia"/>
                <w:color w:val="auto"/>
                <w:szCs w:val="21"/>
              </w:rPr>
            </w:pPr>
            <w:r>
              <w:rPr>
                <w:rFonts w:eastAsiaTheme="minorEastAsia"/>
                <w:color w:val="auto"/>
                <w:szCs w:val="21"/>
              </w:rPr>
              <w:t>8.895t/a</w:t>
            </w:r>
          </w:p>
        </w:tc>
        <w:tc>
          <w:tcPr>
            <w:tcW w:w="2552" w:type="dxa"/>
            <w:vAlign w:val="center"/>
          </w:tcPr>
          <w:p>
            <w:pPr>
              <w:spacing w:line="0" w:lineRule="atLeast"/>
              <w:jc w:val="center"/>
              <w:rPr>
                <w:rFonts w:eastAsiaTheme="minorEastAsia"/>
                <w:color w:val="auto"/>
                <w:szCs w:val="21"/>
              </w:rPr>
            </w:pPr>
            <w:r>
              <w:rPr>
                <w:rFonts w:eastAsiaTheme="minorEastAsia"/>
                <w:color w:val="auto"/>
                <w:szCs w:val="21"/>
              </w:rPr>
              <w:t>8.895t/a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947" w:type="dxa"/>
            <w:vMerge w:val="continue"/>
            <w:vAlign w:val="center"/>
          </w:tcPr>
          <w:p>
            <w:pPr>
              <w:spacing w:line="480" w:lineRule="exact"/>
              <w:jc w:val="center"/>
              <w:rPr>
                <w:rFonts w:eastAsiaTheme="minorEastAsia"/>
                <w:color w:val="auto"/>
                <w:szCs w:val="21"/>
              </w:rPr>
            </w:pPr>
          </w:p>
        </w:tc>
        <w:tc>
          <w:tcPr>
            <w:tcW w:w="479" w:type="dxa"/>
            <w:vMerge w:val="continue"/>
            <w:vAlign w:val="center"/>
          </w:tcPr>
          <w:p>
            <w:pPr>
              <w:spacing w:line="0" w:lineRule="atLeast"/>
              <w:jc w:val="center"/>
              <w:rPr>
                <w:rFonts w:eastAsiaTheme="minorEastAsia"/>
                <w:color w:val="auto"/>
                <w:szCs w:val="21"/>
              </w:rPr>
            </w:pPr>
          </w:p>
        </w:tc>
        <w:tc>
          <w:tcPr>
            <w:tcW w:w="1551" w:type="dxa"/>
            <w:tcBorders>
              <w:bottom w:val="single" w:color="auto" w:sz="4" w:space="0"/>
            </w:tcBorders>
            <w:vAlign w:val="center"/>
          </w:tcPr>
          <w:p>
            <w:pPr>
              <w:spacing w:line="0" w:lineRule="atLeast"/>
              <w:jc w:val="center"/>
              <w:rPr>
                <w:rFonts w:eastAsiaTheme="minorEastAsia"/>
                <w:color w:val="auto"/>
                <w:szCs w:val="21"/>
              </w:rPr>
            </w:pPr>
            <w:r>
              <w:rPr>
                <w:rFonts w:eastAsiaTheme="minorEastAsia"/>
                <w:color w:val="auto"/>
                <w:szCs w:val="21"/>
              </w:rPr>
              <w:t>污水处理池</w:t>
            </w:r>
          </w:p>
        </w:tc>
        <w:tc>
          <w:tcPr>
            <w:tcW w:w="1271" w:type="dxa"/>
            <w:vAlign w:val="center"/>
          </w:tcPr>
          <w:p>
            <w:pPr>
              <w:spacing w:line="0" w:lineRule="atLeast"/>
              <w:jc w:val="center"/>
              <w:rPr>
                <w:rFonts w:eastAsiaTheme="minorEastAsia"/>
                <w:color w:val="auto"/>
                <w:szCs w:val="21"/>
              </w:rPr>
            </w:pPr>
            <w:r>
              <w:rPr>
                <w:rFonts w:eastAsiaTheme="minorEastAsia"/>
                <w:color w:val="auto"/>
                <w:szCs w:val="21"/>
              </w:rPr>
              <w:t>污泥</w:t>
            </w:r>
          </w:p>
        </w:tc>
        <w:tc>
          <w:tcPr>
            <w:tcW w:w="2239" w:type="dxa"/>
            <w:vAlign w:val="center"/>
          </w:tcPr>
          <w:p>
            <w:pPr>
              <w:spacing w:line="0" w:lineRule="atLeast"/>
              <w:jc w:val="center"/>
              <w:rPr>
                <w:rFonts w:eastAsiaTheme="minorEastAsia"/>
                <w:color w:val="auto"/>
                <w:szCs w:val="21"/>
              </w:rPr>
            </w:pPr>
            <w:r>
              <w:rPr>
                <w:rFonts w:eastAsiaTheme="minorEastAsia"/>
                <w:color w:val="auto"/>
                <w:szCs w:val="21"/>
              </w:rPr>
              <w:t>0.5256t/a</w:t>
            </w:r>
          </w:p>
        </w:tc>
        <w:tc>
          <w:tcPr>
            <w:tcW w:w="2552" w:type="dxa"/>
            <w:vAlign w:val="center"/>
          </w:tcPr>
          <w:p>
            <w:pPr>
              <w:spacing w:line="0" w:lineRule="atLeast"/>
              <w:jc w:val="center"/>
              <w:rPr>
                <w:rFonts w:eastAsiaTheme="minorEastAsia"/>
                <w:color w:val="auto"/>
                <w:szCs w:val="21"/>
              </w:rPr>
            </w:pPr>
            <w:r>
              <w:rPr>
                <w:rFonts w:eastAsiaTheme="minorEastAsia"/>
                <w:color w:val="auto"/>
                <w:szCs w:val="21"/>
              </w:rPr>
              <w:t>05256t/a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trPr>
        <w:tc>
          <w:tcPr>
            <w:tcW w:w="947" w:type="dxa"/>
            <w:vMerge w:val="continue"/>
            <w:vAlign w:val="center"/>
          </w:tcPr>
          <w:p>
            <w:pPr>
              <w:spacing w:line="480" w:lineRule="exact"/>
              <w:jc w:val="center"/>
              <w:rPr>
                <w:rFonts w:eastAsiaTheme="minorEastAsia"/>
                <w:color w:val="auto"/>
                <w:szCs w:val="21"/>
              </w:rPr>
            </w:pPr>
          </w:p>
        </w:tc>
        <w:tc>
          <w:tcPr>
            <w:tcW w:w="479" w:type="dxa"/>
            <w:vMerge w:val="continue"/>
            <w:vAlign w:val="center"/>
          </w:tcPr>
          <w:p>
            <w:pPr>
              <w:spacing w:line="0" w:lineRule="atLeast"/>
              <w:jc w:val="center"/>
              <w:rPr>
                <w:rFonts w:eastAsiaTheme="minorEastAsia"/>
                <w:color w:val="auto"/>
                <w:szCs w:val="21"/>
              </w:rPr>
            </w:pPr>
          </w:p>
        </w:tc>
        <w:tc>
          <w:tcPr>
            <w:tcW w:w="1551" w:type="dxa"/>
            <w:tcBorders>
              <w:bottom w:val="single" w:color="auto" w:sz="4" w:space="0"/>
            </w:tcBorders>
            <w:vAlign w:val="center"/>
          </w:tcPr>
          <w:p>
            <w:pPr>
              <w:spacing w:line="0" w:lineRule="atLeast"/>
              <w:jc w:val="center"/>
              <w:rPr>
                <w:rFonts w:eastAsiaTheme="minorEastAsia"/>
                <w:color w:val="auto"/>
                <w:szCs w:val="21"/>
              </w:rPr>
            </w:pPr>
            <w:r>
              <w:rPr>
                <w:rFonts w:eastAsiaTheme="minorEastAsia"/>
                <w:color w:val="auto"/>
                <w:szCs w:val="21"/>
              </w:rPr>
              <w:t>职工</w:t>
            </w:r>
          </w:p>
        </w:tc>
        <w:tc>
          <w:tcPr>
            <w:tcW w:w="1271" w:type="dxa"/>
            <w:vAlign w:val="center"/>
          </w:tcPr>
          <w:p>
            <w:pPr>
              <w:spacing w:line="0" w:lineRule="atLeast"/>
              <w:jc w:val="center"/>
              <w:rPr>
                <w:rFonts w:eastAsiaTheme="minorEastAsia"/>
                <w:color w:val="auto"/>
                <w:szCs w:val="21"/>
              </w:rPr>
            </w:pPr>
            <w:r>
              <w:rPr>
                <w:rFonts w:eastAsiaTheme="minorEastAsia"/>
                <w:color w:val="auto"/>
                <w:szCs w:val="21"/>
              </w:rPr>
              <w:t>生活垃圾</w:t>
            </w:r>
          </w:p>
        </w:tc>
        <w:tc>
          <w:tcPr>
            <w:tcW w:w="2239" w:type="dxa"/>
            <w:vAlign w:val="center"/>
          </w:tcPr>
          <w:p>
            <w:pPr>
              <w:spacing w:line="0" w:lineRule="atLeast"/>
              <w:jc w:val="center"/>
              <w:rPr>
                <w:rFonts w:eastAsiaTheme="minorEastAsia"/>
                <w:color w:val="auto"/>
                <w:szCs w:val="21"/>
              </w:rPr>
            </w:pPr>
            <w:r>
              <w:rPr>
                <w:rFonts w:eastAsiaTheme="minorEastAsia"/>
                <w:color w:val="auto"/>
                <w:szCs w:val="21"/>
              </w:rPr>
              <w:t>1.095t/a</w:t>
            </w:r>
          </w:p>
        </w:tc>
        <w:tc>
          <w:tcPr>
            <w:tcW w:w="2552" w:type="dxa"/>
            <w:vAlign w:val="center"/>
          </w:tcPr>
          <w:p>
            <w:pPr>
              <w:spacing w:line="0" w:lineRule="atLeast"/>
              <w:jc w:val="center"/>
              <w:rPr>
                <w:rFonts w:eastAsiaTheme="minorEastAsia"/>
                <w:color w:val="auto"/>
                <w:szCs w:val="21"/>
              </w:rPr>
            </w:pPr>
            <w:r>
              <w:rPr>
                <w:rFonts w:eastAsiaTheme="minorEastAsia"/>
                <w:color w:val="auto"/>
                <w:szCs w:val="21"/>
              </w:rPr>
              <w:t>1.095t/a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1" w:hRule="atLeast"/>
        </w:trPr>
        <w:tc>
          <w:tcPr>
            <w:tcW w:w="947" w:type="dxa"/>
            <w:vAlign w:val="center"/>
          </w:tcPr>
          <w:p>
            <w:pPr>
              <w:spacing w:line="480" w:lineRule="exact"/>
              <w:jc w:val="center"/>
              <w:rPr>
                <w:rFonts w:eastAsiaTheme="minorEastAsia"/>
                <w:color w:val="auto"/>
                <w:szCs w:val="21"/>
              </w:rPr>
            </w:pPr>
            <w:r>
              <w:rPr>
                <w:rFonts w:eastAsiaTheme="minorEastAsia"/>
                <w:color w:val="auto"/>
                <w:szCs w:val="21"/>
              </w:rPr>
              <w:t>噪</w:t>
            </w:r>
          </w:p>
          <w:p>
            <w:pPr>
              <w:spacing w:line="480" w:lineRule="exact"/>
              <w:jc w:val="center"/>
              <w:rPr>
                <w:rFonts w:eastAsiaTheme="minorEastAsia"/>
                <w:color w:val="auto"/>
                <w:szCs w:val="21"/>
              </w:rPr>
            </w:pPr>
            <w:r>
              <w:rPr>
                <w:rFonts w:eastAsiaTheme="minorEastAsia"/>
                <w:color w:val="auto"/>
                <w:szCs w:val="21"/>
              </w:rPr>
              <w:t>声</w:t>
            </w:r>
          </w:p>
        </w:tc>
        <w:tc>
          <w:tcPr>
            <w:tcW w:w="8092" w:type="dxa"/>
            <w:gridSpan w:val="5"/>
            <w:vAlign w:val="center"/>
          </w:tcPr>
          <w:p>
            <w:pPr>
              <w:spacing w:line="0" w:lineRule="atLeast"/>
              <w:ind w:firstLine="420" w:firstLineChars="200"/>
              <w:rPr>
                <w:rFonts w:eastAsiaTheme="minorEastAsia"/>
                <w:color w:val="auto"/>
                <w:szCs w:val="21"/>
              </w:rPr>
            </w:pPr>
            <w:r>
              <w:rPr>
                <w:rFonts w:eastAsiaTheme="minorEastAsia"/>
                <w:color w:val="auto"/>
                <w:szCs w:val="21"/>
              </w:rPr>
              <w:t>施工期施工机械噪声80～95dB(A)，施工期采取噪声控制措施等降噪措施，使施工场界满足《建筑施工场界环境噪声排放标准》（GB12523-2011）要求；</w:t>
            </w:r>
          </w:p>
          <w:p>
            <w:pPr>
              <w:spacing w:line="0" w:lineRule="atLeast"/>
              <w:ind w:firstLine="420" w:firstLineChars="200"/>
              <w:rPr>
                <w:rFonts w:eastAsiaTheme="minorEastAsia"/>
                <w:color w:val="auto"/>
                <w:szCs w:val="21"/>
              </w:rPr>
            </w:pPr>
            <w:r>
              <w:rPr>
                <w:rFonts w:eastAsiaTheme="minorEastAsia"/>
                <w:color w:val="auto"/>
                <w:szCs w:val="21"/>
              </w:rPr>
              <w:t>运营期噪声污染物为各类泵产生的噪声，噪声级在75~87dB（A）左右。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3" w:hRule="atLeast"/>
        </w:trPr>
        <w:tc>
          <w:tcPr>
            <w:tcW w:w="9039" w:type="dxa"/>
            <w:gridSpan w:val="6"/>
            <w:vAlign w:val="center"/>
          </w:tcPr>
          <w:p>
            <w:pPr>
              <w:spacing w:line="480" w:lineRule="exact"/>
              <w:rPr>
                <w:rFonts w:eastAsiaTheme="minorEastAsia"/>
                <w:b/>
                <w:color w:val="auto"/>
                <w:szCs w:val="21"/>
              </w:rPr>
            </w:pPr>
            <w:r>
              <w:rPr>
                <w:rFonts w:eastAsiaTheme="minorEastAsia"/>
                <w:b/>
                <w:color w:val="auto"/>
                <w:szCs w:val="21"/>
              </w:rPr>
              <w:t>主要生态影响（不够时可附另页）</w:t>
            </w:r>
          </w:p>
          <w:p>
            <w:pPr>
              <w:spacing w:line="360" w:lineRule="auto"/>
              <w:ind w:firstLine="420" w:firstLineChars="200"/>
              <w:rPr>
                <w:rFonts w:eastAsiaTheme="minorEastAsia"/>
                <w:color w:val="auto"/>
                <w:szCs w:val="21"/>
              </w:rPr>
            </w:pPr>
            <w:r>
              <w:rPr>
                <w:rFonts w:eastAsiaTheme="minorEastAsia"/>
                <w:color w:val="auto"/>
                <w:szCs w:val="21"/>
              </w:rPr>
              <w:t>项目施工阶段，开挖土方堆放，在降雨径流作用下引发水土流失。因而必须对施工期合理安排，加强施工管理，可有效防止水土流失。</w:t>
            </w:r>
          </w:p>
          <w:p>
            <w:pPr>
              <w:spacing w:line="360" w:lineRule="auto"/>
              <w:rPr>
                <w:rFonts w:eastAsiaTheme="minorEastAsia"/>
                <w:color w:val="auto"/>
                <w:szCs w:val="21"/>
              </w:rPr>
            </w:pPr>
          </w:p>
        </w:tc>
      </w:tr>
    </w:tbl>
    <w:p>
      <w:pPr>
        <w:adjustRightInd w:val="0"/>
        <w:snapToGrid w:val="0"/>
        <w:rPr>
          <w:rFonts w:eastAsiaTheme="minorEastAsia"/>
          <w:b/>
          <w:bCs/>
          <w:color w:val="auto"/>
          <w:sz w:val="28"/>
          <w:szCs w:val="28"/>
        </w:rPr>
      </w:pPr>
      <w:r>
        <w:rPr>
          <w:rFonts w:eastAsiaTheme="minorEastAsia"/>
          <w:b/>
          <w:bCs/>
          <w:color w:val="auto"/>
          <w:sz w:val="28"/>
          <w:szCs w:val="28"/>
        </w:rPr>
        <w:br w:type="page"/>
      </w:r>
    </w:p>
    <w:p>
      <w:pPr>
        <w:adjustRightInd w:val="0"/>
        <w:snapToGrid w:val="0"/>
        <w:rPr>
          <w:rFonts w:eastAsiaTheme="minorEastAsia"/>
          <w:b/>
          <w:bCs/>
          <w:color w:val="auto"/>
          <w:sz w:val="28"/>
          <w:szCs w:val="28"/>
        </w:rPr>
      </w:pPr>
      <w:r>
        <w:rPr>
          <w:rFonts w:eastAsiaTheme="minorEastAsia"/>
          <w:b/>
          <w:bCs/>
          <w:color w:val="auto"/>
          <w:sz w:val="28"/>
          <w:szCs w:val="28"/>
        </w:rPr>
        <w:t>环境影响预测与分析</w:t>
      </w:r>
    </w:p>
    <w:tbl>
      <w:tblPr>
        <w:tblStyle w:val="38"/>
        <w:tblW w:w="88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4" w:hRule="atLeast"/>
        </w:trPr>
        <w:tc>
          <w:tcPr>
            <w:tcW w:w="8839" w:type="dxa"/>
            <w:tcBorders>
              <w:top w:val="single" w:color="auto" w:sz="4" w:space="0"/>
              <w:left w:val="single" w:color="auto" w:sz="4" w:space="0"/>
              <w:bottom w:val="single" w:color="auto" w:sz="4" w:space="0"/>
              <w:right w:val="single" w:color="auto" w:sz="4" w:space="0"/>
            </w:tcBorders>
          </w:tcPr>
          <w:p>
            <w:pPr>
              <w:spacing w:line="360" w:lineRule="auto"/>
              <w:ind w:firstLine="472" w:firstLineChars="196"/>
              <w:rPr>
                <w:rFonts w:eastAsiaTheme="minorEastAsia"/>
                <w:b/>
                <w:color w:val="auto"/>
                <w:sz w:val="24"/>
              </w:rPr>
            </w:pPr>
            <w:r>
              <w:rPr>
                <w:rFonts w:eastAsiaTheme="minorEastAsia"/>
                <w:b/>
                <w:color w:val="auto"/>
                <w:sz w:val="24"/>
              </w:rPr>
              <w:t>1、施工期环境影响简要分析：</w:t>
            </w:r>
          </w:p>
          <w:p>
            <w:pPr>
              <w:adjustRightInd w:val="0"/>
              <w:snapToGrid w:val="0"/>
              <w:spacing w:line="360" w:lineRule="auto"/>
              <w:ind w:firstLine="482" w:firstLineChars="200"/>
              <w:rPr>
                <w:rFonts w:eastAsiaTheme="minorEastAsia"/>
                <w:b/>
                <w:color w:val="auto"/>
                <w:sz w:val="24"/>
              </w:rPr>
            </w:pPr>
            <w:r>
              <w:rPr>
                <w:rFonts w:eastAsiaTheme="minorEastAsia"/>
                <w:b/>
                <w:color w:val="auto"/>
                <w:sz w:val="24"/>
              </w:rPr>
              <w:t>1.1环境空气影响分析</w:t>
            </w:r>
          </w:p>
          <w:p>
            <w:pPr>
              <w:pStyle w:val="131"/>
              <w:adjustRightInd w:val="0"/>
              <w:snapToGrid w:val="0"/>
              <w:ind w:left="0" w:leftChars="0"/>
              <w:rPr>
                <w:rFonts w:ascii="Times New Roman" w:hAnsi="Times New Roman" w:eastAsiaTheme="minorEastAsia"/>
                <w:color w:val="auto"/>
                <w:szCs w:val="24"/>
              </w:rPr>
            </w:pPr>
            <w:r>
              <w:rPr>
                <w:rFonts w:ascii="Times New Roman" w:hAnsi="Times New Roman" w:eastAsiaTheme="minorEastAsia"/>
                <w:color w:val="auto"/>
                <w:szCs w:val="24"/>
              </w:rPr>
              <w:fldChar w:fldCharType="begin"/>
            </w:r>
            <w:r>
              <w:rPr>
                <w:rFonts w:ascii="Times New Roman" w:hAnsi="Times New Roman" w:eastAsiaTheme="minorEastAsia"/>
                <w:color w:val="auto"/>
                <w:szCs w:val="24"/>
              </w:rPr>
              <w:instrText xml:space="preserve"> = 1 \* GB3 </w:instrText>
            </w:r>
            <w:r>
              <w:rPr>
                <w:rFonts w:ascii="Times New Roman" w:hAnsi="Times New Roman" w:eastAsiaTheme="minorEastAsia"/>
                <w:color w:val="auto"/>
                <w:szCs w:val="24"/>
              </w:rPr>
              <w:fldChar w:fldCharType="separate"/>
            </w:r>
            <w:r>
              <w:rPr>
                <w:rFonts w:hint="eastAsia" w:cs="宋体"/>
                <w:color w:val="auto"/>
                <w:szCs w:val="24"/>
              </w:rPr>
              <w:t>①</w:t>
            </w:r>
            <w:r>
              <w:rPr>
                <w:rFonts w:ascii="Times New Roman" w:hAnsi="Times New Roman" w:eastAsiaTheme="minorEastAsia"/>
                <w:color w:val="auto"/>
                <w:szCs w:val="24"/>
              </w:rPr>
              <w:fldChar w:fldCharType="end"/>
            </w:r>
            <w:r>
              <w:rPr>
                <w:rFonts w:ascii="Times New Roman" w:hAnsi="Times New Roman" w:eastAsiaTheme="minorEastAsia"/>
                <w:color w:val="auto"/>
                <w:szCs w:val="24"/>
              </w:rPr>
              <w:t>扬尘对周围环境的影响分析</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通过相同工程类比调查，在未采取防护措施以及土壤较为干燥时，开挖的最大扬尘约为开挖土量的1%，在采取一定防护措施和土壤较为湿润时，开挖的扬尘量约为0.1%。因此，工程施工应避开大风天气，采取洒水降尘措施，施工洒水降尘实验表明，通过对施工场地定时洒水，可有效抑制扬尘，实验结果见表55。</w:t>
            </w:r>
          </w:p>
          <w:p>
            <w:pPr>
              <w:adjustRightInd w:val="0"/>
              <w:snapToGrid w:val="0"/>
              <w:spacing w:line="360" w:lineRule="auto"/>
              <w:ind w:firstLine="482" w:firstLineChars="200"/>
              <w:jc w:val="center"/>
              <w:rPr>
                <w:rFonts w:eastAsiaTheme="minorEastAsia"/>
                <w:b/>
                <w:color w:val="auto"/>
                <w:sz w:val="24"/>
              </w:rPr>
            </w:pPr>
            <w:r>
              <w:rPr>
                <w:rFonts w:eastAsiaTheme="minorEastAsia"/>
                <w:b/>
                <w:color w:val="auto"/>
                <w:sz w:val="24"/>
              </w:rPr>
              <w:t>表55施工场地洒水降尘实验结果</w:t>
            </w:r>
          </w:p>
          <w:tbl>
            <w:tblPr>
              <w:tblStyle w:val="38"/>
              <w:tblW w:w="8534"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80"/>
              <w:gridCol w:w="1050"/>
              <w:gridCol w:w="1220"/>
              <w:gridCol w:w="1221"/>
              <w:gridCol w:w="1221"/>
              <w:gridCol w:w="1221"/>
              <w:gridCol w:w="1221"/>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430" w:type="dxa"/>
                  <w:gridSpan w:val="2"/>
                  <w:vAlign w:val="center"/>
                </w:tcPr>
                <w:p>
                  <w:pPr>
                    <w:adjustRightInd w:val="0"/>
                    <w:snapToGrid w:val="0"/>
                    <w:jc w:val="center"/>
                    <w:rPr>
                      <w:rFonts w:eastAsiaTheme="minorEastAsia"/>
                      <w:color w:val="auto"/>
                      <w:szCs w:val="21"/>
                    </w:rPr>
                  </w:pPr>
                  <w:r>
                    <w:rPr>
                      <w:rFonts w:eastAsiaTheme="minorEastAsia"/>
                      <w:color w:val="auto"/>
                      <w:szCs w:val="21"/>
                    </w:rPr>
                    <w:t>距离</w:t>
                  </w:r>
                </w:p>
              </w:tc>
              <w:tc>
                <w:tcPr>
                  <w:tcW w:w="1220" w:type="dxa"/>
                  <w:vAlign w:val="center"/>
                </w:tcPr>
                <w:p>
                  <w:pPr>
                    <w:adjustRightInd w:val="0"/>
                    <w:snapToGrid w:val="0"/>
                    <w:jc w:val="center"/>
                    <w:rPr>
                      <w:rFonts w:eastAsiaTheme="minorEastAsia"/>
                      <w:color w:val="auto"/>
                      <w:szCs w:val="21"/>
                    </w:rPr>
                  </w:pPr>
                  <w:r>
                    <w:rPr>
                      <w:rFonts w:eastAsiaTheme="minorEastAsia"/>
                      <w:color w:val="auto"/>
                      <w:szCs w:val="21"/>
                    </w:rPr>
                    <w:t>0</w:t>
                  </w:r>
                </w:p>
              </w:tc>
              <w:tc>
                <w:tcPr>
                  <w:tcW w:w="1221" w:type="dxa"/>
                  <w:vAlign w:val="center"/>
                </w:tcPr>
                <w:p>
                  <w:pPr>
                    <w:adjustRightInd w:val="0"/>
                    <w:snapToGrid w:val="0"/>
                    <w:jc w:val="center"/>
                    <w:rPr>
                      <w:rFonts w:eastAsiaTheme="minorEastAsia"/>
                      <w:color w:val="auto"/>
                      <w:szCs w:val="21"/>
                    </w:rPr>
                  </w:pPr>
                  <w:r>
                    <w:rPr>
                      <w:rFonts w:eastAsiaTheme="minorEastAsia"/>
                      <w:color w:val="auto"/>
                      <w:szCs w:val="21"/>
                    </w:rPr>
                    <w:t>20</w:t>
                  </w:r>
                </w:p>
              </w:tc>
              <w:tc>
                <w:tcPr>
                  <w:tcW w:w="1221" w:type="dxa"/>
                  <w:vAlign w:val="center"/>
                </w:tcPr>
                <w:p>
                  <w:pPr>
                    <w:adjustRightInd w:val="0"/>
                    <w:snapToGrid w:val="0"/>
                    <w:jc w:val="center"/>
                    <w:rPr>
                      <w:rFonts w:eastAsiaTheme="minorEastAsia"/>
                      <w:color w:val="auto"/>
                      <w:szCs w:val="21"/>
                    </w:rPr>
                  </w:pPr>
                  <w:r>
                    <w:rPr>
                      <w:rFonts w:eastAsiaTheme="minorEastAsia"/>
                      <w:color w:val="auto"/>
                      <w:szCs w:val="21"/>
                    </w:rPr>
                    <w:t>50</w:t>
                  </w:r>
                </w:p>
              </w:tc>
              <w:tc>
                <w:tcPr>
                  <w:tcW w:w="1221" w:type="dxa"/>
                  <w:vAlign w:val="center"/>
                </w:tcPr>
                <w:p>
                  <w:pPr>
                    <w:adjustRightInd w:val="0"/>
                    <w:snapToGrid w:val="0"/>
                    <w:jc w:val="center"/>
                    <w:rPr>
                      <w:rFonts w:eastAsiaTheme="minorEastAsia"/>
                      <w:color w:val="auto"/>
                      <w:szCs w:val="21"/>
                    </w:rPr>
                  </w:pPr>
                  <w:r>
                    <w:rPr>
                      <w:rFonts w:eastAsiaTheme="minorEastAsia"/>
                      <w:color w:val="auto"/>
                      <w:szCs w:val="21"/>
                    </w:rPr>
                    <w:t>100</w:t>
                  </w:r>
                </w:p>
              </w:tc>
              <w:tc>
                <w:tcPr>
                  <w:tcW w:w="1221" w:type="dxa"/>
                  <w:vAlign w:val="center"/>
                </w:tcPr>
                <w:p>
                  <w:pPr>
                    <w:adjustRightInd w:val="0"/>
                    <w:snapToGrid w:val="0"/>
                    <w:jc w:val="center"/>
                    <w:rPr>
                      <w:rFonts w:eastAsiaTheme="minorEastAsia"/>
                      <w:color w:val="auto"/>
                      <w:szCs w:val="21"/>
                    </w:rPr>
                  </w:pPr>
                  <w:r>
                    <w:rPr>
                      <w:rFonts w:eastAsiaTheme="minorEastAsia"/>
                      <w:color w:val="auto"/>
                      <w:szCs w:val="21"/>
                    </w:rPr>
                    <w:t>200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80" w:type="dxa"/>
                  <w:vMerge w:val="restart"/>
                  <w:vAlign w:val="center"/>
                </w:tcPr>
                <w:p>
                  <w:pPr>
                    <w:adjustRightInd w:val="0"/>
                    <w:snapToGrid w:val="0"/>
                    <w:jc w:val="center"/>
                    <w:rPr>
                      <w:rFonts w:eastAsiaTheme="minorEastAsia"/>
                      <w:color w:val="auto"/>
                      <w:szCs w:val="21"/>
                    </w:rPr>
                  </w:pPr>
                  <w:r>
                    <w:rPr>
                      <w:rFonts w:eastAsiaTheme="minorEastAsia"/>
                      <w:color w:val="auto"/>
                      <w:szCs w:val="21"/>
                    </w:rPr>
                    <w:t>TSP(mg/m</w:t>
                  </w:r>
                  <w:r>
                    <w:rPr>
                      <w:rFonts w:eastAsiaTheme="minorEastAsia"/>
                      <w:color w:val="auto"/>
                      <w:szCs w:val="21"/>
                      <w:vertAlign w:val="superscript"/>
                    </w:rPr>
                    <w:t>3</w:t>
                  </w:r>
                  <w:r>
                    <w:rPr>
                      <w:rFonts w:eastAsiaTheme="minorEastAsia"/>
                      <w:color w:val="auto"/>
                      <w:szCs w:val="21"/>
                    </w:rPr>
                    <w:t>)</w:t>
                  </w:r>
                </w:p>
              </w:tc>
              <w:tc>
                <w:tcPr>
                  <w:tcW w:w="1050" w:type="dxa"/>
                  <w:vAlign w:val="center"/>
                </w:tcPr>
                <w:p>
                  <w:pPr>
                    <w:adjustRightInd w:val="0"/>
                    <w:snapToGrid w:val="0"/>
                    <w:jc w:val="center"/>
                    <w:rPr>
                      <w:rFonts w:eastAsiaTheme="minorEastAsia"/>
                      <w:color w:val="auto"/>
                      <w:szCs w:val="21"/>
                    </w:rPr>
                  </w:pPr>
                  <w:r>
                    <w:rPr>
                      <w:rFonts w:eastAsiaTheme="minorEastAsia"/>
                      <w:color w:val="auto"/>
                      <w:szCs w:val="21"/>
                    </w:rPr>
                    <w:t>不洒水</w:t>
                  </w:r>
                </w:p>
              </w:tc>
              <w:tc>
                <w:tcPr>
                  <w:tcW w:w="1220" w:type="dxa"/>
                  <w:vAlign w:val="center"/>
                </w:tcPr>
                <w:p>
                  <w:pPr>
                    <w:adjustRightInd w:val="0"/>
                    <w:snapToGrid w:val="0"/>
                    <w:jc w:val="center"/>
                    <w:rPr>
                      <w:rFonts w:eastAsiaTheme="minorEastAsia"/>
                      <w:color w:val="auto"/>
                      <w:szCs w:val="21"/>
                    </w:rPr>
                  </w:pPr>
                  <w:r>
                    <w:rPr>
                      <w:rFonts w:eastAsiaTheme="minorEastAsia"/>
                      <w:color w:val="auto"/>
                      <w:szCs w:val="21"/>
                    </w:rPr>
                    <w:t>11.03</w:t>
                  </w:r>
                </w:p>
              </w:tc>
              <w:tc>
                <w:tcPr>
                  <w:tcW w:w="1221" w:type="dxa"/>
                  <w:vAlign w:val="center"/>
                </w:tcPr>
                <w:p>
                  <w:pPr>
                    <w:adjustRightInd w:val="0"/>
                    <w:snapToGrid w:val="0"/>
                    <w:jc w:val="center"/>
                    <w:rPr>
                      <w:rFonts w:eastAsiaTheme="minorEastAsia"/>
                      <w:color w:val="auto"/>
                      <w:szCs w:val="21"/>
                    </w:rPr>
                  </w:pPr>
                  <w:r>
                    <w:rPr>
                      <w:rFonts w:eastAsiaTheme="minorEastAsia"/>
                      <w:color w:val="auto"/>
                      <w:szCs w:val="21"/>
                    </w:rPr>
                    <w:t>2.89</w:t>
                  </w:r>
                </w:p>
              </w:tc>
              <w:tc>
                <w:tcPr>
                  <w:tcW w:w="1221" w:type="dxa"/>
                  <w:vAlign w:val="center"/>
                </w:tcPr>
                <w:p>
                  <w:pPr>
                    <w:adjustRightInd w:val="0"/>
                    <w:snapToGrid w:val="0"/>
                    <w:jc w:val="center"/>
                    <w:rPr>
                      <w:rFonts w:eastAsiaTheme="minorEastAsia"/>
                      <w:color w:val="auto"/>
                      <w:szCs w:val="21"/>
                    </w:rPr>
                  </w:pPr>
                  <w:r>
                    <w:rPr>
                      <w:rFonts w:eastAsiaTheme="minorEastAsia"/>
                      <w:color w:val="auto"/>
                      <w:szCs w:val="21"/>
                    </w:rPr>
                    <w:t>1.15</w:t>
                  </w:r>
                </w:p>
              </w:tc>
              <w:tc>
                <w:tcPr>
                  <w:tcW w:w="1221" w:type="dxa"/>
                  <w:vAlign w:val="center"/>
                </w:tcPr>
                <w:p>
                  <w:pPr>
                    <w:adjustRightInd w:val="0"/>
                    <w:snapToGrid w:val="0"/>
                    <w:jc w:val="center"/>
                    <w:rPr>
                      <w:rFonts w:eastAsiaTheme="minorEastAsia"/>
                      <w:color w:val="auto"/>
                      <w:szCs w:val="21"/>
                    </w:rPr>
                  </w:pPr>
                  <w:r>
                    <w:rPr>
                      <w:rFonts w:eastAsiaTheme="minorEastAsia"/>
                      <w:color w:val="auto"/>
                      <w:szCs w:val="21"/>
                    </w:rPr>
                    <w:t>0.86</w:t>
                  </w:r>
                </w:p>
              </w:tc>
              <w:tc>
                <w:tcPr>
                  <w:tcW w:w="1221" w:type="dxa"/>
                  <w:vAlign w:val="center"/>
                </w:tcPr>
                <w:p>
                  <w:pPr>
                    <w:adjustRightInd w:val="0"/>
                    <w:snapToGrid w:val="0"/>
                    <w:jc w:val="center"/>
                    <w:rPr>
                      <w:rFonts w:eastAsiaTheme="minorEastAsia"/>
                      <w:color w:val="auto"/>
                      <w:szCs w:val="21"/>
                    </w:rPr>
                  </w:pPr>
                  <w:r>
                    <w:rPr>
                      <w:rFonts w:eastAsiaTheme="minorEastAsia"/>
                      <w:color w:val="auto"/>
                      <w:szCs w:val="21"/>
                    </w:rPr>
                    <w:t>0.56</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80" w:type="dxa"/>
                  <w:vMerge w:val="continue"/>
                  <w:vAlign w:val="center"/>
                </w:tcPr>
                <w:p>
                  <w:pPr>
                    <w:adjustRightInd w:val="0"/>
                    <w:snapToGrid w:val="0"/>
                    <w:jc w:val="center"/>
                    <w:rPr>
                      <w:rFonts w:eastAsiaTheme="minorEastAsia"/>
                      <w:color w:val="auto"/>
                      <w:szCs w:val="21"/>
                    </w:rPr>
                  </w:pPr>
                </w:p>
              </w:tc>
              <w:tc>
                <w:tcPr>
                  <w:tcW w:w="1050" w:type="dxa"/>
                  <w:vAlign w:val="center"/>
                </w:tcPr>
                <w:p>
                  <w:pPr>
                    <w:adjustRightInd w:val="0"/>
                    <w:snapToGrid w:val="0"/>
                    <w:jc w:val="center"/>
                    <w:rPr>
                      <w:rFonts w:eastAsiaTheme="minorEastAsia"/>
                      <w:color w:val="auto"/>
                      <w:szCs w:val="21"/>
                    </w:rPr>
                  </w:pPr>
                  <w:r>
                    <w:rPr>
                      <w:rFonts w:eastAsiaTheme="minorEastAsia"/>
                      <w:color w:val="auto"/>
                      <w:szCs w:val="21"/>
                    </w:rPr>
                    <w:t>洒水</w:t>
                  </w:r>
                </w:p>
              </w:tc>
              <w:tc>
                <w:tcPr>
                  <w:tcW w:w="1220" w:type="dxa"/>
                  <w:vAlign w:val="center"/>
                </w:tcPr>
                <w:p>
                  <w:pPr>
                    <w:adjustRightInd w:val="0"/>
                    <w:snapToGrid w:val="0"/>
                    <w:jc w:val="center"/>
                    <w:rPr>
                      <w:rFonts w:eastAsiaTheme="minorEastAsia"/>
                      <w:color w:val="auto"/>
                      <w:szCs w:val="21"/>
                    </w:rPr>
                  </w:pPr>
                  <w:r>
                    <w:rPr>
                      <w:rFonts w:eastAsiaTheme="minorEastAsia"/>
                      <w:color w:val="auto"/>
                      <w:szCs w:val="21"/>
                    </w:rPr>
                    <w:t>2.11</w:t>
                  </w:r>
                </w:p>
              </w:tc>
              <w:tc>
                <w:tcPr>
                  <w:tcW w:w="1221" w:type="dxa"/>
                  <w:vAlign w:val="center"/>
                </w:tcPr>
                <w:p>
                  <w:pPr>
                    <w:adjustRightInd w:val="0"/>
                    <w:snapToGrid w:val="0"/>
                    <w:jc w:val="center"/>
                    <w:rPr>
                      <w:rFonts w:eastAsiaTheme="minorEastAsia"/>
                      <w:color w:val="auto"/>
                      <w:szCs w:val="21"/>
                    </w:rPr>
                  </w:pPr>
                  <w:r>
                    <w:rPr>
                      <w:rFonts w:eastAsiaTheme="minorEastAsia"/>
                      <w:color w:val="auto"/>
                      <w:szCs w:val="21"/>
                    </w:rPr>
                    <w:t>1.40</w:t>
                  </w:r>
                </w:p>
              </w:tc>
              <w:tc>
                <w:tcPr>
                  <w:tcW w:w="1221" w:type="dxa"/>
                  <w:vAlign w:val="center"/>
                </w:tcPr>
                <w:p>
                  <w:pPr>
                    <w:adjustRightInd w:val="0"/>
                    <w:snapToGrid w:val="0"/>
                    <w:jc w:val="center"/>
                    <w:rPr>
                      <w:rFonts w:eastAsiaTheme="minorEastAsia"/>
                      <w:color w:val="auto"/>
                      <w:szCs w:val="21"/>
                    </w:rPr>
                  </w:pPr>
                  <w:r>
                    <w:rPr>
                      <w:rFonts w:eastAsiaTheme="minorEastAsia"/>
                      <w:color w:val="auto"/>
                      <w:szCs w:val="21"/>
                    </w:rPr>
                    <w:t>0.68</w:t>
                  </w:r>
                </w:p>
              </w:tc>
              <w:tc>
                <w:tcPr>
                  <w:tcW w:w="1221" w:type="dxa"/>
                  <w:vAlign w:val="center"/>
                </w:tcPr>
                <w:p>
                  <w:pPr>
                    <w:adjustRightInd w:val="0"/>
                    <w:snapToGrid w:val="0"/>
                    <w:jc w:val="center"/>
                    <w:rPr>
                      <w:rFonts w:eastAsiaTheme="minorEastAsia"/>
                      <w:color w:val="auto"/>
                      <w:szCs w:val="21"/>
                    </w:rPr>
                  </w:pPr>
                  <w:r>
                    <w:rPr>
                      <w:rFonts w:eastAsiaTheme="minorEastAsia"/>
                      <w:color w:val="auto"/>
                      <w:szCs w:val="21"/>
                    </w:rPr>
                    <w:t>0.60</w:t>
                  </w:r>
                </w:p>
              </w:tc>
              <w:tc>
                <w:tcPr>
                  <w:tcW w:w="1221" w:type="dxa"/>
                  <w:vAlign w:val="center"/>
                </w:tcPr>
                <w:p>
                  <w:pPr>
                    <w:adjustRightInd w:val="0"/>
                    <w:snapToGrid w:val="0"/>
                    <w:jc w:val="center"/>
                    <w:rPr>
                      <w:rFonts w:eastAsiaTheme="minorEastAsia"/>
                      <w:color w:val="auto"/>
                      <w:szCs w:val="21"/>
                    </w:rPr>
                  </w:pPr>
                  <w:r>
                    <w:rPr>
                      <w:rFonts w:eastAsiaTheme="minorEastAsia"/>
                      <w:color w:val="auto"/>
                      <w:szCs w:val="21"/>
                    </w:rPr>
                    <w:t>0.26</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430" w:type="dxa"/>
                  <w:gridSpan w:val="2"/>
                  <w:vAlign w:val="center"/>
                </w:tcPr>
                <w:p>
                  <w:pPr>
                    <w:adjustRightInd w:val="0"/>
                    <w:snapToGrid w:val="0"/>
                    <w:jc w:val="center"/>
                    <w:rPr>
                      <w:rFonts w:eastAsiaTheme="minorEastAsia"/>
                      <w:color w:val="auto"/>
                      <w:szCs w:val="21"/>
                    </w:rPr>
                  </w:pPr>
                  <w:r>
                    <w:rPr>
                      <w:rFonts w:eastAsiaTheme="minorEastAsia"/>
                      <w:color w:val="auto"/>
                      <w:szCs w:val="21"/>
                    </w:rPr>
                    <w:t>降尘率（%）</w:t>
                  </w:r>
                </w:p>
              </w:tc>
              <w:tc>
                <w:tcPr>
                  <w:tcW w:w="1220" w:type="dxa"/>
                  <w:vAlign w:val="center"/>
                </w:tcPr>
                <w:p>
                  <w:pPr>
                    <w:adjustRightInd w:val="0"/>
                    <w:snapToGrid w:val="0"/>
                    <w:jc w:val="center"/>
                    <w:rPr>
                      <w:rFonts w:eastAsiaTheme="minorEastAsia"/>
                      <w:color w:val="auto"/>
                      <w:szCs w:val="21"/>
                    </w:rPr>
                  </w:pPr>
                  <w:r>
                    <w:rPr>
                      <w:rFonts w:eastAsiaTheme="minorEastAsia"/>
                      <w:color w:val="auto"/>
                      <w:szCs w:val="21"/>
                    </w:rPr>
                    <w:t>81</w:t>
                  </w:r>
                </w:p>
              </w:tc>
              <w:tc>
                <w:tcPr>
                  <w:tcW w:w="1221" w:type="dxa"/>
                  <w:vAlign w:val="center"/>
                </w:tcPr>
                <w:p>
                  <w:pPr>
                    <w:adjustRightInd w:val="0"/>
                    <w:snapToGrid w:val="0"/>
                    <w:jc w:val="center"/>
                    <w:rPr>
                      <w:rFonts w:eastAsiaTheme="minorEastAsia"/>
                      <w:color w:val="auto"/>
                      <w:szCs w:val="21"/>
                    </w:rPr>
                  </w:pPr>
                  <w:r>
                    <w:rPr>
                      <w:rFonts w:eastAsiaTheme="minorEastAsia"/>
                      <w:color w:val="auto"/>
                      <w:szCs w:val="21"/>
                    </w:rPr>
                    <w:t>52</w:t>
                  </w:r>
                </w:p>
              </w:tc>
              <w:tc>
                <w:tcPr>
                  <w:tcW w:w="1221" w:type="dxa"/>
                  <w:vAlign w:val="center"/>
                </w:tcPr>
                <w:p>
                  <w:pPr>
                    <w:adjustRightInd w:val="0"/>
                    <w:snapToGrid w:val="0"/>
                    <w:jc w:val="center"/>
                    <w:rPr>
                      <w:rFonts w:eastAsiaTheme="minorEastAsia"/>
                      <w:color w:val="auto"/>
                      <w:szCs w:val="21"/>
                    </w:rPr>
                  </w:pPr>
                  <w:r>
                    <w:rPr>
                      <w:rFonts w:eastAsiaTheme="minorEastAsia"/>
                      <w:color w:val="auto"/>
                      <w:szCs w:val="21"/>
                    </w:rPr>
                    <w:t>41</w:t>
                  </w:r>
                </w:p>
              </w:tc>
              <w:tc>
                <w:tcPr>
                  <w:tcW w:w="1221" w:type="dxa"/>
                  <w:vAlign w:val="center"/>
                </w:tcPr>
                <w:p>
                  <w:pPr>
                    <w:adjustRightInd w:val="0"/>
                    <w:snapToGrid w:val="0"/>
                    <w:jc w:val="center"/>
                    <w:rPr>
                      <w:rFonts w:eastAsiaTheme="minorEastAsia"/>
                      <w:color w:val="auto"/>
                      <w:szCs w:val="21"/>
                    </w:rPr>
                  </w:pPr>
                  <w:r>
                    <w:rPr>
                      <w:rFonts w:eastAsiaTheme="minorEastAsia"/>
                      <w:color w:val="auto"/>
                      <w:szCs w:val="21"/>
                    </w:rPr>
                    <w:t>30</w:t>
                  </w:r>
                </w:p>
              </w:tc>
              <w:tc>
                <w:tcPr>
                  <w:tcW w:w="1221" w:type="dxa"/>
                  <w:vAlign w:val="center"/>
                </w:tcPr>
                <w:p>
                  <w:pPr>
                    <w:adjustRightInd w:val="0"/>
                    <w:snapToGrid w:val="0"/>
                    <w:jc w:val="center"/>
                    <w:rPr>
                      <w:rFonts w:eastAsiaTheme="minorEastAsia"/>
                      <w:color w:val="auto"/>
                      <w:szCs w:val="21"/>
                    </w:rPr>
                  </w:pPr>
                  <w:r>
                    <w:rPr>
                      <w:rFonts w:eastAsiaTheme="minorEastAsia"/>
                      <w:color w:val="auto"/>
                      <w:szCs w:val="21"/>
                    </w:rPr>
                    <w:t>48</w:t>
                  </w:r>
                </w:p>
              </w:tc>
            </w:tr>
          </w:tbl>
          <w:p>
            <w:pPr>
              <w:adjustRightInd w:val="0"/>
              <w:snapToGrid w:val="0"/>
              <w:spacing w:beforeLines="50" w:line="360" w:lineRule="auto"/>
              <w:ind w:firstLine="480" w:firstLineChars="200"/>
              <w:rPr>
                <w:rFonts w:eastAsiaTheme="minorEastAsia"/>
                <w:color w:val="auto"/>
                <w:sz w:val="24"/>
              </w:rPr>
            </w:pPr>
            <w:r>
              <w:rPr>
                <w:rFonts w:eastAsiaTheme="minorEastAsia"/>
                <w:color w:val="auto"/>
                <w:sz w:val="24"/>
              </w:rPr>
              <w:t>由上表可知，施工期对场地适时洒水可有效降低扬尘对周围的影响程度，因此，只要施工期建设单位保证各项环保措施的运行，对施工场地适时洒水，开挖扬尘对周围环境的影响是可以接受的，影响期是短暂的。</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②</w:t>
            </w:r>
            <w:r>
              <w:rPr>
                <w:rFonts w:eastAsiaTheme="minorEastAsia"/>
                <w:color w:val="auto"/>
                <w:sz w:val="24"/>
              </w:rPr>
              <w:t>燃油废气排放影响分析</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施工机械耗油过程会产生CO、NOx、有机废气等废气污染物，会对近距离环境造成一定的影响。由于施工机械数量有限，且施工均为间歇式作业，故施工机械尾气对周围环境影响是暂时的。此外通过加强对施工机械的维护和保养，加强对施工进程的管理，提高使用效率，使用清洁能源等措施，可有效减少尾气中污染物的产生及排放，减轻对周围大气环境的影响。</w:t>
            </w:r>
          </w:p>
          <w:p>
            <w:pPr>
              <w:adjustRightInd w:val="0"/>
              <w:snapToGrid w:val="0"/>
              <w:spacing w:line="360" w:lineRule="auto"/>
              <w:ind w:firstLine="482" w:firstLineChars="200"/>
              <w:rPr>
                <w:rFonts w:eastAsiaTheme="minorEastAsia"/>
                <w:b/>
                <w:color w:val="auto"/>
                <w:sz w:val="24"/>
              </w:rPr>
            </w:pPr>
            <w:r>
              <w:rPr>
                <w:rFonts w:eastAsiaTheme="minorEastAsia"/>
                <w:b/>
                <w:color w:val="auto"/>
                <w:sz w:val="24"/>
              </w:rPr>
              <w:t>1.2废水排放环境影响分析</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施工期废水主要为施工人员产生的生活污水以及施工废水。</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⑴</w:t>
            </w:r>
            <w:r>
              <w:rPr>
                <w:rFonts w:eastAsiaTheme="minorEastAsia"/>
                <w:color w:val="auto"/>
                <w:sz w:val="24"/>
              </w:rPr>
              <w:t>施工人员生活污水</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本工程施工人员自行解决食宿，生活污水主要是施工人员的如厕废水。整个施工期生活污水量共计84m</w:t>
            </w:r>
            <w:r>
              <w:rPr>
                <w:rFonts w:eastAsiaTheme="minorEastAsia"/>
                <w:color w:val="auto"/>
                <w:sz w:val="24"/>
                <w:vertAlign w:val="superscript"/>
              </w:rPr>
              <w:t>3</w:t>
            </w:r>
            <w:r>
              <w:rPr>
                <w:rFonts w:eastAsiaTheme="minorEastAsia"/>
                <w:color w:val="auto"/>
                <w:sz w:val="24"/>
              </w:rPr>
              <w:t>。施工人员使用现有工程生活设施，施工人员均为当地职工，生活污水已经纳入污水处理系统，不会对污水处理厂的生化系统造成明显冲击，对周边环境的影响不大。</w:t>
            </w:r>
          </w:p>
          <w:p>
            <w:pPr>
              <w:pStyle w:val="164"/>
              <w:spacing w:before="0" w:line="360" w:lineRule="auto"/>
              <w:ind w:firstLine="480"/>
              <w:rPr>
                <w:rFonts w:ascii="Times New Roman" w:hAnsi="Times New Roman" w:eastAsiaTheme="minorEastAsia"/>
                <w:color w:val="auto"/>
              </w:rPr>
            </w:pPr>
            <w:r>
              <w:rPr>
                <w:rFonts w:hint="eastAsia" w:ascii="宋体" w:hAnsi="宋体" w:cs="宋体"/>
                <w:color w:val="auto"/>
              </w:rPr>
              <w:t>⑵</w:t>
            </w:r>
            <w:r>
              <w:rPr>
                <w:rFonts w:ascii="Times New Roman" w:hAnsi="Times New Roman" w:eastAsiaTheme="minorEastAsia"/>
                <w:color w:val="auto"/>
              </w:rPr>
              <w:t>施工废水</w:t>
            </w:r>
          </w:p>
          <w:p>
            <w:pPr>
              <w:pStyle w:val="164"/>
              <w:spacing w:before="0" w:line="360" w:lineRule="auto"/>
              <w:ind w:firstLine="480"/>
              <w:rPr>
                <w:rFonts w:ascii="Times New Roman" w:hAnsi="Times New Roman" w:eastAsiaTheme="minorEastAsia"/>
                <w:color w:val="auto"/>
              </w:rPr>
            </w:pPr>
            <w:r>
              <w:rPr>
                <w:rFonts w:ascii="Times New Roman" w:hAnsi="Times New Roman" w:eastAsiaTheme="minorEastAsia"/>
                <w:color w:val="auto"/>
              </w:rPr>
              <w:t>施工过程中会产生泥浆水，SS含量在1500~2000mg/L之间，随意排放会对附近的河流水质造成污染。施工期间在场地四周敷设排水沟，并修建临时沉淀池，对泥浆废水进行沉淀澄清处理后回用；施工设备保养清洗水、地面冲洗水经自然沉淀处理后回用。此外，施工过程中对临时堆放物料建立临时堆场，用篷布覆盖，并在堆场四周设置截留沟；石灰、水泥等物料置于临时工棚内堆放贮存。经采取上述措施后，施工废水不会对周围环境造成明显不利影响。</w:t>
            </w:r>
          </w:p>
          <w:p>
            <w:pPr>
              <w:pStyle w:val="164"/>
              <w:spacing w:before="0" w:line="360" w:lineRule="auto"/>
              <w:ind w:firstLine="482"/>
              <w:rPr>
                <w:rFonts w:ascii="Times New Roman" w:hAnsi="Times New Roman" w:eastAsiaTheme="minorEastAsia"/>
                <w:b/>
                <w:color w:val="auto"/>
              </w:rPr>
            </w:pPr>
            <w:r>
              <w:rPr>
                <w:rFonts w:ascii="Times New Roman" w:hAnsi="Times New Roman" w:eastAsiaTheme="minorEastAsia"/>
                <w:b/>
                <w:color w:val="auto"/>
              </w:rPr>
              <w:t>1.3固体废弃物对周围环境影响分析</w:t>
            </w:r>
          </w:p>
          <w:p>
            <w:pPr>
              <w:pStyle w:val="119"/>
              <w:adjustRightInd w:val="0"/>
              <w:snapToGrid w:val="0"/>
              <w:rPr>
                <w:rFonts w:hAnsi="Times New Roman" w:cs="Times New Roman" w:eastAsiaTheme="minorEastAsia"/>
                <w:color w:val="auto"/>
                <w:szCs w:val="24"/>
              </w:rPr>
            </w:pPr>
            <w:r>
              <w:rPr>
                <w:rFonts w:hAnsi="Times New Roman" w:cs="Times New Roman" w:eastAsiaTheme="minorEastAsia"/>
                <w:color w:val="auto"/>
                <w:szCs w:val="24"/>
              </w:rPr>
              <w:t>本项目施工过程中产生的固体废物主要来源于施工过程中产生的建筑垃圾、施工人员产生的生活垃圾以及施工过程中开挖产生</w:t>
            </w:r>
            <w:r>
              <w:rPr>
                <w:rFonts w:hint="eastAsia" w:hAnsi="Times New Roman" w:cs="Times New Roman" w:eastAsiaTheme="minorEastAsia"/>
                <w:color w:val="auto"/>
                <w:szCs w:val="24"/>
                <w:lang w:eastAsia="zh-CN"/>
              </w:rPr>
              <w:t>的</w:t>
            </w:r>
            <w:r>
              <w:rPr>
                <w:rFonts w:hAnsi="Times New Roman" w:cs="Times New Roman" w:eastAsiaTheme="minorEastAsia"/>
                <w:color w:val="auto"/>
                <w:szCs w:val="24"/>
              </w:rPr>
              <w:t>弃土石方。</w:t>
            </w:r>
          </w:p>
          <w:p>
            <w:pPr>
              <w:pStyle w:val="12"/>
              <w:adjustRightInd w:val="0"/>
              <w:snapToGrid w:val="0"/>
              <w:ind w:firstLine="480" w:firstLineChars="200"/>
              <w:rPr>
                <w:rFonts w:ascii="Times New Roman" w:eastAsiaTheme="minorEastAsia"/>
                <w:color w:val="auto"/>
                <w:sz w:val="28"/>
                <w:szCs w:val="28"/>
                <w:highlight w:val="cyan"/>
              </w:rPr>
            </w:pPr>
            <w:r>
              <w:rPr>
                <w:rFonts w:ascii="Times New Roman" w:eastAsiaTheme="minorEastAsia"/>
                <w:color w:val="auto"/>
              </w:rPr>
              <w:t>为减少生活垃圾和建筑垃圾收集、堆放对周围环境的影响，施工单位实行标准施工、规划运输，将各类固体废弃物均收集到指定的地点，不随意倾倒。建筑垃圾产生量2.76t，主要以无机废物为主，如废弃的砖土、混凝土块、废建材等，通过分拣、破碎等方式，将可回收利用部分回收利用，不可回收利用部分运送至指定地点，由专门单位处理；施工人员生活垃圾产生量为1.05t，分类收集后由</w:t>
            </w:r>
            <w:r>
              <w:rPr>
                <w:rFonts w:ascii="Times New Roman" w:eastAsiaTheme="minorEastAsia"/>
                <w:color w:val="auto"/>
                <w:spacing w:val="6"/>
              </w:rPr>
              <w:t>统一收集后送宁县</w:t>
            </w:r>
            <w:r>
              <w:rPr>
                <w:rFonts w:ascii="Times New Roman" w:eastAsiaTheme="minorEastAsia"/>
                <w:color w:val="auto"/>
              </w:rPr>
              <w:t>垃圾处理场处置；本项目剩余土石方1270m</w:t>
            </w:r>
            <w:r>
              <w:rPr>
                <w:rFonts w:ascii="Times New Roman" w:eastAsiaTheme="minorEastAsia"/>
                <w:color w:val="auto"/>
                <w:vertAlign w:val="superscript"/>
              </w:rPr>
              <w:t>2</w:t>
            </w:r>
            <w:r>
              <w:rPr>
                <w:rFonts w:ascii="Times New Roman" w:eastAsiaTheme="minorEastAsia"/>
                <w:color w:val="auto"/>
              </w:rPr>
              <w:t>。剩余土方用于当地土地平整，不外排。</w:t>
            </w:r>
          </w:p>
          <w:p>
            <w:pPr>
              <w:snapToGrid w:val="0"/>
              <w:spacing w:line="360" w:lineRule="auto"/>
              <w:ind w:firstLine="480" w:firstLineChars="200"/>
              <w:rPr>
                <w:rFonts w:eastAsiaTheme="minorEastAsia"/>
                <w:color w:val="auto"/>
                <w:sz w:val="24"/>
              </w:rPr>
            </w:pPr>
            <w:r>
              <w:rPr>
                <w:rFonts w:eastAsiaTheme="minorEastAsia"/>
                <w:color w:val="auto"/>
                <w:sz w:val="24"/>
              </w:rPr>
              <w:t>故施工期产生的固体废弃物不会对周围环境带来明显不利影响。</w:t>
            </w:r>
          </w:p>
          <w:p>
            <w:pPr>
              <w:pStyle w:val="164"/>
              <w:spacing w:before="0" w:line="360" w:lineRule="auto"/>
              <w:ind w:firstLine="482"/>
              <w:rPr>
                <w:rFonts w:ascii="Times New Roman" w:hAnsi="Times New Roman" w:eastAsiaTheme="minorEastAsia"/>
                <w:b/>
                <w:color w:val="auto"/>
              </w:rPr>
            </w:pPr>
            <w:r>
              <w:rPr>
                <w:rFonts w:ascii="Times New Roman" w:hAnsi="Times New Roman" w:eastAsiaTheme="minorEastAsia"/>
                <w:b/>
                <w:color w:val="auto"/>
              </w:rPr>
              <w:t>1.4噪声对周围环境影响分析</w:t>
            </w:r>
          </w:p>
          <w:p>
            <w:pPr>
              <w:pStyle w:val="173"/>
              <w:adjustRightInd w:val="0"/>
              <w:snapToGrid w:val="0"/>
              <w:spacing w:line="360" w:lineRule="auto"/>
              <w:ind w:firstLine="480" w:firstLineChars="200"/>
              <w:rPr>
                <w:rFonts w:eastAsiaTheme="minorEastAsia"/>
                <w:color w:val="auto"/>
                <w:sz w:val="24"/>
                <w:szCs w:val="24"/>
              </w:rPr>
            </w:pPr>
            <w:r>
              <w:rPr>
                <w:rFonts w:eastAsiaTheme="minorEastAsia"/>
                <w:color w:val="auto"/>
                <w:sz w:val="24"/>
                <w:szCs w:val="24"/>
              </w:rPr>
              <w:t>施工期噪声主要包括机械噪声、施工作业噪声和车辆运输噪声，具有阶段性、临时性和不固定性等特点，各设备声源强度介于80～95dB(A) ，预测模式如下：</w:t>
            </w:r>
          </w:p>
          <w:p>
            <w:pPr>
              <w:adjustRightInd w:val="0"/>
              <w:snapToGrid w:val="0"/>
              <w:spacing w:line="360" w:lineRule="auto"/>
              <w:ind w:firstLine="480" w:firstLineChars="200"/>
              <w:jc w:val="center"/>
              <w:rPr>
                <w:rFonts w:eastAsiaTheme="minorEastAsia"/>
                <w:color w:val="auto"/>
                <w:sz w:val="24"/>
              </w:rPr>
            </w:pPr>
            <w:r>
              <w:rPr>
                <w:rFonts w:eastAsiaTheme="minorEastAsia"/>
                <w:color w:val="auto"/>
                <w:sz w:val="24"/>
              </w:rPr>
              <w:object>
                <v:shape id="_x0000_i1028" o:spt="75" type="#_x0000_t75" style="height:33.95pt;width:117.5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p>
          <w:p>
            <w:pPr>
              <w:adjustRightInd w:val="0"/>
              <w:snapToGrid w:val="0"/>
              <w:spacing w:line="360" w:lineRule="auto"/>
              <w:ind w:firstLine="1680" w:firstLineChars="700"/>
              <w:rPr>
                <w:rFonts w:eastAsiaTheme="minorEastAsia"/>
                <w:color w:val="auto"/>
                <w:sz w:val="24"/>
              </w:rPr>
            </w:pPr>
            <w:r>
              <w:rPr>
                <w:rFonts w:eastAsiaTheme="minorEastAsia"/>
                <w:color w:val="auto"/>
                <w:sz w:val="24"/>
              </w:rPr>
              <w:t>式中：r</w:t>
            </w:r>
            <w:r>
              <w:rPr>
                <w:rFonts w:eastAsiaTheme="minorEastAsia"/>
                <w:color w:val="auto"/>
                <w:sz w:val="24"/>
                <w:vertAlign w:val="subscript"/>
              </w:rPr>
              <w:t>1</w:t>
            </w:r>
            <w:r>
              <w:rPr>
                <w:rFonts w:eastAsiaTheme="minorEastAsia"/>
                <w:color w:val="auto"/>
                <w:sz w:val="24"/>
              </w:rPr>
              <w:t>、r</w:t>
            </w:r>
            <w:r>
              <w:rPr>
                <w:rFonts w:eastAsiaTheme="minorEastAsia"/>
                <w:color w:val="auto"/>
                <w:sz w:val="24"/>
                <w:vertAlign w:val="subscript"/>
              </w:rPr>
              <w:t>2</w:t>
            </w:r>
            <w:r>
              <w:rPr>
                <w:rFonts w:eastAsiaTheme="minorEastAsia"/>
                <w:color w:val="auto"/>
                <w:sz w:val="24"/>
              </w:rPr>
              <w:t>——距声源的距离，m；</w:t>
            </w:r>
          </w:p>
          <w:p>
            <w:pPr>
              <w:adjustRightInd w:val="0"/>
              <w:snapToGrid w:val="0"/>
              <w:spacing w:line="360" w:lineRule="auto"/>
              <w:ind w:firstLine="2400" w:firstLineChars="1000"/>
              <w:rPr>
                <w:rFonts w:eastAsiaTheme="minorEastAsia"/>
                <w:color w:val="auto"/>
                <w:sz w:val="24"/>
              </w:rPr>
            </w:pPr>
            <w:r>
              <w:rPr>
                <w:rFonts w:eastAsiaTheme="minorEastAsia"/>
                <w:color w:val="auto"/>
                <w:sz w:val="24"/>
              </w:rPr>
              <w:t>L</w:t>
            </w:r>
            <w:r>
              <w:rPr>
                <w:rFonts w:eastAsiaTheme="minorEastAsia"/>
                <w:color w:val="auto"/>
                <w:sz w:val="24"/>
                <w:vertAlign w:val="subscript"/>
              </w:rPr>
              <w:t>1</w:t>
            </w:r>
            <w:r>
              <w:rPr>
                <w:rFonts w:eastAsiaTheme="minorEastAsia"/>
                <w:color w:val="auto"/>
                <w:sz w:val="24"/>
              </w:rPr>
              <w:t>、L</w:t>
            </w:r>
            <w:r>
              <w:rPr>
                <w:rFonts w:eastAsiaTheme="minorEastAsia"/>
                <w:color w:val="auto"/>
                <w:sz w:val="24"/>
                <w:vertAlign w:val="subscript"/>
              </w:rPr>
              <w:t>2</w:t>
            </w:r>
            <w:r>
              <w:rPr>
                <w:rFonts w:eastAsiaTheme="minorEastAsia"/>
                <w:color w:val="auto"/>
                <w:sz w:val="24"/>
              </w:rPr>
              <w:t>——r</w:t>
            </w:r>
            <w:r>
              <w:rPr>
                <w:rFonts w:eastAsiaTheme="minorEastAsia"/>
                <w:color w:val="auto"/>
                <w:sz w:val="24"/>
                <w:vertAlign w:val="subscript"/>
              </w:rPr>
              <w:t>1</w:t>
            </w:r>
            <w:r>
              <w:rPr>
                <w:rFonts w:eastAsiaTheme="minorEastAsia"/>
                <w:color w:val="auto"/>
                <w:sz w:val="24"/>
              </w:rPr>
              <w:t>、r</w:t>
            </w:r>
            <w:r>
              <w:rPr>
                <w:rFonts w:eastAsiaTheme="minorEastAsia"/>
                <w:color w:val="auto"/>
                <w:sz w:val="24"/>
                <w:vertAlign w:val="subscript"/>
              </w:rPr>
              <w:t>2</w:t>
            </w:r>
            <w:r>
              <w:rPr>
                <w:rFonts w:eastAsiaTheme="minorEastAsia"/>
                <w:color w:val="auto"/>
                <w:sz w:val="24"/>
              </w:rPr>
              <w:t>处的声强级，dB(A)；</w:t>
            </w:r>
          </w:p>
          <w:p>
            <w:pPr>
              <w:adjustRightInd w:val="0"/>
              <w:snapToGrid w:val="0"/>
              <w:spacing w:line="360" w:lineRule="auto"/>
              <w:ind w:firstLine="2400" w:firstLineChars="1000"/>
              <w:rPr>
                <w:rFonts w:eastAsiaTheme="minorEastAsia"/>
                <w:color w:val="auto"/>
                <w:sz w:val="24"/>
              </w:rPr>
            </w:pPr>
            <w:r>
              <w:rPr>
                <w:rFonts w:ascii="Cambria Math" w:hAnsi="Cambria Math" w:cs="Cambria Math" w:eastAsiaTheme="minorEastAsia"/>
                <w:color w:val="auto"/>
                <w:sz w:val="24"/>
              </w:rPr>
              <w:t>△</w:t>
            </w:r>
            <w:r>
              <w:rPr>
                <w:rFonts w:eastAsiaTheme="minorEastAsia"/>
                <w:color w:val="auto"/>
                <w:sz w:val="24"/>
              </w:rPr>
              <w:t>L——建筑物，树木等对噪声的影响值，dB(A)。</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以厂界为界，以计和不计建筑物、树木、空气等的屏蔽作用分别进行预测，施工按无屏蔽和有屏蔽计算，排放执行《建筑施工场界环境噪声排放标准》（GB12523- 2011）昼间70dB、夜间55dB计算结果见表56。</w:t>
            </w:r>
          </w:p>
          <w:p>
            <w:pPr>
              <w:spacing w:line="360" w:lineRule="auto"/>
              <w:ind w:firstLine="482" w:firstLineChars="200"/>
              <w:jc w:val="center"/>
              <w:rPr>
                <w:rFonts w:eastAsiaTheme="minorEastAsia"/>
                <w:b/>
                <w:color w:val="auto"/>
                <w:sz w:val="24"/>
              </w:rPr>
            </w:pPr>
            <w:r>
              <w:rPr>
                <w:rFonts w:eastAsiaTheme="minorEastAsia"/>
                <w:b/>
                <w:color w:val="auto"/>
                <w:sz w:val="24"/>
              </w:rPr>
              <w:t>表56环境噪声影响预测结果表单位：dB(A)</w:t>
            </w:r>
          </w:p>
          <w:tbl>
            <w:tblPr>
              <w:tblStyle w:val="38"/>
              <w:tblW w:w="8623"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61"/>
              <w:gridCol w:w="441"/>
              <w:gridCol w:w="723"/>
              <w:gridCol w:w="724"/>
              <w:gridCol w:w="724"/>
              <w:gridCol w:w="724"/>
              <w:gridCol w:w="724"/>
              <w:gridCol w:w="725"/>
              <w:gridCol w:w="726"/>
              <w:gridCol w:w="726"/>
              <w:gridCol w:w="726"/>
              <w:gridCol w:w="699"/>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0" w:hRule="atLeast"/>
                <w:jc w:val="center"/>
              </w:trPr>
              <w:tc>
                <w:tcPr>
                  <w:tcW w:w="961" w:type="dxa"/>
                  <w:vMerge w:val="restart"/>
                  <w:vAlign w:val="center"/>
                </w:tcPr>
                <w:p>
                  <w:pPr>
                    <w:adjustRightInd w:val="0"/>
                    <w:snapToGrid w:val="0"/>
                    <w:jc w:val="center"/>
                    <w:rPr>
                      <w:rFonts w:eastAsiaTheme="minorEastAsia"/>
                      <w:color w:val="auto"/>
                      <w:szCs w:val="21"/>
                    </w:rPr>
                  </w:pPr>
                  <w:r>
                    <w:rPr>
                      <w:rFonts w:eastAsiaTheme="minorEastAsia"/>
                      <w:color w:val="auto"/>
                      <w:szCs w:val="21"/>
                    </w:rPr>
                    <w:t>声源</w:t>
                  </w:r>
                </w:p>
              </w:tc>
              <w:tc>
                <w:tcPr>
                  <w:tcW w:w="441" w:type="dxa"/>
                  <w:vMerge w:val="restart"/>
                  <w:vAlign w:val="center"/>
                </w:tcPr>
                <w:p>
                  <w:pPr>
                    <w:adjustRightInd w:val="0"/>
                    <w:snapToGrid w:val="0"/>
                    <w:rPr>
                      <w:rFonts w:eastAsiaTheme="minorEastAsia"/>
                      <w:color w:val="auto"/>
                      <w:szCs w:val="21"/>
                    </w:rPr>
                  </w:pPr>
                  <w:r>
                    <w:rPr>
                      <w:rFonts w:eastAsiaTheme="minorEastAsia"/>
                      <w:color w:val="auto"/>
                      <w:szCs w:val="21"/>
                    </w:rPr>
                    <w:t>源强</w:t>
                  </w:r>
                </w:p>
              </w:tc>
              <w:tc>
                <w:tcPr>
                  <w:tcW w:w="7221" w:type="dxa"/>
                  <w:gridSpan w:val="10"/>
                  <w:vAlign w:val="center"/>
                </w:tcPr>
                <w:p>
                  <w:pPr>
                    <w:adjustRightInd w:val="0"/>
                    <w:snapToGrid w:val="0"/>
                    <w:jc w:val="center"/>
                    <w:rPr>
                      <w:rFonts w:eastAsiaTheme="minorEastAsia"/>
                      <w:color w:val="auto"/>
                      <w:szCs w:val="21"/>
                    </w:rPr>
                  </w:pPr>
                  <w:r>
                    <w:rPr>
                      <w:rFonts w:eastAsiaTheme="minorEastAsia"/>
                      <w:color w:val="auto"/>
                      <w:szCs w:val="21"/>
                    </w:rPr>
                    <w:t>距声源距离（m）</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0" w:hRule="atLeast"/>
                <w:jc w:val="center"/>
              </w:trPr>
              <w:tc>
                <w:tcPr>
                  <w:tcW w:w="961" w:type="dxa"/>
                  <w:vMerge w:val="continue"/>
                  <w:vAlign w:val="center"/>
                </w:tcPr>
                <w:p>
                  <w:pPr>
                    <w:adjustRightInd w:val="0"/>
                    <w:snapToGrid w:val="0"/>
                    <w:jc w:val="center"/>
                    <w:rPr>
                      <w:rFonts w:eastAsiaTheme="minorEastAsia"/>
                      <w:color w:val="auto"/>
                      <w:szCs w:val="21"/>
                    </w:rPr>
                  </w:pPr>
                </w:p>
              </w:tc>
              <w:tc>
                <w:tcPr>
                  <w:tcW w:w="441" w:type="dxa"/>
                  <w:vMerge w:val="continue"/>
                  <w:vAlign w:val="center"/>
                </w:tcPr>
                <w:p>
                  <w:pPr>
                    <w:adjustRightInd w:val="0"/>
                    <w:snapToGrid w:val="0"/>
                    <w:jc w:val="center"/>
                    <w:rPr>
                      <w:rFonts w:eastAsiaTheme="minorEastAsia"/>
                      <w:color w:val="auto"/>
                      <w:szCs w:val="21"/>
                    </w:rPr>
                  </w:pPr>
                </w:p>
              </w:tc>
              <w:tc>
                <w:tcPr>
                  <w:tcW w:w="723" w:type="dxa"/>
                  <w:vAlign w:val="center"/>
                </w:tcPr>
                <w:p>
                  <w:pPr>
                    <w:adjustRightInd w:val="0"/>
                    <w:snapToGrid w:val="0"/>
                    <w:jc w:val="center"/>
                    <w:rPr>
                      <w:rFonts w:eastAsiaTheme="minorEastAsia"/>
                      <w:color w:val="auto"/>
                      <w:szCs w:val="21"/>
                    </w:rPr>
                  </w:pPr>
                  <w:r>
                    <w:rPr>
                      <w:rFonts w:eastAsiaTheme="minorEastAsia"/>
                      <w:color w:val="auto"/>
                      <w:szCs w:val="21"/>
                    </w:rPr>
                    <w:t>10</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20</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40</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60</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80</w:t>
                  </w:r>
                </w:p>
              </w:tc>
              <w:tc>
                <w:tcPr>
                  <w:tcW w:w="725" w:type="dxa"/>
                  <w:vAlign w:val="center"/>
                </w:tcPr>
                <w:p>
                  <w:pPr>
                    <w:adjustRightInd w:val="0"/>
                    <w:snapToGrid w:val="0"/>
                    <w:jc w:val="center"/>
                    <w:rPr>
                      <w:rFonts w:eastAsiaTheme="minorEastAsia"/>
                      <w:color w:val="auto"/>
                      <w:szCs w:val="21"/>
                    </w:rPr>
                  </w:pPr>
                  <w:r>
                    <w:rPr>
                      <w:rFonts w:eastAsiaTheme="minorEastAsia"/>
                      <w:color w:val="auto"/>
                      <w:szCs w:val="21"/>
                    </w:rPr>
                    <w:t>100</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200</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300</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500</w:t>
                  </w:r>
                </w:p>
              </w:tc>
              <w:tc>
                <w:tcPr>
                  <w:tcW w:w="699" w:type="dxa"/>
                  <w:vAlign w:val="center"/>
                </w:tcPr>
                <w:p>
                  <w:pPr>
                    <w:adjustRightInd w:val="0"/>
                    <w:snapToGrid w:val="0"/>
                    <w:jc w:val="center"/>
                    <w:rPr>
                      <w:rFonts w:eastAsiaTheme="minorEastAsia"/>
                      <w:color w:val="auto"/>
                      <w:szCs w:val="21"/>
                    </w:rPr>
                  </w:pPr>
                  <w:r>
                    <w:rPr>
                      <w:rFonts w:eastAsiaTheme="minorEastAsia"/>
                      <w:color w:val="auto"/>
                      <w:szCs w:val="21"/>
                    </w:rPr>
                    <w:t>备注</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0" w:hRule="atLeast"/>
                <w:jc w:val="center"/>
              </w:trPr>
              <w:tc>
                <w:tcPr>
                  <w:tcW w:w="961" w:type="dxa"/>
                  <w:vMerge w:val="continue"/>
                  <w:vAlign w:val="center"/>
                </w:tcPr>
                <w:p>
                  <w:pPr>
                    <w:adjustRightInd w:val="0"/>
                    <w:snapToGrid w:val="0"/>
                    <w:jc w:val="center"/>
                    <w:rPr>
                      <w:rFonts w:eastAsiaTheme="minorEastAsia"/>
                      <w:color w:val="auto"/>
                      <w:szCs w:val="21"/>
                    </w:rPr>
                  </w:pPr>
                </w:p>
              </w:tc>
              <w:tc>
                <w:tcPr>
                  <w:tcW w:w="441" w:type="dxa"/>
                  <w:vMerge w:val="continue"/>
                  <w:vAlign w:val="center"/>
                </w:tcPr>
                <w:p>
                  <w:pPr>
                    <w:adjustRightInd w:val="0"/>
                    <w:snapToGrid w:val="0"/>
                    <w:jc w:val="center"/>
                    <w:rPr>
                      <w:rFonts w:eastAsiaTheme="minorEastAsia"/>
                      <w:color w:val="auto"/>
                      <w:szCs w:val="21"/>
                    </w:rPr>
                  </w:pPr>
                </w:p>
              </w:tc>
              <w:tc>
                <w:tcPr>
                  <w:tcW w:w="723" w:type="dxa"/>
                  <w:vAlign w:val="center"/>
                </w:tcPr>
                <w:p>
                  <w:pPr>
                    <w:adjustRightInd w:val="0"/>
                    <w:snapToGrid w:val="0"/>
                    <w:jc w:val="center"/>
                    <w:rPr>
                      <w:rFonts w:eastAsiaTheme="minorEastAsia"/>
                      <w:color w:val="auto"/>
                      <w:szCs w:val="21"/>
                    </w:rPr>
                  </w:pPr>
                  <w:r>
                    <w:rPr>
                      <w:rFonts w:eastAsiaTheme="minorEastAsia"/>
                      <w:color w:val="auto"/>
                      <w:szCs w:val="21"/>
                    </w:rPr>
                    <w:t>67</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61</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55</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51</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49</w:t>
                  </w:r>
                </w:p>
              </w:tc>
              <w:tc>
                <w:tcPr>
                  <w:tcW w:w="725" w:type="dxa"/>
                  <w:vAlign w:val="center"/>
                </w:tcPr>
                <w:p>
                  <w:pPr>
                    <w:adjustRightInd w:val="0"/>
                    <w:snapToGrid w:val="0"/>
                    <w:jc w:val="center"/>
                    <w:rPr>
                      <w:rFonts w:eastAsiaTheme="minorEastAsia"/>
                      <w:color w:val="auto"/>
                      <w:szCs w:val="21"/>
                    </w:rPr>
                  </w:pPr>
                  <w:r>
                    <w:rPr>
                      <w:rFonts w:eastAsiaTheme="minorEastAsia"/>
                      <w:color w:val="auto"/>
                      <w:szCs w:val="21"/>
                    </w:rPr>
                    <w:t>47</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41</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37</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33</w:t>
                  </w:r>
                </w:p>
              </w:tc>
              <w:tc>
                <w:tcPr>
                  <w:tcW w:w="699" w:type="dxa"/>
                  <w:vAlign w:val="center"/>
                </w:tcPr>
                <w:p>
                  <w:pPr>
                    <w:adjustRightInd w:val="0"/>
                    <w:snapToGrid w:val="0"/>
                    <w:jc w:val="center"/>
                    <w:rPr>
                      <w:rFonts w:eastAsiaTheme="minorEastAsia"/>
                      <w:color w:val="auto"/>
                      <w:szCs w:val="21"/>
                    </w:rPr>
                  </w:pPr>
                  <w:r>
                    <w:rPr>
                      <w:rFonts w:eastAsiaTheme="minorEastAsia"/>
                      <w:color w:val="auto"/>
                      <w:szCs w:val="21"/>
                    </w:rPr>
                    <w:t>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0" w:hRule="atLeast"/>
                <w:jc w:val="center"/>
              </w:trPr>
              <w:tc>
                <w:tcPr>
                  <w:tcW w:w="961" w:type="dxa"/>
                  <w:vMerge w:val="restart"/>
                  <w:vAlign w:val="center"/>
                </w:tcPr>
                <w:p>
                  <w:pPr>
                    <w:adjustRightInd w:val="0"/>
                    <w:snapToGrid w:val="0"/>
                    <w:jc w:val="center"/>
                    <w:rPr>
                      <w:rFonts w:eastAsiaTheme="minorEastAsia"/>
                      <w:color w:val="auto"/>
                      <w:szCs w:val="21"/>
                    </w:rPr>
                  </w:pPr>
                  <w:r>
                    <w:rPr>
                      <w:rFonts w:eastAsiaTheme="minorEastAsia"/>
                      <w:bCs/>
                      <w:color w:val="auto"/>
                      <w:szCs w:val="21"/>
                    </w:rPr>
                    <w:t>重型运输车</w:t>
                  </w:r>
                </w:p>
              </w:tc>
              <w:tc>
                <w:tcPr>
                  <w:tcW w:w="441" w:type="dxa"/>
                  <w:vMerge w:val="restart"/>
                  <w:vAlign w:val="center"/>
                </w:tcPr>
                <w:p>
                  <w:pPr>
                    <w:adjustRightInd w:val="0"/>
                    <w:snapToGrid w:val="0"/>
                    <w:jc w:val="center"/>
                    <w:rPr>
                      <w:rFonts w:eastAsiaTheme="minorEastAsia"/>
                      <w:color w:val="auto"/>
                      <w:szCs w:val="21"/>
                    </w:rPr>
                  </w:pPr>
                  <w:r>
                    <w:rPr>
                      <w:rFonts w:eastAsiaTheme="minorEastAsia"/>
                      <w:color w:val="auto"/>
                      <w:szCs w:val="21"/>
                    </w:rPr>
                    <w:t>90</w:t>
                  </w:r>
                </w:p>
              </w:tc>
              <w:tc>
                <w:tcPr>
                  <w:tcW w:w="723" w:type="dxa"/>
                  <w:vAlign w:val="center"/>
                </w:tcPr>
                <w:p>
                  <w:pPr>
                    <w:adjustRightInd w:val="0"/>
                    <w:snapToGrid w:val="0"/>
                    <w:jc w:val="center"/>
                    <w:rPr>
                      <w:rFonts w:eastAsiaTheme="minorEastAsia"/>
                      <w:color w:val="auto"/>
                      <w:szCs w:val="21"/>
                    </w:rPr>
                  </w:pPr>
                  <w:r>
                    <w:rPr>
                      <w:rFonts w:eastAsiaTheme="minorEastAsia"/>
                      <w:color w:val="auto"/>
                      <w:szCs w:val="21"/>
                    </w:rPr>
                    <w:t>70</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64</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58</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54</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52</w:t>
                  </w:r>
                </w:p>
              </w:tc>
              <w:tc>
                <w:tcPr>
                  <w:tcW w:w="725" w:type="dxa"/>
                  <w:vAlign w:val="center"/>
                </w:tcPr>
                <w:p>
                  <w:pPr>
                    <w:adjustRightInd w:val="0"/>
                    <w:snapToGrid w:val="0"/>
                    <w:jc w:val="center"/>
                    <w:rPr>
                      <w:rFonts w:eastAsiaTheme="minorEastAsia"/>
                      <w:color w:val="auto"/>
                      <w:szCs w:val="21"/>
                    </w:rPr>
                  </w:pPr>
                  <w:r>
                    <w:rPr>
                      <w:rFonts w:eastAsiaTheme="minorEastAsia"/>
                      <w:color w:val="auto"/>
                      <w:szCs w:val="21"/>
                    </w:rPr>
                    <w:t>50</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44</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40</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36</w:t>
                  </w:r>
                </w:p>
              </w:tc>
              <w:tc>
                <w:tcPr>
                  <w:tcW w:w="699" w:type="dxa"/>
                  <w:vAlign w:val="center"/>
                </w:tcPr>
                <w:p>
                  <w:pPr>
                    <w:adjustRightInd w:val="0"/>
                    <w:snapToGrid w:val="0"/>
                    <w:jc w:val="center"/>
                    <w:rPr>
                      <w:rFonts w:eastAsiaTheme="minorEastAsia"/>
                      <w:color w:val="auto"/>
                      <w:szCs w:val="21"/>
                    </w:rPr>
                  </w:pPr>
                  <w:r>
                    <w:rPr>
                      <w:rFonts w:eastAsiaTheme="minorEastAsia"/>
                      <w:color w:val="auto"/>
                      <w:szCs w:val="21"/>
                    </w:rPr>
                    <w:t>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0" w:hRule="atLeast"/>
                <w:jc w:val="center"/>
              </w:trPr>
              <w:tc>
                <w:tcPr>
                  <w:tcW w:w="961" w:type="dxa"/>
                  <w:vMerge w:val="continue"/>
                  <w:vAlign w:val="center"/>
                </w:tcPr>
                <w:p>
                  <w:pPr>
                    <w:adjustRightInd w:val="0"/>
                    <w:snapToGrid w:val="0"/>
                    <w:jc w:val="center"/>
                    <w:rPr>
                      <w:rFonts w:eastAsiaTheme="minorEastAsia"/>
                      <w:color w:val="auto"/>
                      <w:szCs w:val="21"/>
                    </w:rPr>
                  </w:pPr>
                </w:p>
              </w:tc>
              <w:tc>
                <w:tcPr>
                  <w:tcW w:w="441" w:type="dxa"/>
                  <w:vMerge w:val="continue"/>
                  <w:vAlign w:val="center"/>
                </w:tcPr>
                <w:p>
                  <w:pPr>
                    <w:adjustRightInd w:val="0"/>
                    <w:snapToGrid w:val="0"/>
                    <w:jc w:val="center"/>
                    <w:rPr>
                      <w:rFonts w:eastAsiaTheme="minorEastAsia"/>
                      <w:color w:val="auto"/>
                      <w:szCs w:val="21"/>
                    </w:rPr>
                  </w:pPr>
                </w:p>
              </w:tc>
              <w:tc>
                <w:tcPr>
                  <w:tcW w:w="723" w:type="dxa"/>
                  <w:vAlign w:val="center"/>
                </w:tcPr>
                <w:p>
                  <w:pPr>
                    <w:adjustRightInd w:val="0"/>
                    <w:snapToGrid w:val="0"/>
                    <w:jc w:val="center"/>
                    <w:rPr>
                      <w:rFonts w:eastAsiaTheme="minorEastAsia"/>
                      <w:color w:val="auto"/>
                      <w:szCs w:val="21"/>
                    </w:rPr>
                  </w:pPr>
                  <w:r>
                    <w:rPr>
                      <w:rFonts w:eastAsiaTheme="minorEastAsia"/>
                      <w:color w:val="auto"/>
                      <w:szCs w:val="21"/>
                    </w:rPr>
                    <w:t>62</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56</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50</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46</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44</w:t>
                  </w:r>
                </w:p>
              </w:tc>
              <w:tc>
                <w:tcPr>
                  <w:tcW w:w="725" w:type="dxa"/>
                  <w:vAlign w:val="center"/>
                </w:tcPr>
                <w:p>
                  <w:pPr>
                    <w:adjustRightInd w:val="0"/>
                    <w:snapToGrid w:val="0"/>
                    <w:jc w:val="center"/>
                    <w:rPr>
                      <w:rFonts w:eastAsiaTheme="minorEastAsia"/>
                      <w:color w:val="auto"/>
                      <w:szCs w:val="21"/>
                    </w:rPr>
                  </w:pPr>
                  <w:r>
                    <w:rPr>
                      <w:rFonts w:eastAsiaTheme="minorEastAsia"/>
                      <w:color w:val="auto"/>
                      <w:szCs w:val="21"/>
                    </w:rPr>
                    <w:t>42</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36</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32</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28</w:t>
                  </w:r>
                </w:p>
              </w:tc>
              <w:tc>
                <w:tcPr>
                  <w:tcW w:w="699" w:type="dxa"/>
                  <w:vAlign w:val="center"/>
                </w:tcPr>
                <w:p>
                  <w:pPr>
                    <w:adjustRightInd w:val="0"/>
                    <w:snapToGrid w:val="0"/>
                    <w:jc w:val="center"/>
                    <w:rPr>
                      <w:rFonts w:eastAsiaTheme="minorEastAsia"/>
                      <w:color w:val="auto"/>
                      <w:szCs w:val="21"/>
                    </w:rPr>
                  </w:pPr>
                  <w:r>
                    <w:rPr>
                      <w:rFonts w:eastAsiaTheme="minorEastAsia"/>
                      <w:color w:val="auto"/>
                      <w:szCs w:val="21"/>
                    </w:rPr>
                    <w:t>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0" w:hRule="atLeast"/>
                <w:jc w:val="center"/>
              </w:trPr>
              <w:tc>
                <w:tcPr>
                  <w:tcW w:w="961" w:type="dxa"/>
                  <w:vMerge w:val="restart"/>
                  <w:vAlign w:val="center"/>
                </w:tcPr>
                <w:p>
                  <w:pPr>
                    <w:adjustRightInd w:val="0"/>
                    <w:snapToGrid w:val="0"/>
                    <w:jc w:val="center"/>
                    <w:rPr>
                      <w:rFonts w:eastAsiaTheme="minorEastAsia"/>
                      <w:color w:val="auto"/>
                      <w:szCs w:val="21"/>
                    </w:rPr>
                  </w:pPr>
                  <w:r>
                    <w:rPr>
                      <w:rFonts w:eastAsiaTheme="minorEastAsia"/>
                      <w:color w:val="auto"/>
                      <w:kern w:val="0"/>
                      <w:szCs w:val="21"/>
                    </w:rPr>
                    <w:t>移动式空压机</w:t>
                  </w:r>
                </w:p>
              </w:tc>
              <w:tc>
                <w:tcPr>
                  <w:tcW w:w="441" w:type="dxa"/>
                  <w:vMerge w:val="restart"/>
                  <w:vAlign w:val="center"/>
                </w:tcPr>
                <w:p>
                  <w:pPr>
                    <w:adjustRightInd w:val="0"/>
                    <w:snapToGrid w:val="0"/>
                    <w:jc w:val="center"/>
                    <w:rPr>
                      <w:rFonts w:eastAsiaTheme="minorEastAsia"/>
                      <w:color w:val="auto"/>
                      <w:szCs w:val="21"/>
                    </w:rPr>
                  </w:pPr>
                  <w:r>
                    <w:rPr>
                      <w:rFonts w:eastAsiaTheme="minorEastAsia"/>
                      <w:color w:val="auto"/>
                      <w:szCs w:val="21"/>
                    </w:rPr>
                    <w:t>92</w:t>
                  </w:r>
                </w:p>
              </w:tc>
              <w:tc>
                <w:tcPr>
                  <w:tcW w:w="723" w:type="dxa"/>
                  <w:vAlign w:val="center"/>
                </w:tcPr>
                <w:p>
                  <w:pPr>
                    <w:adjustRightInd w:val="0"/>
                    <w:snapToGrid w:val="0"/>
                    <w:jc w:val="center"/>
                    <w:rPr>
                      <w:rFonts w:eastAsiaTheme="minorEastAsia"/>
                      <w:color w:val="auto"/>
                      <w:szCs w:val="21"/>
                    </w:rPr>
                  </w:pPr>
                  <w:r>
                    <w:rPr>
                      <w:rFonts w:eastAsiaTheme="minorEastAsia"/>
                      <w:color w:val="auto"/>
                      <w:szCs w:val="21"/>
                    </w:rPr>
                    <w:t>72</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66</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60</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56</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54</w:t>
                  </w:r>
                </w:p>
              </w:tc>
              <w:tc>
                <w:tcPr>
                  <w:tcW w:w="725" w:type="dxa"/>
                  <w:vAlign w:val="center"/>
                </w:tcPr>
                <w:p>
                  <w:pPr>
                    <w:adjustRightInd w:val="0"/>
                    <w:snapToGrid w:val="0"/>
                    <w:jc w:val="center"/>
                    <w:rPr>
                      <w:rFonts w:eastAsiaTheme="minorEastAsia"/>
                      <w:color w:val="auto"/>
                      <w:szCs w:val="21"/>
                    </w:rPr>
                  </w:pPr>
                  <w:r>
                    <w:rPr>
                      <w:rFonts w:eastAsiaTheme="minorEastAsia"/>
                      <w:color w:val="auto"/>
                      <w:szCs w:val="21"/>
                    </w:rPr>
                    <w:t>52</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46</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42</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38</w:t>
                  </w:r>
                </w:p>
              </w:tc>
              <w:tc>
                <w:tcPr>
                  <w:tcW w:w="699" w:type="dxa"/>
                  <w:vAlign w:val="center"/>
                </w:tcPr>
                <w:p>
                  <w:pPr>
                    <w:adjustRightInd w:val="0"/>
                    <w:snapToGrid w:val="0"/>
                    <w:jc w:val="center"/>
                    <w:rPr>
                      <w:rFonts w:eastAsiaTheme="minorEastAsia"/>
                      <w:color w:val="auto"/>
                      <w:szCs w:val="21"/>
                    </w:rPr>
                  </w:pPr>
                  <w:r>
                    <w:rPr>
                      <w:rFonts w:eastAsiaTheme="minorEastAsia"/>
                      <w:color w:val="auto"/>
                      <w:szCs w:val="21"/>
                    </w:rPr>
                    <w:t>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0" w:hRule="atLeast"/>
                <w:jc w:val="center"/>
              </w:trPr>
              <w:tc>
                <w:tcPr>
                  <w:tcW w:w="961" w:type="dxa"/>
                  <w:vMerge w:val="continue"/>
                  <w:vAlign w:val="center"/>
                </w:tcPr>
                <w:p>
                  <w:pPr>
                    <w:adjustRightInd w:val="0"/>
                    <w:snapToGrid w:val="0"/>
                    <w:jc w:val="center"/>
                    <w:rPr>
                      <w:rFonts w:eastAsiaTheme="minorEastAsia"/>
                      <w:color w:val="auto"/>
                      <w:szCs w:val="21"/>
                    </w:rPr>
                  </w:pPr>
                </w:p>
              </w:tc>
              <w:tc>
                <w:tcPr>
                  <w:tcW w:w="441" w:type="dxa"/>
                  <w:vMerge w:val="continue"/>
                  <w:vAlign w:val="center"/>
                </w:tcPr>
                <w:p>
                  <w:pPr>
                    <w:adjustRightInd w:val="0"/>
                    <w:snapToGrid w:val="0"/>
                    <w:jc w:val="center"/>
                    <w:rPr>
                      <w:rFonts w:eastAsiaTheme="minorEastAsia"/>
                      <w:color w:val="auto"/>
                      <w:szCs w:val="21"/>
                    </w:rPr>
                  </w:pPr>
                </w:p>
              </w:tc>
              <w:tc>
                <w:tcPr>
                  <w:tcW w:w="723" w:type="dxa"/>
                  <w:vAlign w:val="center"/>
                </w:tcPr>
                <w:p>
                  <w:pPr>
                    <w:adjustRightInd w:val="0"/>
                    <w:snapToGrid w:val="0"/>
                    <w:jc w:val="center"/>
                    <w:rPr>
                      <w:rFonts w:eastAsiaTheme="minorEastAsia"/>
                      <w:color w:val="auto"/>
                      <w:szCs w:val="21"/>
                    </w:rPr>
                  </w:pPr>
                  <w:r>
                    <w:rPr>
                      <w:rFonts w:eastAsiaTheme="minorEastAsia"/>
                      <w:color w:val="auto"/>
                      <w:szCs w:val="21"/>
                    </w:rPr>
                    <w:t>64</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58</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52</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48</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46</w:t>
                  </w:r>
                </w:p>
              </w:tc>
              <w:tc>
                <w:tcPr>
                  <w:tcW w:w="725" w:type="dxa"/>
                  <w:vAlign w:val="center"/>
                </w:tcPr>
                <w:p>
                  <w:pPr>
                    <w:adjustRightInd w:val="0"/>
                    <w:snapToGrid w:val="0"/>
                    <w:jc w:val="center"/>
                    <w:rPr>
                      <w:rFonts w:eastAsiaTheme="minorEastAsia"/>
                      <w:color w:val="auto"/>
                      <w:szCs w:val="21"/>
                    </w:rPr>
                  </w:pPr>
                  <w:r>
                    <w:rPr>
                      <w:rFonts w:eastAsiaTheme="minorEastAsia"/>
                      <w:color w:val="auto"/>
                      <w:szCs w:val="21"/>
                    </w:rPr>
                    <w:t>44</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38</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34</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30</w:t>
                  </w:r>
                </w:p>
              </w:tc>
              <w:tc>
                <w:tcPr>
                  <w:tcW w:w="699" w:type="dxa"/>
                  <w:vAlign w:val="center"/>
                </w:tcPr>
                <w:p>
                  <w:pPr>
                    <w:adjustRightInd w:val="0"/>
                    <w:snapToGrid w:val="0"/>
                    <w:jc w:val="center"/>
                    <w:rPr>
                      <w:rFonts w:eastAsiaTheme="minorEastAsia"/>
                      <w:color w:val="auto"/>
                      <w:szCs w:val="21"/>
                    </w:rPr>
                  </w:pPr>
                  <w:r>
                    <w:rPr>
                      <w:rFonts w:eastAsiaTheme="minorEastAsia"/>
                      <w:color w:val="auto"/>
                      <w:szCs w:val="21"/>
                    </w:rPr>
                    <w:t>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0" w:hRule="atLeast"/>
                <w:jc w:val="center"/>
              </w:trPr>
              <w:tc>
                <w:tcPr>
                  <w:tcW w:w="961" w:type="dxa"/>
                  <w:vMerge w:val="continue"/>
                  <w:vAlign w:val="center"/>
                </w:tcPr>
                <w:p>
                  <w:pPr>
                    <w:adjustRightInd w:val="0"/>
                    <w:snapToGrid w:val="0"/>
                    <w:jc w:val="center"/>
                    <w:rPr>
                      <w:rFonts w:eastAsiaTheme="minorEastAsia"/>
                      <w:color w:val="auto"/>
                      <w:szCs w:val="21"/>
                    </w:rPr>
                  </w:pPr>
                </w:p>
              </w:tc>
              <w:tc>
                <w:tcPr>
                  <w:tcW w:w="441" w:type="dxa"/>
                  <w:vMerge w:val="continue"/>
                  <w:vAlign w:val="center"/>
                </w:tcPr>
                <w:p>
                  <w:pPr>
                    <w:adjustRightInd w:val="0"/>
                    <w:snapToGrid w:val="0"/>
                    <w:jc w:val="center"/>
                    <w:rPr>
                      <w:rFonts w:eastAsiaTheme="minorEastAsia"/>
                      <w:color w:val="auto"/>
                      <w:szCs w:val="21"/>
                    </w:rPr>
                  </w:pPr>
                </w:p>
              </w:tc>
              <w:tc>
                <w:tcPr>
                  <w:tcW w:w="723" w:type="dxa"/>
                  <w:vAlign w:val="center"/>
                </w:tcPr>
                <w:p>
                  <w:pPr>
                    <w:adjustRightInd w:val="0"/>
                    <w:snapToGrid w:val="0"/>
                    <w:jc w:val="center"/>
                    <w:rPr>
                      <w:rFonts w:eastAsiaTheme="minorEastAsia"/>
                      <w:color w:val="auto"/>
                      <w:szCs w:val="21"/>
                    </w:rPr>
                  </w:pPr>
                  <w:r>
                    <w:rPr>
                      <w:rFonts w:eastAsiaTheme="minorEastAsia"/>
                      <w:color w:val="auto"/>
                      <w:szCs w:val="21"/>
                    </w:rPr>
                    <w:t>62</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56</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50</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46</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44</w:t>
                  </w:r>
                </w:p>
              </w:tc>
              <w:tc>
                <w:tcPr>
                  <w:tcW w:w="725" w:type="dxa"/>
                  <w:vAlign w:val="center"/>
                </w:tcPr>
                <w:p>
                  <w:pPr>
                    <w:adjustRightInd w:val="0"/>
                    <w:snapToGrid w:val="0"/>
                    <w:jc w:val="center"/>
                    <w:rPr>
                      <w:rFonts w:eastAsiaTheme="minorEastAsia"/>
                      <w:color w:val="auto"/>
                      <w:szCs w:val="21"/>
                    </w:rPr>
                  </w:pPr>
                  <w:r>
                    <w:rPr>
                      <w:rFonts w:eastAsiaTheme="minorEastAsia"/>
                      <w:color w:val="auto"/>
                      <w:szCs w:val="21"/>
                    </w:rPr>
                    <w:t>42</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36</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32</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28</w:t>
                  </w:r>
                </w:p>
              </w:tc>
              <w:tc>
                <w:tcPr>
                  <w:tcW w:w="699" w:type="dxa"/>
                  <w:vAlign w:val="center"/>
                </w:tcPr>
                <w:p>
                  <w:pPr>
                    <w:adjustRightInd w:val="0"/>
                    <w:snapToGrid w:val="0"/>
                    <w:jc w:val="center"/>
                    <w:rPr>
                      <w:rFonts w:eastAsiaTheme="minorEastAsia"/>
                      <w:color w:val="auto"/>
                      <w:szCs w:val="21"/>
                    </w:rPr>
                  </w:pPr>
                  <w:r>
                    <w:rPr>
                      <w:rFonts w:eastAsiaTheme="minorEastAsia"/>
                      <w:color w:val="auto"/>
                      <w:szCs w:val="21"/>
                    </w:rPr>
                    <w:t>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0" w:hRule="atLeast"/>
                <w:jc w:val="center"/>
              </w:trPr>
              <w:tc>
                <w:tcPr>
                  <w:tcW w:w="961" w:type="dxa"/>
                  <w:vMerge w:val="restart"/>
                  <w:vAlign w:val="center"/>
                </w:tcPr>
                <w:p>
                  <w:pPr>
                    <w:adjustRightInd w:val="0"/>
                    <w:snapToGrid w:val="0"/>
                    <w:jc w:val="center"/>
                    <w:rPr>
                      <w:rFonts w:eastAsiaTheme="minorEastAsia"/>
                      <w:color w:val="auto"/>
                      <w:szCs w:val="21"/>
                    </w:rPr>
                  </w:pPr>
                  <w:r>
                    <w:rPr>
                      <w:rFonts w:eastAsiaTheme="minorEastAsia"/>
                      <w:bCs/>
                      <w:color w:val="auto"/>
                      <w:szCs w:val="21"/>
                    </w:rPr>
                    <w:t>混凝土振捣器</w:t>
                  </w:r>
                </w:p>
              </w:tc>
              <w:tc>
                <w:tcPr>
                  <w:tcW w:w="441" w:type="dxa"/>
                  <w:vMerge w:val="restart"/>
                  <w:vAlign w:val="center"/>
                </w:tcPr>
                <w:p>
                  <w:pPr>
                    <w:adjustRightInd w:val="0"/>
                    <w:snapToGrid w:val="0"/>
                    <w:jc w:val="center"/>
                    <w:rPr>
                      <w:rFonts w:eastAsiaTheme="minorEastAsia"/>
                      <w:color w:val="auto"/>
                      <w:szCs w:val="21"/>
                    </w:rPr>
                  </w:pPr>
                  <w:r>
                    <w:rPr>
                      <w:rFonts w:eastAsiaTheme="minorEastAsia"/>
                      <w:color w:val="auto"/>
                      <w:szCs w:val="21"/>
                    </w:rPr>
                    <w:t>90</w:t>
                  </w:r>
                </w:p>
              </w:tc>
              <w:tc>
                <w:tcPr>
                  <w:tcW w:w="723" w:type="dxa"/>
                  <w:vAlign w:val="center"/>
                </w:tcPr>
                <w:p>
                  <w:pPr>
                    <w:adjustRightInd w:val="0"/>
                    <w:snapToGrid w:val="0"/>
                    <w:jc w:val="center"/>
                    <w:rPr>
                      <w:rFonts w:eastAsiaTheme="minorEastAsia"/>
                      <w:color w:val="auto"/>
                      <w:szCs w:val="21"/>
                    </w:rPr>
                  </w:pPr>
                  <w:r>
                    <w:rPr>
                      <w:rFonts w:eastAsiaTheme="minorEastAsia"/>
                      <w:color w:val="auto"/>
                      <w:szCs w:val="21"/>
                    </w:rPr>
                    <w:t>70</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64</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58</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54</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52</w:t>
                  </w:r>
                </w:p>
              </w:tc>
              <w:tc>
                <w:tcPr>
                  <w:tcW w:w="725" w:type="dxa"/>
                  <w:vAlign w:val="center"/>
                </w:tcPr>
                <w:p>
                  <w:pPr>
                    <w:adjustRightInd w:val="0"/>
                    <w:snapToGrid w:val="0"/>
                    <w:jc w:val="center"/>
                    <w:rPr>
                      <w:rFonts w:eastAsiaTheme="minorEastAsia"/>
                      <w:color w:val="auto"/>
                      <w:szCs w:val="21"/>
                    </w:rPr>
                  </w:pPr>
                  <w:r>
                    <w:rPr>
                      <w:rFonts w:eastAsiaTheme="minorEastAsia"/>
                      <w:color w:val="auto"/>
                      <w:szCs w:val="21"/>
                    </w:rPr>
                    <w:t>50</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44</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40</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36</w:t>
                  </w:r>
                </w:p>
              </w:tc>
              <w:tc>
                <w:tcPr>
                  <w:tcW w:w="699" w:type="dxa"/>
                  <w:vAlign w:val="center"/>
                </w:tcPr>
                <w:p>
                  <w:pPr>
                    <w:adjustRightInd w:val="0"/>
                    <w:snapToGrid w:val="0"/>
                    <w:jc w:val="center"/>
                    <w:rPr>
                      <w:rFonts w:eastAsiaTheme="minorEastAsia"/>
                      <w:color w:val="auto"/>
                      <w:szCs w:val="21"/>
                    </w:rPr>
                  </w:pPr>
                  <w:r>
                    <w:rPr>
                      <w:rFonts w:eastAsiaTheme="minorEastAsia"/>
                      <w:color w:val="auto"/>
                      <w:szCs w:val="21"/>
                    </w:rPr>
                    <w:t>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0" w:hRule="atLeast"/>
                <w:jc w:val="center"/>
              </w:trPr>
              <w:tc>
                <w:tcPr>
                  <w:tcW w:w="961" w:type="dxa"/>
                  <w:vMerge w:val="continue"/>
                  <w:vAlign w:val="center"/>
                </w:tcPr>
                <w:p>
                  <w:pPr>
                    <w:adjustRightInd w:val="0"/>
                    <w:snapToGrid w:val="0"/>
                    <w:jc w:val="center"/>
                    <w:rPr>
                      <w:rFonts w:eastAsiaTheme="minorEastAsia"/>
                      <w:color w:val="auto"/>
                      <w:szCs w:val="21"/>
                    </w:rPr>
                  </w:pPr>
                </w:p>
              </w:tc>
              <w:tc>
                <w:tcPr>
                  <w:tcW w:w="441" w:type="dxa"/>
                  <w:vMerge w:val="continue"/>
                  <w:vAlign w:val="center"/>
                </w:tcPr>
                <w:p>
                  <w:pPr>
                    <w:adjustRightInd w:val="0"/>
                    <w:snapToGrid w:val="0"/>
                    <w:jc w:val="center"/>
                    <w:rPr>
                      <w:rFonts w:eastAsiaTheme="minorEastAsia"/>
                      <w:color w:val="auto"/>
                      <w:szCs w:val="21"/>
                    </w:rPr>
                  </w:pPr>
                </w:p>
              </w:tc>
              <w:tc>
                <w:tcPr>
                  <w:tcW w:w="723" w:type="dxa"/>
                  <w:vAlign w:val="center"/>
                </w:tcPr>
                <w:p>
                  <w:pPr>
                    <w:adjustRightInd w:val="0"/>
                    <w:snapToGrid w:val="0"/>
                    <w:jc w:val="center"/>
                    <w:rPr>
                      <w:rFonts w:eastAsiaTheme="minorEastAsia"/>
                      <w:color w:val="auto"/>
                      <w:szCs w:val="21"/>
                    </w:rPr>
                  </w:pPr>
                  <w:r>
                    <w:rPr>
                      <w:rFonts w:eastAsiaTheme="minorEastAsia"/>
                      <w:color w:val="auto"/>
                      <w:szCs w:val="21"/>
                    </w:rPr>
                    <w:t>62</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56</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50</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46</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44</w:t>
                  </w:r>
                </w:p>
              </w:tc>
              <w:tc>
                <w:tcPr>
                  <w:tcW w:w="725" w:type="dxa"/>
                  <w:vAlign w:val="center"/>
                </w:tcPr>
                <w:p>
                  <w:pPr>
                    <w:adjustRightInd w:val="0"/>
                    <w:snapToGrid w:val="0"/>
                    <w:jc w:val="center"/>
                    <w:rPr>
                      <w:rFonts w:eastAsiaTheme="minorEastAsia"/>
                      <w:color w:val="auto"/>
                      <w:szCs w:val="21"/>
                    </w:rPr>
                  </w:pPr>
                  <w:r>
                    <w:rPr>
                      <w:rFonts w:eastAsiaTheme="minorEastAsia"/>
                      <w:color w:val="auto"/>
                      <w:szCs w:val="21"/>
                    </w:rPr>
                    <w:t>42</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36</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32</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28</w:t>
                  </w:r>
                </w:p>
              </w:tc>
              <w:tc>
                <w:tcPr>
                  <w:tcW w:w="699" w:type="dxa"/>
                  <w:vAlign w:val="center"/>
                </w:tcPr>
                <w:p>
                  <w:pPr>
                    <w:adjustRightInd w:val="0"/>
                    <w:snapToGrid w:val="0"/>
                    <w:jc w:val="center"/>
                    <w:rPr>
                      <w:rFonts w:eastAsiaTheme="minorEastAsia"/>
                      <w:color w:val="auto"/>
                      <w:szCs w:val="21"/>
                    </w:rPr>
                  </w:pPr>
                  <w:r>
                    <w:rPr>
                      <w:rFonts w:eastAsiaTheme="minorEastAsia"/>
                      <w:color w:val="auto"/>
                      <w:szCs w:val="21"/>
                    </w:rPr>
                    <w:t>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0" w:hRule="atLeast"/>
                <w:jc w:val="center"/>
              </w:trPr>
              <w:tc>
                <w:tcPr>
                  <w:tcW w:w="961" w:type="dxa"/>
                  <w:vMerge w:val="restart"/>
                  <w:vAlign w:val="center"/>
                </w:tcPr>
                <w:p>
                  <w:pPr>
                    <w:adjustRightInd w:val="0"/>
                    <w:snapToGrid w:val="0"/>
                    <w:jc w:val="center"/>
                    <w:rPr>
                      <w:rFonts w:eastAsiaTheme="minorEastAsia"/>
                      <w:color w:val="auto"/>
                      <w:szCs w:val="21"/>
                    </w:rPr>
                  </w:pPr>
                  <w:r>
                    <w:rPr>
                      <w:rFonts w:eastAsiaTheme="minorEastAsia"/>
                      <w:bCs/>
                      <w:color w:val="auto"/>
                      <w:szCs w:val="21"/>
                    </w:rPr>
                    <w:t>商砼搅拌车</w:t>
                  </w:r>
                </w:p>
              </w:tc>
              <w:tc>
                <w:tcPr>
                  <w:tcW w:w="441" w:type="dxa"/>
                  <w:vMerge w:val="restart"/>
                  <w:vAlign w:val="center"/>
                </w:tcPr>
                <w:p>
                  <w:pPr>
                    <w:adjustRightInd w:val="0"/>
                    <w:snapToGrid w:val="0"/>
                    <w:jc w:val="center"/>
                    <w:rPr>
                      <w:rFonts w:eastAsiaTheme="minorEastAsia"/>
                      <w:color w:val="auto"/>
                      <w:szCs w:val="21"/>
                    </w:rPr>
                  </w:pPr>
                  <w:r>
                    <w:rPr>
                      <w:rFonts w:eastAsiaTheme="minorEastAsia"/>
                      <w:color w:val="auto"/>
                      <w:szCs w:val="21"/>
                    </w:rPr>
                    <w:t>88</w:t>
                  </w:r>
                </w:p>
              </w:tc>
              <w:tc>
                <w:tcPr>
                  <w:tcW w:w="723" w:type="dxa"/>
                  <w:vAlign w:val="center"/>
                </w:tcPr>
                <w:p>
                  <w:pPr>
                    <w:adjustRightInd w:val="0"/>
                    <w:snapToGrid w:val="0"/>
                    <w:jc w:val="center"/>
                    <w:rPr>
                      <w:rFonts w:eastAsiaTheme="minorEastAsia"/>
                      <w:color w:val="auto"/>
                      <w:szCs w:val="21"/>
                    </w:rPr>
                  </w:pPr>
                  <w:r>
                    <w:rPr>
                      <w:rFonts w:eastAsiaTheme="minorEastAsia"/>
                      <w:color w:val="auto"/>
                      <w:szCs w:val="21"/>
                    </w:rPr>
                    <w:t>68</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62</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56</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52</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50</w:t>
                  </w:r>
                </w:p>
              </w:tc>
              <w:tc>
                <w:tcPr>
                  <w:tcW w:w="725" w:type="dxa"/>
                  <w:vAlign w:val="center"/>
                </w:tcPr>
                <w:p>
                  <w:pPr>
                    <w:adjustRightInd w:val="0"/>
                    <w:snapToGrid w:val="0"/>
                    <w:jc w:val="center"/>
                    <w:rPr>
                      <w:rFonts w:eastAsiaTheme="minorEastAsia"/>
                      <w:color w:val="auto"/>
                      <w:szCs w:val="21"/>
                    </w:rPr>
                  </w:pPr>
                  <w:r>
                    <w:rPr>
                      <w:rFonts w:eastAsiaTheme="minorEastAsia"/>
                      <w:color w:val="auto"/>
                      <w:szCs w:val="21"/>
                    </w:rPr>
                    <w:t>48</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42</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38</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34</w:t>
                  </w:r>
                </w:p>
              </w:tc>
              <w:tc>
                <w:tcPr>
                  <w:tcW w:w="699" w:type="dxa"/>
                  <w:vAlign w:val="center"/>
                </w:tcPr>
                <w:p>
                  <w:pPr>
                    <w:adjustRightInd w:val="0"/>
                    <w:snapToGrid w:val="0"/>
                    <w:jc w:val="center"/>
                    <w:rPr>
                      <w:rFonts w:eastAsiaTheme="minorEastAsia"/>
                      <w:color w:val="auto"/>
                      <w:szCs w:val="21"/>
                    </w:rPr>
                  </w:pPr>
                  <w:r>
                    <w:rPr>
                      <w:rFonts w:eastAsiaTheme="minorEastAsia"/>
                      <w:color w:val="auto"/>
                      <w:szCs w:val="21"/>
                    </w:rPr>
                    <w:t>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0" w:hRule="atLeast"/>
                <w:jc w:val="center"/>
              </w:trPr>
              <w:tc>
                <w:tcPr>
                  <w:tcW w:w="961" w:type="dxa"/>
                  <w:vMerge w:val="continue"/>
                  <w:vAlign w:val="center"/>
                </w:tcPr>
                <w:p>
                  <w:pPr>
                    <w:adjustRightInd w:val="0"/>
                    <w:snapToGrid w:val="0"/>
                    <w:jc w:val="center"/>
                    <w:rPr>
                      <w:rFonts w:eastAsiaTheme="minorEastAsia"/>
                      <w:color w:val="auto"/>
                      <w:szCs w:val="21"/>
                    </w:rPr>
                  </w:pPr>
                </w:p>
              </w:tc>
              <w:tc>
                <w:tcPr>
                  <w:tcW w:w="441" w:type="dxa"/>
                  <w:vMerge w:val="continue"/>
                  <w:vAlign w:val="center"/>
                </w:tcPr>
                <w:p>
                  <w:pPr>
                    <w:adjustRightInd w:val="0"/>
                    <w:snapToGrid w:val="0"/>
                    <w:jc w:val="center"/>
                    <w:rPr>
                      <w:rFonts w:eastAsiaTheme="minorEastAsia"/>
                      <w:color w:val="auto"/>
                      <w:szCs w:val="21"/>
                    </w:rPr>
                  </w:pPr>
                </w:p>
              </w:tc>
              <w:tc>
                <w:tcPr>
                  <w:tcW w:w="723" w:type="dxa"/>
                  <w:vAlign w:val="center"/>
                </w:tcPr>
                <w:p>
                  <w:pPr>
                    <w:adjustRightInd w:val="0"/>
                    <w:snapToGrid w:val="0"/>
                    <w:jc w:val="center"/>
                    <w:rPr>
                      <w:rFonts w:eastAsiaTheme="minorEastAsia"/>
                      <w:color w:val="auto"/>
                      <w:szCs w:val="21"/>
                    </w:rPr>
                  </w:pPr>
                  <w:r>
                    <w:rPr>
                      <w:rFonts w:eastAsiaTheme="minorEastAsia"/>
                      <w:color w:val="auto"/>
                      <w:szCs w:val="21"/>
                    </w:rPr>
                    <w:t>60</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54</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48</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44</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42</w:t>
                  </w:r>
                </w:p>
              </w:tc>
              <w:tc>
                <w:tcPr>
                  <w:tcW w:w="725" w:type="dxa"/>
                  <w:vAlign w:val="center"/>
                </w:tcPr>
                <w:p>
                  <w:pPr>
                    <w:adjustRightInd w:val="0"/>
                    <w:snapToGrid w:val="0"/>
                    <w:jc w:val="center"/>
                    <w:rPr>
                      <w:rFonts w:eastAsiaTheme="minorEastAsia"/>
                      <w:color w:val="auto"/>
                      <w:szCs w:val="21"/>
                    </w:rPr>
                  </w:pPr>
                  <w:r>
                    <w:rPr>
                      <w:rFonts w:eastAsiaTheme="minorEastAsia"/>
                      <w:color w:val="auto"/>
                      <w:szCs w:val="21"/>
                    </w:rPr>
                    <w:t>40</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34</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30</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26</w:t>
                  </w:r>
                </w:p>
              </w:tc>
              <w:tc>
                <w:tcPr>
                  <w:tcW w:w="699" w:type="dxa"/>
                  <w:vAlign w:val="center"/>
                </w:tcPr>
                <w:p>
                  <w:pPr>
                    <w:adjustRightInd w:val="0"/>
                    <w:snapToGrid w:val="0"/>
                    <w:jc w:val="center"/>
                    <w:rPr>
                      <w:rFonts w:eastAsiaTheme="minorEastAsia"/>
                      <w:color w:val="auto"/>
                      <w:szCs w:val="21"/>
                    </w:rPr>
                  </w:pPr>
                  <w:r>
                    <w:rPr>
                      <w:rFonts w:eastAsiaTheme="minorEastAsia"/>
                      <w:color w:val="auto"/>
                      <w:szCs w:val="21"/>
                    </w:rPr>
                    <w:t>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0" w:hRule="atLeast"/>
                <w:jc w:val="center"/>
              </w:trPr>
              <w:tc>
                <w:tcPr>
                  <w:tcW w:w="961" w:type="dxa"/>
                  <w:vMerge w:val="restart"/>
                  <w:vAlign w:val="center"/>
                </w:tcPr>
                <w:p>
                  <w:pPr>
                    <w:adjustRightInd w:val="0"/>
                    <w:snapToGrid w:val="0"/>
                    <w:jc w:val="center"/>
                    <w:rPr>
                      <w:rFonts w:eastAsiaTheme="minorEastAsia"/>
                      <w:color w:val="auto"/>
                      <w:szCs w:val="21"/>
                    </w:rPr>
                  </w:pPr>
                  <w:r>
                    <w:rPr>
                      <w:rFonts w:eastAsiaTheme="minorEastAsia"/>
                      <w:bCs/>
                      <w:color w:val="auto"/>
                      <w:szCs w:val="21"/>
                    </w:rPr>
                    <w:t>混凝土输送泵</w:t>
                  </w:r>
                </w:p>
              </w:tc>
              <w:tc>
                <w:tcPr>
                  <w:tcW w:w="441" w:type="dxa"/>
                  <w:vMerge w:val="restart"/>
                  <w:vAlign w:val="center"/>
                </w:tcPr>
                <w:p>
                  <w:pPr>
                    <w:adjustRightInd w:val="0"/>
                    <w:snapToGrid w:val="0"/>
                    <w:jc w:val="center"/>
                    <w:rPr>
                      <w:rFonts w:eastAsiaTheme="minorEastAsia"/>
                      <w:color w:val="auto"/>
                      <w:szCs w:val="21"/>
                    </w:rPr>
                  </w:pPr>
                  <w:r>
                    <w:rPr>
                      <w:rFonts w:eastAsiaTheme="minorEastAsia"/>
                      <w:color w:val="auto"/>
                      <w:szCs w:val="21"/>
                    </w:rPr>
                    <w:t>95</w:t>
                  </w:r>
                </w:p>
              </w:tc>
              <w:tc>
                <w:tcPr>
                  <w:tcW w:w="723" w:type="dxa"/>
                  <w:vAlign w:val="center"/>
                </w:tcPr>
                <w:p>
                  <w:pPr>
                    <w:adjustRightInd w:val="0"/>
                    <w:snapToGrid w:val="0"/>
                    <w:jc w:val="center"/>
                    <w:rPr>
                      <w:rFonts w:eastAsiaTheme="minorEastAsia"/>
                      <w:color w:val="auto"/>
                      <w:szCs w:val="21"/>
                    </w:rPr>
                  </w:pPr>
                  <w:r>
                    <w:rPr>
                      <w:rFonts w:eastAsiaTheme="minorEastAsia"/>
                      <w:color w:val="auto"/>
                      <w:szCs w:val="21"/>
                    </w:rPr>
                    <w:t>75</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69</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63</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59</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57</w:t>
                  </w:r>
                </w:p>
              </w:tc>
              <w:tc>
                <w:tcPr>
                  <w:tcW w:w="725" w:type="dxa"/>
                  <w:vAlign w:val="center"/>
                </w:tcPr>
                <w:p>
                  <w:pPr>
                    <w:adjustRightInd w:val="0"/>
                    <w:snapToGrid w:val="0"/>
                    <w:jc w:val="center"/>
                    <w:rPr>
                      <w:rFonts w:eastAsiaTheme="minorEastAsia"/>
                      <w:color w:val="auto"/>
                      <w:szCs w:val="21"/>
                    </w:rPr>
                  </w:pPr>
                  <w:r>
                    <w:rPr>
                      <w:rFonts w:eastAsiaTheme="minorEastAsia"/>
                      <w:color w:val="auto"/>
                      <w:szCs w:val="21"/>
                    </w:rPr>
                    <w:t>55</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49</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45</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41</w:t>
                  </w:r>
                </w:p>
              </w:tc>
              <w:tc>
                <w:tcPr>
                  <w:tcW w:w="699" w:type="dxa"/>
                  <w:vAlign w:val="center"/>
                </w:tcPr>
                <w:p>
                  <w:pPr>
                    <w:adjustRightInd w:val="0"/>
                    <w:snapToGrid w:val="0"/>
                    <w:jc w:val="center"/>
                    <w:rPr>
                      <w:rFonts w:eastAsiaTheme="minorEastAsia"/>
                      <w:color w:val="auto"/>
                      <w:szCs w:val="21"/>
                    </w:rPr>
                  </w:pPr>
                  <w:r>
                    <w:rPr>
                      <w:rFonts w:eastAsiaTheme="minorEastAsia"/>
                      <w:color w:val="auto"/>
                      <w:szCs w:val="21"/>
                    </w:rPr>
                    <w:t>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00" w:hRule="atLeast"/>
                <w:jc w:val="center"/>
              </w:trPr>
              <w:tc>
                <w:tcPr>
                  <w:tcW w:w="961" w:type="dxa"/>
                  <w:vMerge w:val="continue"/>
                  <w:vAlign w:val="center"/>
                </w:tcPr>
                <w:p>
                  <w:pPr>
                    <w:adjustRightInd w:val="0"/>
                    <w:snapToGrid w:val="0"/>
                    <w:jc w:val="center"/>
                    <w:rPr>
                      <w:rFonts w:eastAsiaTheme="minorEastAsia"/>
                      <w:color w:val="auto"/>
                      <w:szCs w:val="21"/>
                    </w:rPr>
                  </w:pPr>
                </w:p>
              </w:tc>
              <w:tc>
                <w:tcPr>
                  <w:tcW w:w="441" w:type="dxa"/>
                  <w:vMerge w:val="continue"/>
                  <w:vAlign w:val="center"/>
                </w:tcPr>
                <w:p>
                  <w:pPr>
                    <w:adjustRightInd w:val="0"/>
                    <w:snapToGrid w:val="0"/>
                    <w:jc w:val="center"/>
                    <w:rPr>
                      <w:rFonts w:eastAsiaTheme="minorEastAsia"/>
                      <w:color w:val="auto"/>
                      <w:szCs w:val="21"/>
                    </w:rPr>
                  </w:pPr>
                </w:p>
              </w:tc>
              <w:tc>
                <w:tcPr>
                  <w:tcW w:w="723" w:type="dxa"/>
                  <w:vAlign w:val="center"/>
                </w:tcPr>
                <w:p>
                  <w:pPr>
                    <w:adjustRightInd w:val="0"/>
                    <w:snapToGrid w:val="0"/>
                    <w:jc w:val="center"/>
                    <w:rPr>
                      <w:rFonts w:eastAsiaTheme="minorEastAsia"/>
                      <w:color w:val="auto"/>
                      <w:szCs w:val="21"/>
                    </w:rPr>
                  </w:pPr>
                  <w:r>
                    <w:rPr>
                      <w:rFonts w:eastAsiaTheme="minorEastAsia"/>
                      <w:color w:val="auto"/>
                      <w:szCs w:val="21"/>
                    </w:rPr>
                    <w:t>67</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61</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55</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51</w:t>
                  </w:r>
                </w:p>
              </w:tc>
              <w:tc>
                <w:tcPr>
                  <w:tcW w:w="724" w:type="dxa"/>
                  <w:vAlign w:val="center"/>
                </w:tcPr>
                <w:p>
                  <w:pPr>
                    <w:adjustRightInd w:val="0"/>
                    <w:snapToGrid w:val="0"/>
                    <w:jc w:val="center"/>
                    <w:rPr>
                      <w:rFonts w:eastAsiaTheme="minorEastAsia"/>
                      <w:color w:val="auto"/>
                      <w:szCs w:val="21"/>
                    </w:rPr>
                  </w:pPr>
                  <w:r>
                    <w:rPr>
                      <w:rFonts w:eastAsiaTheme="minorEastAsia"/>
                      <w:color w:val="auto"/>
                      <w:szCs w:val="21"/>
                    </w:rPr>
                    <w:t>49</w:t>
                  </w:r>
                </w:p>
              </w:tc>
              <w:tc>
                <w:tcPr>
                  <w:tcW w:w="725" w:type="dxa"/>
                  <w:vAlign w:val="center"/>
                </w:tcPr>
                <w:p>
                  <w:pPr>
                    <w:adjustRightInd w:val="0"/>
                    <w:snapToGrid w:val="0"/>
                    <w:jc w:val="center"/>
                    <w:rPr>
                      <w:rFonts w:eastAsiaTheme="minorEastAsia"/>
                      <w:color w:val="auto"/>
                      <w:szCs w:val="21"/>
                    </w:rPr>
                  </w:pPr>
                  <w:r>
                    <w:rPr>
                      <w:rFonts w:eastAsiaTheme="minorEastAsia"/>
                      <w:color w:val="auto"/>
                      <w:szCs w:val="21"/>
                    </w:rPr>
                    <w:t>47</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41</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37</w:t>
                  </w:r>
                </w:p>
              </w:tc>
              <w:tc>
                <w:tcPr>
                  <w:tcW w:w="726" w:type="dxa"/>
                  <w:vAlign w:val="center"/>
                </w:tcPr>
                <w:p>
                  <w:pPr>
                    <w:adjustRightInd w:val="0"/>
                    <w:snapToGrid w:val="0"/>
                    <w:jc w:val="center"/>
                    <w:rPr>
                      <w:rFonts w:eastAsiaTheme="minorEastAsia"/>
                      <w:color w:val="auto"/>
                      <w:szCs w:val="21"/>
                    </w:rPr>
                  </w:pPr>
                  <w:r>
                    <w:rPr>
                      <w:rFonts w:eastAsiaTheme="minorEastAsia"/>
                      <w:color w:val="auto"/>
                      <w:szCs w:val="21"/>
                    </w:rPr>
                    <w:t>33</w:t>
                  </w:r>
                </w:p>
              </w:tc>
              <w:tc>
                <w:tcPr>
                  <w:tcW w:w="699" w:type="dxa"/>
                  <w:vAlign w:val="center"/>
                </w:tcPr>
                <w:p>
                  <w:pPr>
                    <w:adjustRightInd w:val="0"/>
                    <w:snapToGrid w:val="0"/>
                    <w:jc w:val="center"/>
                    <w:rPr>
                      <w:rFonts w:eastAsiaTheme="minorEastAsia"/>
                      <w:color w:val="auto"/>
                      <w:szCs w:val="21"/>
                    </w:rPr>
                  </w:pPr>
                  <w:r>
                    <w:rPr>
                      <w:rFonts w:eastAsiaTheme="minorEastAsia"/>
                      <w:color w:val="auto"/>
                      <w:szCs w:val="21"/>
                    </w:rPr>
                    <w:t>2</w:t>
                  </w:r>
                </w:p>
              </w:tc>
            </w:tr>
          </w:tbl>
          <w:p>
            <w:pPr>
              <w:spacing w:line="360" w:lineRule="auto"/>
              <w:ind w:firstLine="361" w:firstLineChars="200"/>
              <w:rPr>
                <w:rFonts w:eastAsiaTheme="minorEastAsia"/>
                <w:b/>
                <w:color w:val="auto"/>
                <w:sz w:val="18"/>
                <w:szCs w:val="18"/>
              </w:rPr>
            </w:pPr>
            <w:r>
              <w:rPr>
                <w:rFonts w:eastAsiaTheme="minorEastAsia"/>
                <w:b/>
                <w:color w:val="auto"/>
                <w:sz w:val="18"/>
                <w:szCs w:val="18"/>
              </w:rPr>
              <w:t>注：1：表示不计建筑物等屏蔽作用；2：表示计建筑物等屏蔽</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由表54可以看出，施工期噪声在无屏蔽作用下，最大影响范围昼间0-20m，在有屏蔽作用下，最大影响范围昼间10m范围内，本项目夜间不施工。根据现场调查，本工程周边200m范围内无居民区及声环境敏感点，在施工单位采取相关降噪措施后，施工噪声不会对周边声环境产生明显影响。由于施工期噪声影响属于短暂影响，随着施工的结束而消失，也不会对施工场地附近声环境产生明显影响。</w:t>
            </w:r>
          </w:p>
          <w:p>
            <w:pPr>
              <w:adjustRightInd w:val="0"/>
              <w:snapToGrid w:val="0"/>
              <w:spacing w:line="360" w:lineRule="auto"/>
              <w:ind w:firstLine="472" w:firstLineChars="196"/>
              <w:rPr>
                <w:rFonts w:eastAsiaTheme="minorEastAsia"/>
                <w:b/>
                <w:color w:val="auto"/>
                <w:sz w:val="24"/>
              </w:rPr>
            </w:pPr>
            <w:r>
              <w:rPr>
                <w:rFonts w:eastAsiaTheme="minorEastAsia"/>
                <w:b/>
                <w:color w:val="auto"/>
                <w:sz w:val="24"/>
              </w:rPr>
              <w:t>2、运营期环境影响分析</w:t>
            </w:r>
          </w:p>
          <w:p>
            <w:pPr>
              <w:adjustRightInd w:val="0"/>
              <w:snapToGrid w:val="0"/>
              <w:spacing w:line="360" w:lineRule="auto"/>
              <w:ind w:firstLine="482" w:firstLineChars="200"/>
              <w:rPr>
                <w:rFonts w:eastAsiaTheme="minorEastAsia"/>
                <w:b/>
                <w:color w:val="auto"/>
                <w:sz w:val="24"/>
              </w:rPr>
            </w:pPr>
            <w:r>
              <w:rPr>
                <w:rFonts w:eastAsiaTheme="minorEastAsia"/>
                <w:b/>
                <w:color w:val="auto"/>
                <w:sz w:val="24"/>
              </w:rPr>
              <w:t>2.1大气环境影响分析</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2.1.1无组织排放</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本项目无组织排放主要为生活污水进入是产生的恶臭气体，本次评价选用《环境影响评价技术导则-大气环境》（HJ2.2-2018）中推荐的估算模式，对项目无组织排放的恶臭气体H</w:t>
            </w:r>
            <w:r>
              <w:rPr>
                <w:rFonts w:eastAsiaTheme="minorEastAsia"/>
                <w:color w:val="auto"/>
                <w:sz w:val="24"/>
                <w:vertAlign w:val="subscript"/>
              </w:rPr>
              <w:t>2</w:t>
            </w:r>
            <w:r>
              <w:rPr>
                <w:rFonts w:eastAsiaTheme="minorEastAsia"/>
                <w:color w:val="auto"/>
                <w:sz w:val="24"/>
              </w:rPr>
              <w:t>S和NH</w:t>
            </w:r>
            <w:r>
              <w:rPr>
                <w:rFonts w:eastAsiaTheme="minorEastAsia"/>
                <w:color w:val="auto"/>
                <w:sz w:val="24"/>
                <w:vertAlign w:val="subscript"/>
              </w:rPr>
              <w:t>3</w:t>
            </w:r>
            <w:r>
              <w:rPr>
                <w:rFonts w:eastAsiaTheme="minorEastAsia"/>
                <w:color w:val="auto"/>
                <w:sz w:val="24"/>
              </w:rPr>
              <w:t>进行预测分析，计算无组织排放恶臭污染物预测浓度。预测评价标准采用《工业企业设计卫生标准》（TJ36-79）中居民区大气有害物标准限值，NH</w:t>
            </w:r>
            <w:r>
              <w:rPr>
                <w:rFonts w:eastAsiaTheme="minorEastAsia"/>
                <w:color w:val="auto"/>
                <w:sz w:val="24"/>
                <w:vertAlign w:val="subscript"/>
              </w:rPr>
              <w:t>3</w:t>
            </w:r>
            <w:r>
              <w:rPr>
                <w:rFonts w:eastAsiaTheme="minorEastAsia"/>
                <w:color w:val="auto"/>
                <w:sz w:val="24"/>
              </w:rPr>
              <w:t xml:space="preserve"> 0.20mg/m</w:t>
            </w:r>
            <w:r>
              <w:rPr>
                <w:rFonts w:eastAsiaTheme="minorEastAsia"/>
                <w:color w:val="auto"/>
                <w:sz w:val="24"/>
                <w:vertAlign w:val="superscript"/>
              </w:rPr>
              <w:t>3</w:t>
            </w:r>
            <w:r>
              <w:rPr>
                <w:rFonts w:eastAsiaTheme="minorEastAsia"/>
                <w:color w:val="auto"/>
                <w:sz w:val="24"/>
              </w:rPr>
              <w:t>，H</w:t>
            </w:r>
            <w:r>
              <w:rPr>
                <w:rFonts w:eastAsiaTheme="minorEastAsia"/>
                <w:color w:val="auto"/>
                <w:sz w:val="24"/>
                <w:vertAlign w:val="subscript"/>
              </w:rPr>
              <w:t>2</w:t>
            </w:r>
            <w:r>
              <w:rPr>
                <w:rFonts w:eastAsiaTheme="minorEastAsia"/>
                <w:color w:val="auto"/>
                <w:sz w:val="24"/>
              </w:rPr>
              <w:t>S 0.01mg/m</w:t>
            </w:r>
            <w:r>
              <w:rPr>
                <w:rFonts w:eastAsiaTheme="minorEastAsia"/>
                <w:color w:val="auto"/>
                <w:sz w:val="24"/>
                <w:vertAlign w:val="superscript"/>
              </w:rPr>
              <w:t>3</w:t>
            </w:r>
            <w:r>
              <w:rPr>
                <w:rFonts w:eastAsiaTheme="minorEastAsia"/>
                <w:color w:val="auto"/>
                <w:sz w:val="24"/>
              </w:rPr>
              <w:t>，本项目无组织排放计算所需参数见表59，估算结果见表60。</w:t>
            </w:r>
          </w:p>
          <w:p>
            <w:pPr>
              <w:spacing w:line="480" w:lineRule="exact"/>
              <w:ind w:firstLine="422" w:firstLineChars="176"/>
              <w:jc w:val="left"/>
              <w:rPr>
                <w:rFonts w:eastAsiaTheme="minorEastAsia"/>
                <w:color w:val="auto"/>
                <w:sz w:val="24"/>
              </w:rPr>
            </w:pPr>
            <w:r>
              <w:rPr>
                <w:rFonts w:eastAsiaTheme="minorEastAsia"/>
                <w:color w:val="auto"/>
                <w:sz w:val="24"/>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pPr>
              <w:spacing w:line="480" w:lineRule="exact"/>
              <w:ind w:firstLine="422" w:firstLineChars="176"/>
              <w:jc w:val="left"/>
              <w:rPr>
                <w:rFonts w:eastAsiaTheme="minorEastAsia"/>
                <w:color w:val="auto"/>
                <w:sz w:val="24"/>
              </w:rPr>
            </w:pPr>
            <w:r>
              <w:rPr>
                <w:rFonts w:eastAsiaTheme="minorEastAsia"/>
                <w:color w:val="auto"/>
                <w:sz w:val="24"/>
              </w:rPr>
              <w:t>(1)P</w:t>
            </w:r>
            <w:r>
              <w:rPr>
                <w:rFonts w:eastAsiaTheme="minorEastAsia"/>
                <w:color w:val="auto"/>
                <w:sz w:val="24"/>
                <w:vertAlign w:val="subscript"/>
              </w:rPr>
              <w:t>max</w:t>
            </w:r>
            <w:r>
              <w:rPr>
                <w:rFonts w:eastAsiaTheme="minorEastAsia"/>
                <w:color w:val="auto"/>
                <w:sz w:val="24"/>
              </w:rPr>
              <w:t>及D</w:t>
            </w:r>
            <w:r>
              <w:rPr>
                <w:rFonts w:eastAsiaTheme="minorEastAsia"/>
                <w:color w:val="auto"/>
                <w:sz w:val="24"/>
                <w:vertAlign w:val="subscript"/>
              </w:rPr>
              <w:t>10%</w:t>
            </w:r>
            <w:r>
              <w:rPr>
                <w:rFonts w:eastAsiaTheme="minorEastAsia"/>
                <w:color w:val="auto"/>
                <w:sz w:val="24"/>
              </w:rPr>
              <w:t>的确定</w:t>
            </w:r>
          </w:p>
          <w:p>
            <w:pPr>
              <w:spacing w:line="480" w:lineRule="exact"/>
              <w:ind w:firstLine="422" w:firstLineChars="176"/>
              <w:jc w:val="left"/>
              <w:rPr>
                <w:rFonts w:eastAsiaTheme="minorEastAsia"/>
                <w:color w:val="auto"/>
                <w:sz w:val="24"/>
              </w:rPr>
            </w:pPr>
            <w:r>
              <w:rPr>
                <w:rFonts w:eastAsiaTheme="minorEastAsia"/>
                <w:color w:val="auto"/>
                <w:sz w:val="24"/>
              </w:rPr>
              <w:t>依据《环境影响评价技术导则大气环境》(HJ2.2-2018)中最大地面浓度占标率P</w:t>
            </w:r>
            <w:r>
              <w:rPr>
                <w:rFonts w:eastAsiaTheme="minorEastAsia"/>
                <w:i/>
                <w:color w:val="auto"/>
                <w:sz w:val="24"/>
              </w:rPr>
              <w:t>i</w:t>
            </w:r>
            <w:r>
              <w:rPr>
                <w:rFonts w:eastAsiaTheme="minorEastAsia"/>
                <w:color w:val="auto"/>
                <w:sz w:val="24"/>
              </w:rPr>
              <w:t>定义如下：</w:t>
            </w:r>
          </w:p>
          <w:p>
            <w:pPr>
              <w:spacing w:line="276" w:lineRule="auto"/>
              <w:ind w:firstLine="422" w:firstLineChars="176"/>
              <w:jc w:val="center"/>
              <w:rPr>
                <w:rFonts w:eastAsiaTheme="minorEastAsia"/>
                <w:color w:val="auto"/>
                <w:sz w:val="24"/>
              </w:rPr>
            </w:pPr>
            <m:oMathPara>
              <m:oMath>
                <m:sSub>
                  <m:sSubPr>
                    <m:ctrlPr>
                      <w:rPr>
                        <w:rFonts w:ascii="Cambria Math" w:hAnsi="Cambria Math" w:eastAsiaTheme="minorEastAsia"/>
                        <w:color w:val="auto"/>
                        <w:sz w:val="24"/>
                      </w:rPr>
                    </m:ctrlPr>
                  </m:sSubPr>
                  <m:e>
                    <m:r>
                      <m:rPr/>
                      <w:rPr>
                        <w:rFonts w:ascii="Cambria Math" w:hAnsi="Cambria Math" w:eastAsiaTheme="minorEastAsia"/>
                        <w:color w:val="auto"/>
                        <w:sz w:val="24"/>
                      </w:rPr>
                      <m:t>P</m:t>
                    </m:r>
                    <m:ctrlPr>
                      <w:rPr>
                        <w:rFonts w:ascii="Cambria Math" w:hAnsi="Cambria Math" w:eastAsiaTheme="minorEastAsia"/>
                        <w:color w:val="auto"/>
                        <w:sz w:val="24"/>
                      </w:rPr>
                    </m:ctrlPr>
                  </m:e>
                  <m:sub>
                    <m:r>
                      <m:rPr/>
                      <w:rPr>
                        <w:rFonts w:ascii="Cambria Math" w:hAnsi="Cambria Math" w:eastAsiaTheme="minorEastAsia"/>
                        <w:color w:val="auto"/>
                        <w:sz w:val="24"/>
                      </w:rPr>
                      <m:t>i</m:t>
                    </m:r>
                    <m:ctrlPr>
                      <w:rPr>
                        <w:rFonts w:ascii="Cambria Math" w:hAnsi="Cambria Math" w:eastAsiaTheme="minorEastAsia"/>
                        <w:color w:val="auto"/>
                        <w:sz w:val="24"/>
                      </w:rPr>
                    </m:ctrlPr>
                  </m:sub>
                </m:sSub>
                <m:r>
                  <m:rPr>
                    <m:sty m:val="p"/>
                  </m:rPr>
                  <w:rPr>
                    <w:rFonts w:ascii="Cambria Math" w:hAnsi="Cambria Math" w:eastAsiaTheme="minorEastAsia"/>
                    <w:color w:val="auto"/>
                    <w:sz w:val="24"/>
                  </w:rPr>
                  <m:t>=</m:t>
                </m:r>
                <m:f>
                  <m:fPr>
                    <m:ctrlPr>
                      <w:rPr>
                        <w:rFonts w:ascii="Cambria Math" w:hAnsi="Cambria Math" w:eastAsiaTheme="minorEastAsia"/>
                        <w:color w:val="auto"/>
                        <w:sz w:val="24"/>
                      </w:rPr>
                    </m:ctrlPr>
                  </m:fPr>
                  <m:num>
                    <m:sSub>
                      <m:sSubPr>
                        <m:ctrlPr>
                          <w:rPr>
                            <w:rFonts w:ascii="Cambria Math" w:hAnsi="Cambria Math" w:eastAsiaTheme="minorEastAsia"/>
                            <w:i/>
                            <w:color w:val="auto"/>
                            <w:sz w:val="24"/>
                          </w:rPr>
                        </m:ctrlPr>
                      </m:sSubPr>
                      <m:e>
                        <m:r>
                          <m:rPr/>
                          <w:rPr>
                            <w:rFonts w:ascii="Cambria Math" w:hAnsi="Cambria Math" w:eastAsiaTheme="minorEastAsia"/>
                            <w:color w:val="auto"/>
                            <w:sz w:val="24"/>
                          </w:rPr>
                          <m:t>C</m:t>
                        </m:r>
                        <m:ctrlPr>
                          <w:rPr>
                            <w:rFonts w:ascii="Cambria Math" w:hAnsi="Cambria Math" w:eastAsiaTheme="minorEastAsia"/>
                            <w:i/>
                            <w:color w:val="auto"/>
                            <w:sz w:val="24"/>
                          </w:rPr>
                        </m:ctrlPr>
                      </m:e>
                      <m:sub>
                        <m:r>
                          <m:rPr/>
                          <w:rPr>
                            <w:rFonts w:ascii="Cambria Math" w:hAnsi="Cambria Math" w:eastAsiaTheme="minorEastAsia"/>
                            <w:color w:val="auto"/>
                            <w:sz w:val="24"/>
                          </w:rPr>
                          <m:t>i</m:t>
                        </m:r>
                        <m:ctrlPr>
                          <w:rPr>
                            <w:rFonts w:ascii="Cambria Math" w:hAnsi="Cambria Math" w:eastAsiaTheme="minorEastAsia"/>
                            <w:i/>
                            <w:color w:val="auto"/>
                            <w:sz w:val="24"/>
                          </w:rPr>
                        </m:ctrlPr>
                      </m:sub>
                    </m:sSub>
                    <m:ctrlPr>
                      <w:rPr>
                        <w:rFonts w:ascii="Cambria Math" w:hAnsi="Cambria Math" w:eastAsiaTheme="minorEastAsia"/>
                        <w:color w:val="auto"/>
                        <w:sz w:val="24"/>
                      </w:rPr>
                    </m:ctrlPr>
                  </m:num>
                  <m:den>
                    <m:sSub>
                      <m:sSubPr>
                        <m:ctrlPr>
                          <w:rPr>
                            <w:rFonts w:ascii="Cambria Math" w:hAnsi="Cambria Math" w:eastAsiaTheme="minorEastAsia"/>
                            <w:i/>
                            <w:color w:val="auto"/>
                            <w:sz w:val="24"/>
                          </w:rPr>
                        </m:ctrlPr>
                      </m:sSubPr>
                      <m:e>
                        <m:r>
                          <m:rPr/>
                          <w:rPr>
                            <w:rFonts w:ascii="Cambria Math" w:hAnsi="Cambria Math" w:eastAsiaTheme="minorEastAsia"/>
                            <w:color w:val="auto"/>
                            <w:sz w:val="24"/>
                          </w:rPr>
                          <m:t>C</m:t>
                        </m:r>
                        <m:ctrlPr>
                          <w:rPr>
                            <w:rFonts w:ascii="Cambria Math" w:hAnsi="Cambria Math" w:eastAsiaTheme="minorEastAsia"/>
                            <w:i/>
                            <w:color w:val="auto"/>
                            <w:sz w:val="24"/>
                          </w:rPr>
                        </m:ctrlPr>
                      </m:e>
                      <m:sub>
                        <m:r>
                          <m:rPr/>
                          <w:rPr>
                            <w:rFonts w:ascii="Cambria Math" w:hAnsi="Cambria Math" w:eastAsiaTheme="minorEastAsia"/>
                            <w:color w:val="auto"/>
                            <w:sz w:val="24"/>
                          </w:rPr>
                          <m:t>0i</m:t>
                        </m:r>
                        <m:ctrlPr>
                          <w:rPr>
                            <w:rFonts w:ascii="Cambria Math" w:hAnsi="Cambria Math" w:eastAsiaTheme="minorEastAsia"/>
                            <w:i/>
                            <w:color w:val="auto"/>
                            <w:sz w:val="24"/>
                          </w:rPr>
                        </m:ctrlPr>
                      </m:sub>
                    </m:sSub>
                    <m:ctrlPr>
                      <w:rPr>
                        <w:rFonts w:ascii="Cambria Math" w:hAnsi="Cambria Math" w:eastAsiaTheme="minorEastAsia"/>
                        <w:color w:val="auto"/>
                        <w:sz w:val="24"/>
                      </w:rPr>
                    </m:ctrlPr>
                  </m:den>
                </m:f>
                <m:r>
                  <m:rPr/>
                  <w:rPr>
                    <w:rFonts w:ascii="Cambria Math" w:hAnsi="Cambria Math" w:eastAsiaTheme="minorEastAsia"/>
                    <w:color w:val="auto"/>
                    <w:sz w:val="24"/>
                  </w:rPr>
                  <m:t>×100%</m:t>
                </m:r>
              </m:oMath>
            </m:oMathPara>
          </w:p>
          <w:p>
            <w:pPr>
              <w:spacing w:line="480" w:lineRule="exact"/>
              <w:ind w:firstLine="422" w:firstLineChars="176"/>
              <w:jc w:val="left"/>
              <w:rPr>
                <w:rFonts w:eastAsiaTheme="minorEastAsia"/>
                <w:color w:val="auto"/>
                <w:sz w:val="24"/>
              </w:rPr>
            </w:pPr>
            <m:oMath>
              <m:sSub>
                <m:sSubPr>
                  <m:ctrlPr>
                    <w:rPr>
                      <w:rFonts w:ascii="Cambria Math" w:hAnsi="Cambria Math" w:eastAsiaTheme="minorEastAsia"/>
                      <w:color w:val="auto"/>
                      <w:sz w:val="24"/>
                    </w:rPr>
                  </m:ctrlPr>
                </m:sSubPr>
                <m:e>
                  <m:r>
                    <m:rPr/>
                    <w:rPr>
                      <w:rFonts w:ascii="Cambria Math" w:hAnsi="Cambria Math" w:eastAsiaTheme="minorEastAsia"/>
                      <w:color w:val="auto"/>
                      <w:sz w:val="24"/>
                    </w:rPr>
                    <m:t>P</m:t>
                  </m:r>
                  <m:ctrlPr>
                    <w:rPr>
                      <w:rFonts w:ascii="Cambria Math" w:hAnsi="Cambria Math" w:eastAsiaTheme="minorEastAsia"/>
                      <w:color w:val="auto"/>
                      <w:sz w:val="24"/>
                    </w:rPr>
                  </m:ctrlPr>
                </m:e>
                <m:sub>
                  <m:r>
                    <m:rPr/>
                    <w:rPr>
                      <w:rFonts w:ascii="Cambria Math" w:hAnsi="Cambria Math" w:eastAsiaTheme="minorEastAsia"/>
                      <w:color w:val="auto"/>
                      <w:sz w:val="24"/>
                    </w:rPr>
                    <m:t>i</m:t>
                  </m:r>
                  <m:ctrlPr>
                    <w:rPr>
                      <w:rFonts w:ascii="Cambria Math" w:hAnsi="Cambria Math" w:eastAsiaTheme="minorEastAsia"/>
                      <w:color w:val="auto"/>
                      <w:sz w:val="24"/>
                    </w:rPr>
                  </m:ctrlPr>
                </m:sub>
              </m:sSub>
            </m:oMath>
            <w:r>
              <w:rPr>
                <w:rFonts w:eastAsiaTheme="minorEastAsia"/>
                <w:color w:val="auto"/>
                <w:sz w:val="24"/>
              </w:rPr>
              <w:t xml:space="preserve"> ——第i个污染物的最大地面空气质量浓度占标率，%；</w:t>
            </w:r>
          </w:p>
          <w:p>
            <w:pPr>
              <w:spacing w:line="480" w:lineRule="exact"/>
              <w:ind w:firstLine="422" w:firstLineChars="176"/>
              <w:jc w:val="left"/>
              <w:rPr>
                <w:rFonts w:eastAsiaTheme="minorEastAsia"/>
                <w:color w:val="auto"/>
                <w:sz w:val="24"/>
              </w:rPr>
            </w:pPr>
            <m:oMath>
              <m:sSub>
                <m:sSubPr>
                  <m:ctrlPr>
                    <w:rPr>
                      <w:rFonts w:ascii="Cambria Math" w:hAnsi="Cambria Math" w:eastAsiaTheme="minorEastAsia"/>
                      <w:i/>
                      <w:color w:val="auto"/>
                      <w:sz w:val="24"/>
                    </w:rPr>
                  </m:ctrlPr>
                </m:sSubPr>
                <m:e>
                  <m:r>
                    <m:rPr/>
                    <w:rPr>
                      <w:rFonts w:ascii="Cambria Math" w:hAnsi="Cambria Math" w:eastAsiaTheme="minorEastAsia"/>
                      <w:color w:val="auto"/>
                      <w:sz w:val="24"/>
                    </w:rPr>
                    <m:t>C</m:t>
                  </m:r>
                  <m:ctrlPr>
                    <w:rPr>
                      <w:rFonts w:ascii="Cambria Math" w:hAnsi="Cambria Math" w:eastAsiaTheme="minorEastAsia"/>
                      <w:i/>
                      <w:color w:val="auto"/>
                      <w:sz w:val="24"/>
                    </w:rPr>
                  </m:ctrlPr>
                </m:e>
                <m:sub>
                  <m:r>
                    <m:rPr/>
                    <w:rPr>
                      <w:rFonts w:ascii="Cambria Math" w:hAnsi="Cambria Math" w:eastAsiaTheme="minorEastAsia"/>
                      <w:color w:val="auto"/>
                      <w:sz w:val="24"/>
                    </w:rPr>
                    <m:t>i</m:t>
                  </m:r>
                  <m:ctrlPr>
                    <w:rPr>
                      <w:rFonts w:ascii="Cambria Math" w:hAnsi="Cambria Math" w:eastAsiaTheme="minorEastAsia"/>
                      <w:i/>
                      <w:color w:val="auto"/>
                      <w:sz w:val="24"/>
                    </w:rPr>
                  </m:ctrlPr>
                </m:sub>
              </m:sSub>
            </m:oMath>
            <w:r>
              <w:rPr>
                <w:rFonts w:eastAsiaTheme="minorEastAsia"/>
                <w:color w:val="auto"/>
                <w:sz w:val="24"/>
              </w:rPr>
              <w:t>——采用估算模型计算出的第i个污染物的最大1h地面空气质量浓度，μg/m</w:t>
            </w:r>
            <w:r>
              <w:rPr>
                <w:rFonts w:eastAsiaTheme="minorEastAsia"/>
                <w:color w:val="auto"/>
                <w:sz w:val="24"/>
                <w:vertAlign w:val="superscript"/>
              </w:rPr>
              <w:t>3</w:t>
            </w:r>
            <w:r>
              <w:rPr>
                <w:rFonts w:eastAsiaTheme="minorEastAsia"/>
                <w:color w:val="auto"/>
                <w:sz w:val="24"/>
              </w:rPr>
              <w:t>；</w:t>
            </w:r>
          </w:p>
          <w:p>
            <w:pPr>
              <w:spacing w:line="480" w:lineRule="exact"/>
              <w:ind w:firstLine="422" w:firstLineChars="176"/>
              <w:jc w:val="left"/>
              <w:rPr>
                <w:rFonts w:eastAsiaTheme="minorEastAsia"/>
                <w:color w:val="auto"/>
                <w:sz w:val="24"/>
              </w:rPr>
            </w:pPr>
            <m:oMath>
              <m:sSub>
                <m:sSubPr>
                  <m:ctrlPr>
                    <w:rPr>
                      <w:rFonts w:ascii="Cambria Math" w:hAnsi="Cambria Math" w:eastAsiaTheme="minorEastAsia"/>
                      <w:i/>
                      <w:color w:val="auto"/>
                      <w:sz w:val="24"/>
                    </w:rPr>
                  </m:ctrlPr>
                </m:sSubPr>
                <m:e>
                  <m:r>
                    <m:rPr/>
                    <w:rPr>
                      <w:rFonts w:ascii="Cambria Math" w:hAnsi="Cambria Math" w:eastAsiaTheme="minorEastAsia"/>
                      <w:color w:val="auto"/>
                      <w:sz w:val="24"/>
                    </w:rPr>
                    <m:t>C</m:t>
                  </m:r>
                  <m:ctrlPr>
                    <w:rPr>
                      <w:rFonts w:ascii="Cambria Math" w:hAnsi="Cambria Math" w:eastAsiaTheme="minorEastAsia"/>
                      <w:i/>
                      <w:color w:val="auto"/>
                      <w:sz w:val="24"/>
                    </w:rPr>
                  </m:ctrlPr>
                </m:e>
                <m:sub>
                  <m:r>
                    <m:rPr/>
                    <w:rPr>
                      <w:rFonts w:ascii="Cambria Math" w:hAnsi="Cambria Math" w:eastAsiaTheme="minorEastAsia"/>
                      <w:color w:val="auto"/>
                      <w:sz w:val="24"/>
                    </w:rPr>
                    <m:t>0i</m:t>
                  </m:r>
                  <m:ctrlPr>
                    <w:rPr>
                      <w:rFonts w:ascii="Cambria Math" w:hAnsi="Cambria Math" w:eastAsiaTheme="minorEastAsia"/>
                      <w:i/>
                      <w:color w:val="auto"/>
                      <w:sz w:val="24"/>
                    </w:rPr>
                  </m:ctrlPr>
                </m:sub>
              </m:sSub>
            </m:oMath>
            <w:r>
              <w:rPr>
                <w:rFonts w:eastAsiaTheme="minorEastAsia"/>
                <w:color w:val="auto"/>
                <w:sz w:val="24"/>
              </w:rPr>
              <w:t>——第i个污染物的环境空气质量浓度标准，μg/m</w:t>
            </w:r>
            <w:r>
              <w:rPr>
                <w:rFonts w:eastAsiaTheme="minorEastAsia"/>
                <w:color w:val="auto"/>
                <w:sz w:val="24"/>
                <w:vertAlign w:val="superscript"/>
              </w:rPr>
              <w:t>3</w:t>
            </w:r>
            <w:r>
              <w:rPr>
                <w:rFonts w:eastAsiaTheme="minorEastAsia"/>
                <w:color w:val="auto"/>
                <w:sz w:val="24"/>
              </w:rPr>
              <w:t>。</w:t>
            </w:r>
          </w:p>
          <w:p>
            <w:pPr>
              <w:spacing w:line="480" w:lineRule="exact"/>
              <w:ind w:firstLine="422" w:firstLineChars="176"/>
              <w:jc w:val="left"/>
              <w:rPr>
                <w:rFonts w:eastAsiaTheme="minorEastAsia"/>
                <w:color w:val="auto"/>
                <w:sz w:val="24"/>
              </w:rPr>
            </w:pPr>
            <w:r>
              <w:rPr>
                <w:rFonts w:eastAsiaTheme="minorEastAsia"/>
                <w:color w:val="auto"/>
                <w:sz w:val="24"/>
              </w:rPr>
              <w:t>(2)评价等级判别表</w:t>
            </w:r>
          </w:p>
          <w:p>
            <w:pPr>
              <w:spacing w:line="480" w:lineRule="exact"/>
              <w:ind w:firstLine="422" w:firstLineChars="176"/>
              <w:jc w:val="left"/>
              <w:rPr>
                <w:rFonts w:eastAsiaTheme="minorEastAsia"/>
                <w:color w:val="auto"/>
                <w:sz w:val="24"/>
              </w:rPr>
            </w:pPr>
            <w:r>
              <w:rPr>
                <w:rFonts w:eastAsiaTheme="minorEastAsia"/>
                <w:color w:val="auto"/>
                <w:sz w:val="24"/>
              </w:rPr>
              <w:t>评价等级按下表的分级判据进行划分</w:t>
            </w:r>
          </w:p>
          <w:p>
            <w:pPr>
              <w:spacing w:line="480" w:lineRule="exact"/>
              <w:ind w:firstLine="424" w:firstLineChars="176"/>
              <w:jc w:val="center"/>
              <w:rPr>
                <w:rFonts w:eastAsiaTheme="minorEastAsia"/>
                <w:b/>
                <w:color w:val="auto"/>
                <w:sz w:val="24"/>
              </w:rPr>
            </w:pPr>
            <w:r>
              <w:rPr>
                <w:rFonts w:eastAsiaTheme="minorEastAsia"/>
                <w:b/>
                <w:color w:val="auto"/>
                <w:sz w:val="24"/>
              </w:rPr>
              <w:t>表57评价等级判别表</w:t>
            </w:r>
          </w:p>
          <w:tbl>
            <w:tblPr>
              <w:tblStyle w:val="39"/>
              <w:tblW w:w="8623"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8"/>
              <w:gridCol w:w="434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278" w:type="dxa"/>
                  <w:vAlign w:val="center"/>
                </w:tcPr>
                <w:p>
                  <w:pPr>
                    <w:jc w:val="center"/>
                    <w:rPr>
                      <w:rFonts w:eastAsiaTheme="minorEastAsia"/>
                      <w:color w:val="auto"/>
                      <w:szCs w:val="21"/>
                    </w:rPr>
                  </w:pPr>
                  <w:r>
                    <w:rPr>
                      <w:rFonts w:eastAsiaTheme="minorEastAsia"/>
                      <w:color w:val="auto"/>
                      <w:szCs w:val="21"/>
                    </w:rPr>
                    <w:t>评价工作等级</w:t>
                  </w:r>
                </w:p>
              </w:tc>
              <w:tc>
                <w:tcPr>
                  <w:tcW w:w="4345" w:type="dxa"/>
                  <w:vAlign w:val="center"/>
                </w:tcPr>
                <w:p>
                  <w:pPr>
                    <w:jc w:val="center"/>
                    <w:rPr>
                      <w:rFonts w:eastAsiaTheme="minorEastAsia"/>
                      <w:color w:val="auto"/>
                      <w:szCs w:val="21"/>
                    </w:rPr>
                  </w:pPr>
                  <w:r>
                    <w:rPr>
                      <w:rFonts w:eastAsiaTheme="minorEastAsia"/>
                      <w:color w:val="auto"/>
                      <w:szCs w:val="21"/>
                    </w:rPr>
                    <w:t>评价工作分级判据</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278" w:type="dxa"/>
                  <w:vAlign w:val="center"/>
                </w:tcPr>
                <w:p>
                  <w:pPr>
                    <w:jc w:val="center"/>
                    <w:rPr>
                      <w:rFonts w:eastAsiaTheme="minorEastAsia"/>
                      <w:color w:val="auto"/>
                      <w:szCs w:val="21"/>
                    </w:rPr>
                  </w:pPr>
                  <w:r>
                    <w:rPr>
                      <w:rFonts w:eastAsiaTheme="minorEastAsia"/>
                      <w:color w:val="auto"/>
                      <w:szCs w:val="21"/>
                    </w:rPr>
                    <w:t>一级评价</w:t>
                  </w:r>
                </w:p>
              </w:tc>
              <w:tc>
                <w:tcPr>
                  <w:tcW w:w="4345" w:type="dxa"/>
                  <w:vAlign w:val="center"/>
                </w:tcPr>
                <w:p>
                  <w:pPr>
                    <w:jc w:val="center"/>
                    <w:rPr>
                      <w:rFonts w:eastAsiaTheme="minorEastAsia"/>
                      <w:color w:val="auto"/>
                      <w:szCs w:val="21"/>
                    </w:rPr>
                  </w:pPr>
                  <w:r>
                    <w:rPr>
                      <w:rFonts w:eastAsiaTheme="minorEastAsia"/>
                      <w:color w:val="auto"/>
                      <w:szCs w:val="21"/>
                    </w:rPr>
                    <w:t>Pmax</w:t>
                  </w:r>
                  <w:r>
                    <w:rPr>
                      <w:rFonts w:hint="eastAsia" w:ascii="宋体" w:hAnsi="宋体" w:cs="宋体"/>
                      <w:color w:val="auto"/>
                      <w:szCs w:val="21"/>
                    </w:rPr>
                    <w:t>≧</w:t>
                  </w:r>
                  <w:r>
                    <w:rPr>
                      <w:rFonts w:eastAsiaTheme="minorEastAsia"/>
                      <w:color w:val="auto"/>
                      <w:szCs w:val="21"/>
                    </w:rPr>
                    <w:t>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278" w:type="dxa"/>
                  <w:vAlign w:val="center"/>
                </w:tcPr>
                <w:p>
                  <w:pPr>
                    <w:jc w:val="center"/>
                    <w:rPr>
                      <w:rFonts w:eastAsiaTheme="minorEastAsia"/>
                      <w:color w:val="auto"/>
                      <w:szCs w:val="21"/>
                    </w:rPr>
                  </w:pPr>
                  <w:r>
                    <w:rPr>
                      <w:rFonts w:eastAsiaTheme="minorEastAsia"/>
                      <w:color w:val="auto"/>
                      <w:szCs w:val="21"/>
                    </w:rPr>
                    <w:t>二级评价</w:t>
                  </w:r>
                </w:p>
              </w:tc>
              <w:tc>
                <w:tcPr>
                  <w:tcW w:w="4345" w:type="dxa"/>
                  <w:vAlign w:val="center"/>
                </w:tcPr>
                <w:p>
                  <w:pPr>
                    <w:jc w:val="center"/>
                    <w:rPr>
                      <w:rFonts w:eastAsiaTheme="minorEastAsia"/>
                      <w:color w:val="auto"/>
                      <w:szCs w:val="21"/>
                    </w:rPr>
                  </w:pPr>
                  <w:r>
                    <w:rPr>
                      <w:rFonts w:eastAsiaTheme="minorEastAsia"/>
                      <w:color w:val="auto"/>
                      <w:szCs w:val="21"/>
                    </w:rPr>
                    <w:t>1%</w:t>
                  </w:r>
                  <w:r>
                    <w:rPr>
                      <w:rFonts w:hint="eastAsia" w:ascii="宋体" w:hAnsi="宋体" w:cs="宋体"/>
                      <w:color w:val="auto"/>
                      <w:szCs w:val="21"/>
                    </w:rPr>
                    <w:t>≦</w:t>
                  </w:r>
                  <w:r>
                    <w:rPr>
                      <w:rFonts w:eastAsiaTheme="minorEastAsia"/>
                      <w:color w:val="auto"/>
                      <w:szCs w:val="21"/>
                    </w:rPr>
                    <w:t>Pmax&lt;10%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278" w:type="dxa"/>
                  <w:vAlign w:val="center"/>
                </w:tcPr>
                <w:p>
                  <w:pPr>
                    <w:jc w:val="center"/>
                    <w:rPr>
                      <w:rFonts w:eastAsiaTheme="minorEastAsia"/>
                      <w:color w:val="auto"/>
                      <w:szCs w:val="21"/>
                    </w:rPr>
                  </w:pPr>
                  <w:r>
                    <w:rPr>
                      <w:rFonts w:eastAsiaTheme="minorEastAsia"/>
                      <w:color w:val="auto"/>
                      <w:szCs w:val="21"/>
                    </w:rPr>
                    <w:t>三级评价</w:t>
                  </w:r>
                </w:p>
              </w:tc>
              <w:tc>
                <w:tcPr>
                  <w:tcW w:w="4345" w:type="dxa"/>
                  <w:vAlign w:val="center"/>
                </w:tcPr>
                <w:p>
                  <w:pPr>
                    <w:jc w:val="center"/>
                    <w:rPr>
                      <w:rFonts w:eastAsiaTheme="minorEastAsia"/>
                      <w:color w:val="auto"/>
                      <w:szCs w:val="21"/>
                    </w:rPr>
                  </w:pPr>
                  <w:r>
                    <w:rPr>
                      <w:rFonts w:eastAsiaTheme="minorEastAsia"/>
                      <w:color w:val="auto"/>
                      <w:szCs w:val="21"/>
                    </w:rPr>
                    <w:t>Pmax&lt;1%</w:t>
                  </w:r>
                </w:p>
              </w:tc>
            </w:tr>
          </w:tbl>
          <w:p>
            <w:pPr>
              <w:spacing w:line="480" w:lineRule="exact"/>
              <w:ind w:firstLine="422" w:firstLineChars="176"/>
              <w:jc w:val="left"/>
              <w:rPr>
                <w:rFonts w:eastAsiaTheme="minorEastAsia"/>
                <w:color w:val="auto"/>
                <w:sz w:val="24"/>
              </w:rPr>
            </w:pPr>
            <w:r>
              <w:rPr>
                <w:rFonts w:eastAsiaTheme="minorEastAsia"/>
                <w:color w:val="auto"/>
                <w:sz w:val="24"/>
              </w:rPr>
              <w:t>(3)污染物评价标准</w:t>
            </w:r>
          </w:p>
          <w:p>
            <w:pPr>
              <w:spacing w:line="480" w:lineRule="exact"/>
              <w:ind w:firstLine="422" w:firstLineChars="176"/>
              <w:jc w:val="left"/>
              <w:rPr>
                <w:rFonts w:eastAsiaTheme="minorEastAsia"/>
                <w:color w:val="auto"/>
                <w:sz w:val="24"/>
              </w:rPr>
            </w:pPr>
            <w:r>
              <w:rPr>
                <w:rFonts w:eastAsiaTheme="minorEastAsia"/>
                <w:color w:val="auto"/>
                <w:sz w:val="24"/>
              </w:rPr>
              <w:t>污染物评价标准和来源见下表。</w:t>
            </w:r>
          </w:p>
          <w:p>
            <w:pPr>
              <w:spacing w:line="480" w:lineRule="exact"/>
              <w:ind w:firstLine="424" w:firstLineChars="176"/>
              <w:jc w:val="center"/>
              <w:rPr>
                <w:rFonts w:eastAsiaTheme="minorEastAsia"/>
                <w:b/>
                <w:color w:val="auto"/>
                <w:sz w:val="24"/>
              </w:rPr>
            </w:pPr>
            <w:r>
              <w:rPr>
                <w:rFonts w:eastAsiaTheme="minorEastAsia"/>
                <w:b/>
                <w:color w:val="auto"/>
                <w:sz w:val="24"/>
              </w:rPr>
              <w:t>表58污染物评价标准</w:t>
            </w:r>
          </w:p>
          <w:tbl>
            <w:tblPr>
              <w:tblStyle w:val="39"/>
              <w:tblW w:w="8623"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1135"/>
              <w:gridCol w:w="1278"/>
              <w:gridCol w:w="1844"/>
              <w:gridCol w:w="305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08" w:type="dxa"/>
                  <w:vAlign w:val="center"/>
                </w:tcPr>
                <w:p>
                  <w:pPr>
                    <w:jc w:val="center"/>
                    <w:rPr>
                      <w:rFonts w:eastAsiaTheme="minorEastAsia"/>
                      <w:color w:val="auto"/>
                      <w:szCs w:val="21"/>
                    </w:rPr>
                  </w:pPr>
                  <w:r>
                    <w:rPr>
                      <w:rFonts w:eastAsiaTheme="minorEastAsia"/>
                      <w:color w:val="auto"/>
                      <w:szCs w:val="21"/>
                    </w:rPr>
                    <w:t>污染物名称</w:t>
                  </w:r>
                </w:p>
              </w:tc>
              <w:tc>
                <w:tcPr>
                  <w:tcW w:w="1135" w:type="dxa"/>
                  <w:vAlign w:val="center"/>
                </w:tcPr>
                <w:p>
                  <w:pPr>
                    <w:jc w:val="center"/>
                    <w:rPr>
                      <w:rFonts w:eastAsiaTheme="minorEastAsia"/>
                      <w:color w:val="auto"/>
                      <w:szCs w:val="21"/>
                    </w:rPr>
                  </w:pPr>
                  <w:r>
                    <w:rPr>
                      <w:rFonts w:eastAsiaTheme="minorEastAsia"/>
                      <w:color w:val="auto"/>
                      <w:szCs w:val="21"/>
                    </w:rPr>
                    <w:t>功能区</w:t>
                  </w:r>
                </w:p>
              </w:tc>
              <w:tc>
                <w:tcPr>
                  <w:tcW w:w="1278" w:type="dxa"/>
                  <w:vAlign w:val="center"/>
                </w:tcPr>
                <w:p>
                  <w:pPr>
                    <w:jc w:val="center"/>
                    <w:rPr>
                      <w:rFonts w:eastAsiaTheme="minorEastAsia"/>
                      <w:color w:val="auto"/>
                      <w:szCs w:val="21"/>
                    </w:rPr>
                  </w:pPr>
                  <w:r>
                    <w:rPr>
                      <w:rFonts w:eastAsiaTheme="minorEastAsia"/>
                      <w:color w:val="auto"/>
                      <w:szCs w:val="21"/>
                    </w:rPr>
                    <w:t>取值时间</w:t>
                  </w:r>
                </w:p>
              </w:tc>
              <w:tc>
                <w:tcPr>
                  <w:tcW w:w="1844" w:type="dxa"/>
                  <w:vAlign w:val="center"/>
                </w:tcPr>
                <w:p>
                  <w:pPr>
                    <w:jc w:val="center"/>
                    <w:rPr>
                      <w:rFonts w:eastAsiaTheme="minorEastAsia"/>
                      <w:color w:val="auto"/>
                      <w:szCs w:val="21"/>
                    </w:rPr>
                  </w:pPr>
                  <w:bookmarkStart w:id="6" w:name="OLE_LINK4"/>
                  <w:bookmarkStart w:id="7" w:name="OLE_LINK5"/>
                  <w:r>
                    <w:rPr>
                      <w:rFonts w:eastAsiaTheme="minorEastAsia"/>
                      <w:color w:val="auto"/>
                      <w:szCs w:val="21"/>
                    </w:rPr>
                    <w:t>标准值</w:t>
                  </w:r>
                  <w:bookmarkEnd w:id="6"/>
                  <w:bookmarkEnd w:id="7"/>
                  <w:bookmarkStart w:id="8" w:name="OLE_LINK14"/>
                  <w:bookmarkStart w:id="9" w:name="OLE_LINK15"/>
                  <w:r>
                    <w:rPr>
                      <w:rFonts w:eastAsiaTheme="minorEastAsia"/>
                      <w:color w:val="auto"/>
                      <w:szCs w:val="21"/>
                    </w:rPr>
                    <w:t>(μg/m</w:t>
                  </w:r>
                  <w:r>
                    <w:rPr>
                      <w:rFonts w:eastAsiaTheme="minorEastAsia"/>
                      <w:color w:val="auto"/>
                      <w:szCs w:val="21"/>
                      <w:vertAlign w:val="superscript"/>
                    </w:rPr>
                    <w:t>3</w:t>
                  </w:r>
                  <w:r>
                    <w:rPr>
                      <w:rFonts w:eastAsiaTheme="minorEastAsia"/>
                      <w:color w:val="auto"/>
                      <w:szCs w:val="21"/>
                    </w:rPr>
                    <w:t>)</w:t>
                  </w:r>
                  <w:bookmarkEnd w:id="8"/>
                  <w:bookmarkEnd w:id="9"/>
                </w:p>
              </w:tc>
              <w:tc>
                <w:tcPr>
                  <w:tcW w:w="3058" w:type="dxa"/>
                  <w:vAlign w:val="center"/>
                </w:tcPr>
                <w:p>
                  <w:pPr>
                    <w:jc w:val="center"/>
                    <w:rPr>
                      <w:rFonts w:eastAsiaTheme="minorEastAsia"/>
                      <w:color w:val="auto"/>
                      <w:szCs w:val="21"/>
                    </w:rPr>
                  </w:pPr>
                  <w:r>
                    <w:rPr>
                      <w:rFonts w:eastAsiaTheme="minorEastAsia"/>
                      <w:color w:val="auto"/>
                      <w:szCs w:val="21"/>
                    </w:rPr>
                    <w:t>标准来源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08" w:type="dxa"/>
                  <w:vAlign w:val="center"/>
                </w:tcPr>
                <w:p>
                  <w:pPr>
                    <w:jc w:val="center"/>
                    <w:rPr>
                      <w:rFonts w:eastAsiaTheme="minorEastAsia"/>
                      <w:color w:val="auto"/>
                      <w:szCs w:val="21"/>
                    </w:rPr>
                  </w:pPr>
                  <w:r>
                    <w:rPr>
                      <w:rFonts w:eastAsiaTheme="minorEastAsia"/>
                      <w:color w:val="auto"/>
                      <w:szCs w:val="21"/>
                    </w:rPr>
                    <w:t>NH</w:t>
                  </w:r>
                  <w:r>
                    <w:rPr>
                      <w:rFonts w:eastAsiaTheme="minorEastAsia"/>
                      <w:color w:val="auto"/>
                      <w:szCs w:val="21"/>
                      <w:vertAlign w:val="subscript"/>
                    </w:rPr>
                    <w:t>3</w:t>
                  </w:r>
                </w:p>
              </w:tc>
              <w:tc>
                <w:tcPr>
                  <w:tcW w:w="1135" w:type="dxa"/>
                  <w:vAlign w:val="center"/>
                </w:tcPr>
                <w:p>
                  <w:pPr>
                    <w:jc w:val="center"/>
                    <w:rPr>
                      <w:rFonts w:eastAsiaTheme="minorEastAsia"/>
                      <w:color w:val="auto"/>
                      <w:szCs w:val="21"/>
                    </w:rPr>
                  </w:pPr>
                  <w:r>
                    <w:rPr>
                      <w:rFonts w:eastAsiaTheme="minorEastAsia"/>
                      <w:color w:val="auto"/>
                      <w:szCs w:val="21"/>
                    </w:rPr>
                    <w:t>二类限区</w:t>
                  </w:r>
                </w:p>
              </w:tc>
              <w:tc>
                <w:tcPr>
                  <w:tcW w:w="1278" w:type="dxa"/>
                  <w:vAlign w:val="center"/>
                </w:tcPr>
                <w:p>
                  <w:pPr>
                    <w:jc w:val="center"/>
                    <w:rPr>
                      <w:rFonts w:eastAsiaTheme="minorEastAsia"/>
                      <w:color w:val="auto"/>
                      <w:szCs w:val="21"/>
                    </w:rPr>
                  </w:pPr>
                  <w:r>
                    <w:rPr>
                      <w:rFonts w:eastAsiaTheme="minorEastAsia"/>
                      <w:color w:val="auto"/>
                      <w:szCs w:val="21"/>
                    </w:rPr>
                    <w:t>一小时</w:t>
                  </w:r>
                </w:p>
              </w:tc>
              <w:tc>
                <w:tcPr>
                  <w:tcW w:w="1844" w:type="dxa"/>
                  <w:vAlign w:val="center"/>
                </w:tcPr>
                <w:p>
                  <w:pPr>
                    <w:jc w:val="center"/>
                    <w:rPr>
                      <w:rFonts w:eastAsiaTheme="minorEastAsia"/>
                      <w:color w:val="auto"/>
                      <w:szCs w:val="21"/>
                    </w:rPr>
                  </w:pPr>
                  <w:r>
                    <w:rPr>
                      <w:rFonts w:eastAsiaTheme="minorEastAsia"/>
                      <w:color w:val="auto"/>
                      <w:szCs w:val="21"/>
                    </w:rPr>
                    <w:t>200.0</w:t>
                  </w:r>
                </w:p>
              </w:tc>
              <w:tc>
                <w:tcPr>
                  <w:tcW w:w="3058" w:type="dxa"/>
                  <w:vAlign w:val="center"/>
                </w:tcPr>
                <w:p>
                  <w:pPr>
                    <w:jc w:val="center"/>
                    <w:rPr>
                      <w:rFonts w:eastAsiaTheme="minorEastAsia"/>
                      <w:color w:val="auto"/>
                      <w:szCs w:val="21"/>
                    </w:rPr>
                  </w:pPr>
                  <w:r>
                    <w:rPr>
                      <w:rFonts w:eastAsiaTheme="minorEastAsia"/>
                      <w:color w:val="auto"/>
                      <w:szCs w:val="21"/>
                    </w:rPr>
                    <w:t>《环境影响评价技术导则-大气环境》 HJ 2.2-2018 附录D</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08" w:type="dxa"/>
                  <w:vAlign w:val="center"/>
                </w:tcPr>
                <w:p>
                  <w:pPr>
                    <w:jc w:val="center"/>
                    <w:rPr>
                      <w:rFonts w:eastAsiaTheme="minorEastAsia"/>
                      <w:color w:val="auto"/>
                      <w:szCs w:val="21"/>
                    </w:rPr>
                  </w:pPr>
                  <w:r>
                    <w:rPr>
                      <w:rFonts w:eastAsiaTheme="minorEastAsia"/>
                      <w:color w:val="auto"/>
                      <w:szCs w:val="21"/>
                    </w:rPr>
                    <w:t>H</w:t>
                  </w:r>
                  <w:r>
                    <w:rPr>
                      <w:rFonts w:eastAsiaTheme="minorEastAsia"/>
                      <w:color w:val="auto"/>
                      <w:szCs w:val="21"/>
                      <w:vertAlign w:val="subscript"/>
                    </w:rPr>
                    <w:t>2</w:t>
                  </w:r>
                  <w:r>
                    <w:rPr>
                      <w:rFonts w:eastAsiaTheme="minorEastAsia"/>
                      <w:color w:val="auto"/>
                      <w:szCs w:val="21"/>
                    </w:rPr>
                    <w:t>S</w:t>
                  </w:r>
                </w:p>
              </w:tc>
              <w:tc>
                <w:tcPr>
                  <w:tcW w:w="1135" w:type="dxa"/>
                  <w:vAlign w:val="center"/>
                </w:tcPr>
                <w:p>
                  <w:pPr>
                    <w:jc w:val="center"/>
                    <w:rPr>
                      <w:rFonts w:eastAsiaTheme="minorEastAsia"/>
                      <w:color w:val="auto"/>
                      <w:szCs w:val="21"/>
                    </w:rPr>
                  </w:pPr>
                  <w:r>
                    <w:rPr>
                      <w:rFonts w:eastAsiaTheme="minorEastAsia"/>
                      <w:color w:val="auto"/>
                      <w:szCs w:val="21"/>
                    </w:rPr>
                    <w:t>二类限区</w:t>
                  </w:r>
                </w:p>
              </w:tc>
              <w:tc>
                <w:tcPr>
                  <w:tcW w:w="1278" w:type="dxa"/>
                  <w:vAlign w:val="center"/>
                </w:tcPr>
                <w:p>
                  <w:pPr>
                    <w:jc w:val="center"/>
                    <w:rPr>
                      <w:rFonts w:eastAsiaTheme="minorEastAsia"/>
                      <w:color w:val="auto"/>
                      <w:szCs w:val="21"/>
                    </w:rPr>
                  </w:pPr>
                  <w:r>
                    <w:rPr>
                      <w:rFonts w:eastAsiaTheme="minorEastAsia"/>
                      <w:color w:val="auto"/>
                      <w:szCs w:val="21"/>
                    </w:rPr>
                    <w:t>一小时</w:t>
                  </w:r>
                </w:p>
              </w:tc>
              <w:tc>
                <w:tcPr>
                  <w:tcW w:w="1844" w:type="dxa"/>
                  <w:vAlign w:val="center"/>
                </w:tcPr>
                <w:p>
                  <w:pPr>
                    <w:jc w:val="center"/>
                    <w:rPr>
                      <w:rFonts w:eastAsiaTheme="minorEastAsia"/>
                      <w:color w:val="auto"/>
                      <w:szCs w:val="21"/>
                    </w:rPr>
                  </w:pPr>
                  <w:r>
                    <w:rPr>
                      <w:rFonts w:eastAsiaTheme="minorEastAsia"/>
                      <w:color w:val="auto"/>
                      <w:szCs w:val="21"/>
                    </w:rPr>
                    <w:t>10.0</w:t>
                  </w:r>
                </w:p>
              </w:tc>
              <w:tc>
                <w:tcPr>
                  <w:tcW w:w="3058" w:type="dxa"/>
                  <w:vAlign w:val="center"/>
                </w:tcPr>
                <w:p>
                  <w:pPr>
                    <w:jc w:val="center"/>
                    <w:rPr>
                      <w:rFonts w:eastAsiaTheme="minorEastAsia"/>
                      <w:color w:val="auto"/>
                      <w:szCs w:val="21"/>
                    </w:rPr>
                  </w:pPr>
                  <w:r>
                    <w:rPr>
                      <w:rFonts w:eastAsiaTheme="minorEastAsia"/>
                      <w:color w:val="auto"/>
                      <w:szCs w:val="21"/>
                    </w:rPr>
                    <w:t>《环境影响评价技术导则-大气环境》 HJ 2.2-2018 附录D</w:t>
                  </w:r>
                </w:p>
              </w:tc>
            </w:tr>
          </w:tbl>
          <w:p>
            <w:pPr>
              <w:adjustRightInd w:val="0"/>
              <w:snapToGrid w:val="0"/>
              <w:spacing w:line="360" w:lineRule="auto"/>
              <w:ind w:firstLine="482" w:firstLineChars="200"/>
              <w:jc w:val="center"/>
              <w:rPr>
                <w:rFonts w:eastAsiaTheme="minorEastAsia"/>
                <w:b/>
                <w:color w:val="auto"/>
                <w:sz w:val="24"/>
              </w:rPr>
            </w:pPr>
            <w:r>
              <w:rPr>
                <w:rFonts w:eastAsiaTheme="minorEastAsia"/>
                <w:b/>
                <w:color w:val="auto"/>
                <w:sz w:val="24"/>
              </w:rPr>
              <w:t>表59大气影响预测污染源统计表(无组织排放)</w:t>
            </w:r>
          </w:p>
          <w:tbl>
            <w:tblPr>
              <w:tblStyle w:val="38"/>
              <w:tblW w:w="8623"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52"/>
              <w:gridCol w:w="1559"/>
              <w:gridCol w:w="1559"/>
              <w:gridCol w:w="1276"/>
              <w:gridCol w:w="1301"/>
              <w:gridCol w:w="1476"/>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52" w:type="dxa"/>
                  <w:vAlign w:val="center"/>
                </w:tcPr>
                <w:p>
                  <w:pPr>
                    <w:widowControl/>
                    <w:jc w:val="center"/>
                    <w:rPr>
                      <w:rFonts w:eastAsiaTheme="minorEastAsia"/>
                      <w:color w:val="auto"/>
                      <w:szCs w:val="21"/>
                    </w:rPr>
                  </w:pPr>
                  <w:r>
                    <w:rPr>
                      <w:rFonts w:eastAsiaTheme="minorEastAsia"/>
                      <w:color w:val="auto"/>
                      <w:szCs w:val="21"/>
                    </w:rPr>
                    <w:t>无组织排放</w:t>
                  </w:r>
                </w:p>
              </w:tc>
              <w:tc>
                <w:tcPr>
                  <w:tcW w:w="1559" w:type="dxa"/>
                  <w:vAlign w:val="center"/>
                </w:tcPr>
                <w:p>
                  <w:pPr>
                    <w:adjustRightInd w:val="0"/>
                    <w:snapToGrid w:val="0"/>
                    <w:spacing w:line="240" w:lineRule="atLeast"/>
                    <w:jc w:val="center"/>
                    <w:rPr>
                      <w:rFonts w:eastAsiaTheme="minorEastAsia"/>
                      <w:color w:val="auto"/>
                      <w:szCs w:val="21"/>
                    </w:rPr>
                  </w:pPr>
                  <w:r>
                    <w:rPr>
                      <w:rFonts w:eastAsiaTheme="minorEastAsia"/>
                      <w:color w:val="auto"/>
                      <w:szCs w:val="21"/>
                    </w:rPr>
                    <w:t>NH</w:t>
                  </w:r>
                  <w:r>
                    <w:rPr>
                      <w:rFonts w:eastAsiaTheme="minorEastAsia"/>
                      <w:color w:val="auto"/>
                      <w:szCs w:val="21"/>
                      <w:vertAlign w:val="subscript"/>
                    </w:rPr>
                    <w:t>3</w:t>
                  </w:r>
                  <w:r>
                    <w:rPr>
                      <w:rFonts w:eastAsiaTheme="minorEastAsia"/>
                      <w:color w:val="auto"/>
                      <w:szCs w:val="21"/>
                    </w:rPr>
                    <w:t>排放量g/s</w:t>
                  </w:r>
                </w:p>
              </w:tc>
              <w:tc>
                <w:tcPr>
                  <w:tcW w:w="1559" w:type="dxa"/>
                  <w:vAlign w:val="center"/>
                </w:tcPr>
                <w:p>
                  <w:pPr>
                    <w:adjustRightInd w:val="0"/>
                    <w:snapToGrid w:val="0"/>
                    <w:spacing w:line="240" w:lineRule="atLeast"/>
                    <w:jc w:val="center"/>
                    <w:rPr>
                      <w:rFonts w:eastAsiaTheme="minorEastAsia"/>
                      <w:color w:val="auto"/>
                      <w:szCs w:val="21"/>
                    </w:rPr>
                  </w:pPr>
                  <w:r>
                    <w:rPr>
                      <w:rFonts w:eastAsiaTheme="minorEastAsia"/>
                      <w:color w:val="auto"/>
                      <w:szCs w:val="21"/>
                    </w:rPr>
                    <w:t>H</w:t>
                  </w:r>
                  <w:r>
                    <w:rPr>
                      <w:rFonts w:eastAsiaTheme="minorEastAsia"/>
                      <w:color w:val="auto"/>
                      <w:szCs w:val="21"/>
                      <w:vertAlign w:val="subscript"/>
                    </w:rPr>
                    <w:t>2</w:t>
                  </w:r>
                  <w:r>
                    <w:rPr>
                      <w:rFonts w:eastAsiaTheme="minorEastAsia"/>
                      <w:color w:val="auto"/>
                      <w:szCs w:val="21"/>
                    </w:rPr>
                    <w:t>S排放量g/s</w:t>
                  </w:r>
                </w:p>
              </w:tc>
              <w:tc>
                <w:tcPr>
                  <w:tcW w:w="1276" w:type="dxa"/>
                  <w:vAlign w:val="center"/>
                </w:tcPr>
                <w:p>
                  <w:pPr>
                    <w:adjustRightInd w:val="0"/>
                    <w:snapToGrid w:val="0"/>
                    <w:spacing w:line="240" w:lineRule="atLeast"/>
                    <w:jc w:val="center"/>
                    <w:rPr>
                      <w:rFonts w:eastAsiaTheme="minorEastAsia"/>
                      <w:color w:val="auto"/>
                      <w:szCs w:val="21"/>
                    </w:rPr>
                  </w:pPr>
                  <w:r>
                    <w:rPr>
                      <w:rFonts w:eastAsiaTheme="minorEastAsia"/>
                      <w:color w:val="auto"/>
                    </w:rPr>
                    <w:t>面源高度m</w:t>
                  </w:r>
                </w:p>
              </w:tc>
              <w:tc>
                <w:tcPr>
                  <w:tcW w:w="1301" w:type="dxa"/>
                  <w:vAlign w:val="center"/>
                </w:tcPr>
                <w:p>
                  <w:pPr>
                    <w:adjustRightInd w:val="0"/>
                    <w:snapToGrid w:val="0"/>
                    <w:spacing w:line="240" w:lineRule="atLeast"/>
                    <w:jc w:val="center"/>
                    <w:rPr>
                      <w:rFonts w:eastAsiaTheme="minorEastAsia"/>
                      <w:color w:val="auto"/>
                      <w:szCs w:val="21"/>
                    </w:rPr>
                  </w:pPr>
                  <w:r>
                    <w:rPr>
                      <w:rFonts w:eastAsiaTheme="minorEastAsia"/>
                      <w:color w:val="auto"/>
                    </w:rPr>
                    <w:t>面源长度m</w:t>
                  </w:r>
                </w:p>
              </w:tc>
              <w:tc>
                <w:tcPr>
                  <w:tcW w:w="1476" w:type="dxa"/>
                  <w:vAlign w:val="center"/>
                </w:tcPr>
                <w:p>
                  <w:pPr>
                    <w:adjustRightInd w:val="0"/>
                    <w:snapToGrid w:val="0"/>
                    <w:spacing w:line="240" w:lineRule="atLeast"/>
                    <w:jc w:val="center"/>
                    <w:rPr>
                      <w:rFonts w:eastAsiaTheme="minorEastAsia"/>
                      <w:color w:val="auto"/>
                      <w:szCs w:val="21"/>
                    </w:rPr>
                  </w:pPr>
                  <w:r>
                    <w:rPr>
                      <w:rFonts w:eastAsiaTheme="minorEastAsia"/>
                      <w:color w:val="auto"/>
                    </w:rPr>
                    <w:t>面源宽度m</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52" w:type="dxa"/>
                  <w:vAlign w:val="center"/>
                </w:tcPr>
                <w:p>
                  <w:pPr>
                    <w:adjustRightInd w:val="0"/>
                    <w:snapToGrid w:val="0"/>
                    <w:spacing w:line="240" w:lineRule="atLeast"/>
                    <w:jc w:val="center"/>
                    <w:rPr>
                      <w:rFonts w:eastAsiaTheme="minorEastAsia"/>
                      <w:color w:val="auto"/>
                      <w:szCs w:val="21"/>
                    </w:rPr>
                  </w:pPr>
                  <w:r>
                    <w:rPr>
                      <w:rFonts w:eastAsiaTheme="minorEastAsia"/>
                      <w:color w:val="auto"/>
                    </w:rPr>
                    <w:t>厂区</w:t>
                  </w:r>
                </w:p>
              </w:tc>
              <w:tc>
                <w:tcPr>
                  <w:tcW w:w="1559" w:type="dxa"/>
                  <w:vAlign w:val="center"/>
                </w:tcPr>
                <w:p>
                  <w:pPr>
                    <w:adjustRightInd w:val="0"/>
                    <w:snapToGrid w:val="0"/>
                    <w:spacing w:line="240" w:lineRule="atLeast"/>
                    <w:jc w:val="center"/>
                    <w:rPr>
                      <w:rFonts w:eastAsiaTheme="minorEastAsia"/>
                      <w:color w:val="auto"/>
                      <w:szCs w:val="21"/>
                    </w:rPr>
                  </w:pPr>
                  <w:r>
                    <w:rPr>
                      <w:rFonts w:eastAsiaTheme="minorEastAsia"/>
                      <w:color w:val="auto"/>
                      <w:szCs w:val="21"/>
                    </w:rPr>
                    <w:t>0.00205</w:t>
                  </w:r>
                </w:p>
              </w:tc>
              <w:tc>
                <w:tcPr>
                  <w:tcW w:w="1559" w:type="dxa"/>
                  <w:vAlign w:val="center"/>
                </w:tcPr>
                <w:p>
                  <w:pPr>
                    <w:adjustRightInd w:val="0"/>
                    <w:snapToGrid w:val="0"/>
                    <w:spacing w:line="240" w:lineRule="atLeast"/>
                    <w:jc w:val="center"/>
                    <w:rPr>
                      <w:rFonts w:eastAsiaTheme="minorEastAsia"/>
                      <w:color w:val="auto"/>
                      <w:szCs w:val="21"/>
                    </w:rPr>
                  </w:pPr>
                  <w:r>
                    <w:rPr>
                      <w:rFonts w:eastAsiaTheme="minorEastAsia"/>
                      <w:color w:val="auto"/>
                      <w:szCs w:val="21"/>
                    </w:rPr>
                    <w:t>0.000024</w:t>
                  </w:r>
                </w:p>
              </w:tc>
              <w:tc>
                <w:tcPr>
                  <w:tcW w:w="1276" w:type="dxa"/>
                  <w:vAlign w:val="center"/>
                </w:tcPr>
                <w:p>
                  <w:pPr>
                    <w:adjustRightInd w:val="0"/>
                    <w:snapToGrid w:val="0"/>
                    <w:spacing w:line="240" w:lineRule="atLeast"/>
                    <w:jc w:val="center"/>
                    <w:rPr>
                      <w:rFonts w:eastAsiaTheme="minorEastAsia"/>
                      <w:color w:val="auto"/>
                      <w:szCs w:val="21"/>
                    </w:rPr>
                  </w:pPr>
                  <w:r>
                    <w:rPr>
                      <w:rFonts w:eastAsiaTheme="minorEastAsia"/>
                      <w:color w:val="auto"/>
                    </w:rPr>
                    <w:t>1.0</w:t>
                  </w:r>
                </w:p>
              </w:tc>
              <w:tc>
                <w:tcPr>
                  <w:tcW w:w="1301" w:type="dxa"/>
                  <w:vAlign w:val="center"/>
                </w:tcPr>
                <w:p>
                  <w:pPr>
                    <w:adjustRightInd w:val="0"/>
                    <w:snapToGrid w:val="0"/>
                    <w:spacing w:line="240" w:lineRule="atLeast"/>
                    <w:jc w:val="center"/>
                    <w:rPr>
                      <w:rFonts w:eastAsiaTheme="minorEastAsia"/>
                      <w:color w:val="auto"/>
                      <w:szCs w:val="21"/>
                    </w:rPr>
                  </w:pPr>
                  <w:r>
                    <w:rPr>
                      <w:rFonts w:eastAsiaTheme="minorEastAsia"/>
                      <w:color w:val="auto"/>
                    </w:rPr>
                    <w:t>84</w:t>
                  </w:r>
                </w:p>
              </w:tc>
              <w:tc>
                <w:tcPr>
                  <w:tcW w:w="1476" w:type="dxa"/>
                  <w:vAlign w:val="center"/>
                </w:tcPr>
                <w:p>
                  <w:pPr>
                    <w:adjustRightInd w:val="0"/>
                    <w:snapToGrid w:val="0"/>
                    <w:spacing w:line="240" w:lineRule="atLeast"/>
                    <w:jc w:val="center"/>
                    <w:rPr>
                      <w:rFonts w:eastAsiaTheme="minorEastAsia"/>
                      <w:color w:val="auto"/>
                      <w:szCs w:val="21"/>
                    </w:rPr>
                  </w:pPr>
                  <w:r>
                    <w:rPr>
                      <w:rFonts w:eastAsiaTheme="minorEastAsia"/>
                      <w:color w:val="auto"/>
                    </w:rPr>
                    <w:t>63</w:t>
                  </w:r>
                </w:p>
              </w:tc>
            </w:tr>
          </w:tbl>
          <w:p>
            <w:pPr>
              <w:spacing w:line="480" w:lineRule="exact"/>
              <w:ind w:firstLine="422" w:firstLineChars="176"/>
              <w:jc w:val="left"/>
              <w:rPr>
                <w:rFonts w:eastAsiaTheme="minorEastAsia"/>
                <w:color w:val="auto"/>
                <w:sz w:val="24"/>
              </w:rPr>
            </w:pPr>
            <w:r>
              <w:rPr>
                <w:rFonts w:hint="eastAsia" w:ascii="宋体" w:hAnsi="宋体" w:cs="宋体"/>
                <w:color w:val="auto"/>
                <w:sz w:val="24"/>
              </w:rPr>
              <w:t>⑷</w:t>
            </w:r>
            <w:r>
              <w:rPr>
                <w:rFonts w:eastAsiaTheme="minorEastAsia"/>
                <w:color w:val="auto"/>
                <w:sz w:val="24"/>
              </w:rPr>
              <w:t>评级工作等级确定</w:t>
            </w:r>
          </w:p>
          <w:p>
            <w:pPr>
              <w:spacing w:line="480" w:lineRule="exact"/>
              <w:ind w:firstLine="422" w:firstLineChars="176"/>
              <w:jc w:val="left"/>
              <w:rPr>
                <w:rFonts w:eastAsiaTheme="minorEastAsia"/>
                <w:color w:val="auto"/>
                <w:sz w:val="24"/>
              </w:rPr>
            </w:pPr>
            <w:r>
              <w:rPr>
                <w:rFonts w:eastAsiaTheme="minorEastAsia"/>
                <w:color w:val="auto"/>
                <w:sz w:val="24"/>
              </w:rPr>
              <w:t>本项目所有污染源的正常排放的污染物的P</w:t>
            </w:r>
            <w:r>
              <w:rPr>
                <w:rFonts w:eastAsiaTheme="minorEastAsia"/>
                <w:color w:val="auto"/>
                <w:sz w:val="24"/>
                <w:vertAlign w:val="subscript"/>
              </w:rPr>
              <w:t>max</w:t>
            </w:r>
            <w:r>
              <w:rPr>
                <w:rFonts w:eastAsiaTheme="minorEastAsia"/>
                <w:color w:val="auto"/>
                <w:sz w:val="24"/>
              </w:rPr>
              <w:t>和D</w:t>
            </w:r>
            <w:r>
              <w:rPr>
                <w:rFonts w:eastAsiaTheme="minorEastAsia"/>
                <w:color w:val="auto"/>
                <w:sz w:val="24"/>
                <w:vertAlign w:val="subscript"/>
              </w:rPr>
              <w:t>10%</w:t>
            </w:r>
            <w:r>
              <w:rPr>
                <w:rFonts w:eastAsiaTheme="minorEastAsia"/>
                <w:color w:val="auto"/>
                <w:sz w:val="24"/>
              </w:rPr>
              <w:t>预测结果如下：</w:t>
            </w:r>
          </w:p>
          <w:p>
            <w:pPr>
              <w:spacing w:line="480" w:lineRule="exact"/>
              <w:ind w:firstLine="424" w:firstLineChars="176"/>
              <w:jc w:val="center"/>
              <w:rPr>
                <w:rFonts w:eastAsiaTheme="minorEastAsia"/>
                <w:b/>
                <w:color w:val="auto"/>
                <w:sz w:val="24"/>
              </w:rPr>
            </w:pPr>
            <w:r>
              <w:rPr>
                <w:rFonts w:eastAsiaTheme="minorEastAsia"/>
                <w:b/>
                <w:color w:val="auto"/>
                <w:sz w:val="24"/>
              </w:rPr>
              <w:t>表60 P</w:t>
            </w:r>
            <w:r>
              <w:rPr>
                <w:rFonts w:eastAsiaTheme="minorEastAsia"/>
                <w:b/>
                <w:color w:val="auto"/>
                <w:sz w:val="24"/>
                <w:vertAlign w:val="subscript"/>
              </w:rPr>
              <w:t>max</w:t>
            </w:r>
            <w:r>
              <w:rPr>
                <w:rFonts w:eastAsiaTheme="minorEastAsia"/>
                <w:b/>
                <w:color w:val="auto"/>
                <w:sz w:val="24"/>
              </w:rPr>
              <w:t>和D</w:t>
            </w:r>
            <w:r>
              <w:rPr>
                <w:rFonts w:eastAsiaTheme="minorEastAsia"/>
                <w:b/>
                <w:color w:val="auto"/>
                <w:sz w:val="24"/>
                <w:vertAlign w:val="subscript"/>
              </w:rPr>
              <w:t>10%</w:t>
            </w:r>
            <w:r>
              <w:rPr>
                <w:rFonts w:eastAsiaTheme="minorEastAsia"/>
                <w:b/>
                <w:color w:val="auto"/>
                <w:sz w:val="24"/>
              </w:rPr>
              <w:t>预测和计算结果一览表</w:t>
            </w:r>
          </w:p>
          <w:tbl>
            <w:tblPr>
              <w:tblStyle w:val="39"/>
              <w:tblW w:w="8623"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1438"/>
              <w:gridCol w:w="1438"/>
              <w:gridCol w:w="1437"/>
              <w:gridCol w:w="1438"/>
              <w:gridCol w:w="143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437" w:type="dxa"/>
                  <w:vAlign w:val="center"/>
                </w:tcPr>
                <w:p>
                  <w:pPr>
                    <w:jc w:val="center"/>
                    <w:rPr>
                      <w:rFonts w:eastAsiaTheme="minorEastAsia"/>
                      <w:color w:val="auto"/>
                      <w:szCs w:val="21"/>
                    </w:rPr>
                  </w:pPr>
                  <w:r>
                    <w:rPr>
                      <w:rFonts w:eastAsiaTheme="minorEastAsia"/>
                      <w:color w:val="auto"/>
                      <w:szCs w:val="21"/>
                    </w:rPr>
                    <w:t>污染源名称</w:t>
                  </w:r>
                </w:p>
              </w:tc>
              <w:tc>
                <w:tcPr>
                  <w:tcW w:w="1438" w:type="dxa"/>
                  <w:vAlign w:val="center"/>
                </w:tcPr>
                <w:p>
                  <w:pPr>
                    <w:jc w:val="center"/>
                    <w:rPr>
                      <w:rFonts w:eastAsiaTheme="minorEastAsia"/>
                      <w:color w:val="auto"/>
                      <w:szCs w:val="21"/>
                    </w:rPr>
                  </w:pPr>
                  <w:r>
                    <w:rPr>
                      <w:rFonts w:eastAsiaTheme="minorEastAsia"/>
                      <w:color w:val="auto"/>
                      <w:szCs w:val="21"/>
                    </w:rPr>
                    <w:t>评价因子</w:t>
                  </w:r>
                </w:p>
              </w:tc>
              <w:tc>
                <w:tcPr>
                  <w:tcW w:w="1438" w:type="dxa"/>
                  <w:vAlign w:val="center"/>
                </w:tcPr>
                <w:p>
                  <w:pPr>
                    <w:jc w:val="center"/>
                    <w:rPr>
                      <w:rFonts w:eastAsiaTheme="minorEastAsia"/>
                      <w:color w:val="auto"/>
                      <w:szCs w:val="21"/>
                    </w:rPr>
                  </w:pPr>
                  <w:r>
                    <w:rPr>
                      <w:rFonts w:eastAsiaTheme="minorEastAsia"/>
                      <w:color w:val="auto"/>
                      <w:szCs w:val="21"/>
                    </w:rPr>
                    <w:t>评价标准(μg/m</w:t>
                  </w:r>
                  <w:r>
                    <w:rPr>
                      <w:rFonts w:eastAsiaTheme="minorEastAsia"/>
                      <w:color w:val="auto"/>
                      <w:szCs w:val="21"/>
                      <w:vertAlign w:val="superscript"/>
                    </w:rPr>
                    <w:t>3</w:t>
                  </w:r>
                  <w:r>
                    <w:rPr>
                      <w:rFonts w:eastAsiaTheme="minorEastAsia"/>
                      <w:color w:val="auto"/>
                      <w:szCs w:val="21"/>
                    </w:rPr>
                    <w:t>)</w:t>
                  </w:r>
                </w:p>
              </w:tc>
              <w:tc>
                <w:tcPr>
                  <w:tcW w:w="1437" w:type="dxa"/>
                  <w:vAlign w:val="center"/>
                </w:tcPr>
                <w:p>
                  <w:pPr>
                    <w:jc w:val="center"/>
                    <w:rPr>
                      <w:rFonts w:eastAsiaTheme="minorEastAsia"/>
                      <w:color w:val="auto"/>
                      <w:szCs w:val="21"/>
                    </w:rPr>
                  </w:pPr>
                  <w:r>
                    <w:rPr>
                      <w:rFonts w:eastAsiaTheme="minorEastAsia"/>
                      <w:color w:val="auto"/>
                      <w:szCs w:val="21"/>
                    </w:rPr>
                    <w:t>C</w:t>
                  </w:r>
                  <w:r>
                    <w:rPr>
                      <w:rFonts w:eastAsiaTheme="minorEastAsia"/>
                      <w:color w:val="auto"/>
                      <w:szCs w:val="21"/>
                      <w:vertAlign w:val="subscript"/>
                    </w:rPr>
                    <w:t>max</w:t>
                  </w:r>
                </w:p>
                <w:p>
                  <w:pPr>
                    <w:jc w:val="center"/>
                    <w:rPr>
                      <w:rFonts w:eastAsiaTheme="minorEastAsia"/>
                      <w:color w:val="auto"/>
                      <w:szCs w:val="21"/>
                    </w:rPr>
                  </w:pPr>
                  <w:r>
                    <w:rPr>
                      <w:rFonts w:eastAsiaTheme="minorEastAsia"/>
                      <w:color w:val="auto"/>
                      <w:szCs w:val="21"/>
                    </w:rPr>
                    <w:t>(μg/m</w:t>
                  </w:r>
                  <w:r>
                    <w:rPr>
                      <w:rFonts w:eastAsiaTheme="minorEastAsia"/>
                      <w:color w:val="auto"/>
                      <w:szCs w:val="21"/>
                      <w:vertAlign w:val="superscript"/>
                    </w:rPr>
                    <w:t>3</w:t>
                  </w:r>
                  <w:r>
                    <w:rPr>
                      <w:rFonts w:eastAsiaTheme="minorEastAsia"/>
                      <w:color w:val="auto"/>
                      <w:szCs w:val="21"/>
                    </w:rPr>
                    <w:t>)</w:t>
                  </w:r>
                </w:p>
              </w:tc>
              <w:tc>
                <w:tcPr>
                  <w:tcW w:w="1438" w:type="dxa"/>
                  <w:vAlign w:val="center"/>
                </w:tcPr>
                <w:p>
                  <w:pPr>
                    <w:jc w:val="center"/>
                    <w:rPr>
                      <w:rFonts w:eastAsiaTheme="minorEastAsia"/>
                      <w:color w:val="auto"/>
                      <w:szCs w:val="21"/>
                    </w:rPr>
                  </w:pPr>
                  <w:r>
                    <w:rPr>
                      <w:rFonts w:eastAsiaTheme="minorEastAsia"/>
                      <w:color w:val="auto"/>
                      <w:szCs w:val="21"/>
                    </w:rPr>
                    <w:t>P</w:t>
                  </w:r>
                  <w:r>
                    <w:rPr>
                      <w:rFonts w:eastAsiaTheme="minorEastAsia"/>
                      <w:color w:val="auto"/>
                      <w:szCs w:val="21"/>
                      <w:vertAlign w:val="subscript"/>
                    </w:rPr>
                    <w:t>max</w:t>
                  </w:r>
                </w:p>
                <w:p>
                  <w:pPr>
                    <w:jc w:val="center"/>
                    <w:rPr>
                      <w:rFonts w:eastAsiaTheme="minorEastAsia"/>
                      <w:color w:val="auto"/>
                      <w:szCs w:val="21"/>
                    </w:rPr>
                  </w:pPr>
                  <w:r>
                    <w:rPr>
                      <w:rFonts w:eastAsiaTheme="minorEastAsia"/>
                      <w:color w:val="auto"/>
                      <w:szCs w:val="21"/>
                    </w:rPr>
                    <w:t>(%)</w:t>
                  </w:r>
                </w:p>
              </w:tc>
              <w:tc>
                <w:tcPr>
                  <w:tcW w:w="1435" w:type="dxa"/>
                  <w:vAlign w:val="center"/>
                </w:tcPr>
                <w:p>
                  <w:pPr>
                    <w:jc w:val="center"/>
                    <w:rPr>
                      <w:rFonts w:eastAsiaTheme="minorEastAsia"/>
                      <w:color w:val="auto"/>
                      <w:szCs w:val="21"/>
                    </w:rPr>
                  </w:pPr>
                  <w:r>
                    <w:rPr>
                      <w:rFonts w:eastAsiaTheme="minorEastAsia"/>
                      <w:color w:val="auto"/>
                      <w:szCs w:val="21"/>
                    </w:rPr>
                    <w:t>D</w:t>
                  </w:r>
                  <w:r>
                    <w:rPr>
                      <w:rFonts w:eastAsiaTheme="minorEastAsia"/>
                      <w:color w:val="auto"/>
                      <w:szCs w:val="21"/>
                      <w:vertAlign w:val="subscript"/>
                    </w:rPr>
                    <w:t>10%</w:t>
                  </w:r>
                </w:p>
                <w:p>
                  <w:pPr>
                    <w:jc w:val="center"/>
                    <w:rPr>
                      <w:rFonts w:eastAsiaTheme="minorEastAsia"/>
                      <w:color w:val="auto"/>
                      <w:szCs w:val="21"/>
                    </w:rPr>
                  </w:pPr>
                  <w:r>
                    <w:rPr>
                      <w:rFonts w:eastAsiaTheme="minorEastAsia"/>
                      <w:color w:val="auto"/>
                      <w:szCs w:val="21"/>
                    </w:rPr>
                    <w:t>(m)</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437" w:type="dxa"/>
                  <w:vAlign w:val="center"/>
                </w:tcPr>
                <w:p>
                  <w:pPr>
                    <w:jc w:val="center"/>
                    <w:rPr>
                      <w:rFonts w:eastAsiaTheme="minorEastAsia"/>
                      <w:color w:val="auto"/>
                      <w:szCs w:val="21"/>
                    </w:rPr>
                  </w:pPr>
                  <w:r>
                    <w:rPr>
                      <w:rFonts w:eastAsiaTheme="minorEastAsia"/>
                      <w:color w:val="auto"/>
                      <w:szCs w:val="21"/>
                    </w:rPr>
                    <w:t>矩形面源</w:t>
                  </w:r>
                </w:p>
              </w:tc>
              <w:tc>
                <w:tcPr>
                  <w:tcW w:w="1438" w:type="dxa"/>
                  <w:vAlign w:val="center"/>
                </w:tcPr>
                <w:p>
                  <w:pPr>
                    <w:jc w:val="center"/>
                    <w:rPr>
                      <w:rFonts w:eastAsiaTheme="minorEastAsia"/>
                      <w:color w:val="auto"/>
                      <w:szCs w:val="21"/>
                    </w:rPr>
                  </w:pPr>
                  <w:r>
                    <w:rPr>
                      <w:rFonts w:eastAsiaTheme="minorEastAsia"/>
                      <w:color w:val="auto"/>
                      <w:szCs w:val="21"/>
                    </w:rPr>
                    <w:t>H</w:t>
                  </w:r>
                  <w:r>
                    <w:rPr>
                      <w:rFonts w:eastAsiaTheme="minorEastAsia"/>
                      <w:color w:val="auto"/>
                      <w:szCs w:val="21"/>
                      <w:vertAlign w:val="subscript"/>
                    </w:rPr>
                    <w:t>2</w:t>
                  </w:r>
                  <w:r>
                    <w:rPr>
                      <w:rFonts w:eastAsiaTheme="minorEastAsia"/>
                      <w:color w:val="auto"/>
                      <w:szCs w:val="21"/>
                    </w:rPr>
                    <w:t>S</w:t>
                  </w:r>
                </w:p>
              </w:tc>
              <w:tc>
                <w:tcPr>
                  <w:tcW w:w="1438" w:type="dxa"/>
                  <w:vAlign w:val="center"/>
                </w:tcPr>
                <w:p>
                  <w:pPr>
                    <w:jc w:val="center"/>
                    <w:rPr>
                      <w:rFonts w:eastAsiaTheme="minorEastAsia"/>
                      <w:color w:val="auto"/>
                      <w:szCs w:val="21"/>
                    </w:rPr>
                  </w:pPr>
                  <w:r>
                    <w:rPr>
                      <w:rFonts w:eastAsiaTheme="minorEastAsia"/>
                      <w:color w:val="auto"/>
                      <w:szCs w:val="21"/>
                    </w:rPr>
                    <w:t>10.0</w:t>
                  </w:r>
                </w:p>
              </w:tc>
              <w:tc>
                <w:tcPr>
                  <w:tcW w:w="1437" w:type="dxa"/>
                  <w:vAlign w:val="center"/>
                </w:tcPr>
                <w:p>
                  <w:pPr>
                    <w:jc w:val="center"/>
                    <w:rPr>
                      <w:rFonts w:eastAsiaTheme="minorEastAsia"/>
                      <w:color w:val="auto"/>
                      <w:szCs w:val="21"/>
                    </w:rPr>
                  </w:pPr>
                  <w:r>
                    <w:rPr>
                      <w:rFonts w:eastAsiaTheme="minorEastAsia"/>
                      <w:color w:val="auto"/>
                      <w:szCs w:val="21"/>
                    </w:rPr>
                    <w:t>0.189</w:t>
                  </w:r>
                </w:p>
              </w:tc>
              <w:tc>
                <w:tcPr>
                  <w:tcW w:w="1438" w:type="dxa"/>
                  <w:vAlign w:val="center"/>
                </w:tcPr>
                <w:p>
                  <w:pPr>
                    <w:jc w:val="center"/>
                    <w:rPr>
                      <w:rFonts w:eastAsiaTheme="minorEastAsia"/>
                      <w:color w:val="auto"/>
                      <w:szCs w:val="21"/>
                    </w:rPr>
                  </w:pPr>
                  <w:r>
                    <w:rPr>
                      <w:rFonts w:eastAsiaTheme="minorEastAsia"/>
                      <w:color w:val="auto"/>
                      <w:szCs w:val="21"/>
                    </w:rPr>
                    <w:t>1.892</w:t>
                  </w:r>
                </w:p>
              </w:tc>
              <w:tc>
                <w:tcPr>
                  <w:tcW w:w="1435" w:type="dxa"/>
                  <w:vAlign w:val="center"/>
                </w:tcPr>
                <w:p>
                  <w:pPr>
                    <w:jc w:val="center"/>
                    <w:rPr>
                      <w:rFonts w:eastAsiaTheme="minorEastAsia"/>
                      <w:color w:val="auto"/>
                      <w:szCs w:val="21"/>
                    </w:rPr>
                  </w:pPr>
                  <w:r>
                    <w:rPr>
                      <w:rFonts w:eastAsiaTheme="minorEastAsia"/>
                      <w:color w:val="auto"/>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37" w:type="dxa"/>
                  <w:vAlign w:val="center"/>
                </w:tcPr>
                <w:p>
                  <w:pPr>
                    <w:jc w:val="center"/>
                    <w:rPr>
                      <w:rFonts w:eastAsiaTheme="minorEastAsia"/>
                      <w:color w:val="auto"/>
                      <w:szCs w:val="21"/>
                    </w:rPr>
                  </w:pPr>
                  <w:r>
                    <w:rPr>
                      <w:rFonts w:eastAsiaTheme="minorEastAsia"/>
                      <w:color w:val="auto"/>
                      <w:szCs w:val="21"/>
                    </w:rPr>
                    <w:t>矩形面源</w:t>
                  </w:r>
                </w:p>
              </w:tc>
              <w:tc>
                <w:tcPr>
                  <w:tcW w:w="1438" w:type="dxa"/>
                  <w:vAlign w:val="center"/>
                </w:tcPr>
                <w:p>
                  <w:pPr>
                    <w:jc w:val="center"/>
                    <w:rPr>
                      <w:rFonts w:eastAsiaTheme="minorEastAsia"/>
                      <w:color w:val="auto"/>
                      <w:szCs w:val="21"/>
                    </w:rPr>
                  </w:pPr>
                  <w:r>
                    <w:rPr>
                      <w:rFonts w:eastAsiaTheme="minorEastAsia"/>
                      <w:color w:val="auto"/>
                      <w:szCs w:val="21"/>
                    </w:rPr>
                    <w:t>NH</w:t>
                  </w:r>
                  <w:r>
                    <w:rPr>
                      <w:rFonts w:eastAsiaTheme="minorEastAsia"/>
                      <w:color w:val="auto"/>
                      <w:szCs w:val="21"/>
                      <w:vertAlign w:val="subscript"/>
                    </w:rPr>
                    <w:t>3</w:t>
                  </w:r>
                </w:p>
              </w:tc>
              <w:tc>
                <w:tcPr>
                  <w:tcW w:w="1438" w:type="dxa"/>
                  <w:vAlign w:val="center"/>
                </w:tcPr>
                <w:p>
                  <w:pPr>
                    <w:jc w:val="center"/>
                    <w:rPr>
                      <w:rFonts w:eastAsiaTheme="minorEastAsia"/>
                      <w:color w:val="auto"/>
                      <w:szCs w:val="21"/>
                    </w:rPr>
                  </w:pPr>
                  <w:r>
                    <w:rPr>
                      <w:rFonts w:eastAsiaTheme="minorEastAsia"/>
                      <w:color w:val="auto"/>
                      <w:szCs w:val="21"/>
                    </w:rPr>
                    <w:t>200.0</w:t>
                  </w:r>
                </w:p>
              </w:tc>
              <w:tc>
                <w:tcPr>
                  <w:tcW w:w="1437" w:type="dxa"/>
                  <w:vAlign w:val="center"/>
                </w:tcPr>
                <w:p>
                  <w:pPr>
                    <w:jc w:val="center"/>
                    <w:rPr>
                      <w:rFonts w:eastAsiaTheme="minorEastAsia"/>
                      <w:color w:val="auto"/>
                      <w:szCs w:val="21"/>
                    </w:rPr>
                  </w:pPr>
                  <w:r>
                    <w:rPr>
                      <w:rFonts w:eastAsiaTheme="minorEastAsia"/>
                      <w:color w:val="auto"/>
                      <w:szCs w:val="21"/>
                    </w:rPr>
                    <w:t>16.087</w:t>
                  </w:r>
                </w:p>
              </w:tc>
              <w:tc>
                <w:tcPr>
                  <w:tcW w:w="1438" w:type="dxa"/>
                  <w:vAlign w:val="center"/>
                </w:tcPr>
                <w:p>
                  <w:pPr>
                    <w:jc w:val="center"/>
                    <w:rPr>
                      <w:rFonts w:eastAsiaTheme="minorEastAsia"/>
                      <w:color w:val="auto"/>
                      <w:szCs w:val="21"/>
                    </w:rPr>
                  </w:pPr>
                  <w:r>
                    <w:rPr>
                      <w:rFonts w:eastAsiaTheme="minorEastAsia"/>
                      <w:color w:val="auto"/>
                      <w:szCs w:val="21"/>
                    </w:rPr>
                    <w:t>8.044</w:t>
                  </w:r>
                </w:p>
              </w:tc>
              <w:tc>
                <w:tcPr>
                  <w:tcW w:w="1435" w:type="dxa"/>
                  <w:vAlign w:val="center"/>
                </w:tcPr>
                <w:p>
                  <w:pPr>
                    <w:jc w:val="center"/>
                    <w:rPr>
                      <w:rFonts w:eastAsiaTheme="minorEastAsia"/>
                      <w:color w:val="auto"/>
                      <w:szCs w:val="21"/>
                    </w:rPr>
                  </w:pPr>
                  <w:r>
                    <w:rPr>
                      <w:rFonts w:eastAsiaTheme="minorEastAsia"/>
                      <w:color w:val="auto"/>
                      <w:szCs w:val="21"/>
                    </w:rPr>
                    <w:t>/</w:t>
                  </w:r>
                </w:p>
              </w:tc>
            </w:tr>
          </w:tbl>
          <w:p>
            <w:pPr>
              <w:adjustRightInd w:val="0"/>
              <w:snapToGrid w:val="0"/>
              <w:spacing w:line="360" w:lineRule="auto"/>
              <w:ind w:firstLine="480" w:firstLineChars="200"/>
              <w:rPr>
                <w:rFonts w:eastAsiaTheme="minorEastAsia"/>
                <w:color w:val="auto"/>
                <w:sz w:val="24"/>
              </w:rPr>
            </w:pPr>
            <w:r>
              <w:rPr>
                <w:rFonts w:eastAsiaTheme="minorEastAsia"/>
                <w:color w:val="auto"/>
                <w:sz w:val="24"/>
              </w:rPr>
              <w:t>综合以上分析，本项目P</w:t>
            </w:r>
            <w:r>
              <w:rPr>
                <w:rFonts w:eastAsiaTheme="minorEastAsia"/>
                <w:color w:val="auto"/>
                <w:sz w:val="24"/>
                <w:vertAlign w:val="subscript"/>
              </w:rPr>
              <w:t>max</w:t>
            </w:r>
            <w:r>
              <w:rPr>
                <w:rFonts w:eastAsiaTheme="minorEastAsia"/>
                <w:color w:val="auto"/>
                <w:sz w:val="24"/>
              </w:rPr>
              <w:t>最大值出现为矩形面源排放的NH3，P</w:t>
            </w:r>
            <w:r>
              <w:rPr>
                <w:rFonts w:eastAsiaTheme="minorEastAsia"/>
                <w:color w:val="auto"/>
                <w:sz w:val="24"/>
                <w:vertAlign w:val="subscript"/>
              </w:rPr>
              <w:t>max</w:t>
            </w:r>
            <w:r>
              <w:rPr>
                <w:rFonts w:eastAsiaTheme="minorEastAsia"/>
                <w:color w:val="auto"/>
                <w:sz w:val="24"/>
              </w:rPr>
              <w:t>值为8.044%，C</w:t>
            </w:r>
            <w:r>
              <w:rPr>
                <w:rFonts w:eastAsiaTheme="minorEastAsia"/>
                <w:color w:val="auto"/>
                <w:sz w:val="24"/>
                <w:vertAlign w:val="subscript"/>
              </w:rPr>
              <w:t>max</w:t>
            </w:r>
            <w:r>
              <w:rPr>
                <w:rFonts w:eastAsiaTheme="minorEastAsia"/>
                <w:color w:val="auto"/>
                <w:sz w:val="24"/>
              </w:rPr>
              <w:t>为16.087ug/m</w:t>
            </w:r>
            <w:r>
              <w:rPr>
                <w:rFonts w:eastAsiaTheme="minorEastAsia"/>
                <w:color w:val="auto"/>
                <w:sz w:val="24"/>
                <w:vertAlign w:val="superscript"/>
              </w:rPr>
              <w:t>3</w:t>
            </w:r>
            <w:r>
              <w:rPr>
                <w:rFonts w:eastAsiaTheme="minorEastAsia"/>
                <w:color w:val="auto"/>
                <w:sz w:val="24"/>
              </w:rPr>
              <w:t>，根据《环境影响评价技术导则大气环境》(HJ2.2-2018)分级判据，确定本项目大气环境影响评价工作等级为二级。</w:t>
            </w:r>
          </w:p>
          <w:p>
            <w:pPr>
              <w:pStyle w:val="165"/>
              <w:ind w:firstLine="0" w:firstLineChars="0"/>
              <w:jc w:val="center"/>
              <w:rPr>
                <w:rFonts w:eastAsiaTheme="minorEastAsia"/>
                <w:b/>
                <w:color w:val="auto"/>
              </w:rPr>
            </w:pPr>
            <w:r>
              <w:rPr>
                <w:rFonts w:eastAsiaTheme="minorEastAsia"/>
                <w:b/>
                <w:color w:val="auto"/>
              </w:rPr>
              <w:t>表61恶臭影响预测结果一览表</w:t>
            </w:r>
          </w:p>
          <w:tbl>
            <w:tblPr>
              <w:tblStyle w:val="38"/>
              <w:tblW w:w="8623"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491"/>
              <w:gridCol w:w="1682"/>
              <w:gridCol w:w="1534"/>
              <w:gridCol w:w="1682"/>
              <w:gridCol w:w="1234"/>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1" w:type="dxa"/>
                  <w:vMerge w:val="restart"/>
                  <w:vAlign w:val="center"/>
                </w:tcPr>
                <w:p>
                  <w:pPr>
                    <w:widowControl/>
                    <w:adjustRightInd w:val="0"/>
                    <w:snapToGrid w:val="0"/>
                    <w:jc w:val="center"/>
                    <w:textAlignment w:val="center"/>
                    <w:rPr>
                      <w:rFonts w:eastAsiaTheme="minorEastAsia"/>
                      <w:color w:val="auto"/>
                      <w:szCs w:val="21"/>
                    </w:rPr>
                  </w:pPr>
                  <w:r>
                    <w:rPr>
                      <w:rFonts w:eastAsiaTheme="minorEastAsia"/>
                      <w:color w:val="auto"/>
                      <w:szCs w:val="21"/>
                    </w:rPr>
                    <w:t>距离下风向距离（D）m</w:t>
                  </w:r>
                </w:p>
              </w:tc>
              <w:tc>
                <w:tcPr>
                  <w:tcW w:w="3216" w:type="dxa"/>
                  <w:gridSpan w:val="2"/>
                  <w:vAlign w:val="center"/>
                </w:tcPr>
                <w:p>
                  <w:pPr>
                    <w:widowControl/>
                    <w:adjustRightInd w:val="0"/>
                    <w:snapToGrid w:val="0"/>
                    <w:jc w:val="center"/>
                    <w:rPr>
                      <w:rFonts w:eastAsiaTheme="minorEastAsia"/>
                      <w:color w:val="auto"/>
                      <w:szCs w:val="21"/>
                    </w:rPr>
                  </w:pPr>
                  <w:r>
                    <w:rPr>
                      <w:rFonts w:eastAsiaTheme="minorEastAsia"/>
                      <w:color w:val="auto"/>
                      <w:szCs w:val="21"/>
                    </w:rPr>
                    <w:t>H</w:t>
                  </w:r>
                  <w:r>
                    <w:rPr>
                      <w:rFonts w:eastAsiaTheme="minorEastAsia"/>
                      <w:color w:val="auto"/>
                      <w:szCs w:val="21"/>
                      <w:vertAlign w:val="subscript"/>
                    </w:rPr>
                    <w:t>2</w:t>
                  </w:r>
                  <w:r>
                    <w:rPr>
                      <w:rFonts w:eastAsiaTheme="minorEastAsia"/>
                      <w:color w:val="auto"/>
                      <w:szCs w:val="21"/>
                    </w:rPr>
                    <w:t>S</w:t>
                  </w:r>
                </w:p>
              </w:tc>
              <w:tc>
                <w:tcPr>
                  <w:tcW w:w="2916" w:type="dxa"/>
                  <w:gridSpan w:val="2"/>
                  <w:vAlign w:val="center"/>
                </w:tcPr>
                <w:p>
                  <w:pPr>
                    <w:widowControl/>
                    <w:adjustRightInd w:val="0"/>
                    <w:snapToGrid w:val="0"/>
                    <w:jc w:val="center"/>
                    <w:rPr>
                      <w:rFonts w:eastAsiaTheme="minorEastAsia"/>
                      <w:color w:val="auto"/>
                      <w:szCs w:val="21"/>
                    </w:rPr>
                  </w:pPr>
                  <w:r>
                    <w:rPr>
                      <w:rFonts w:eastAsiaTheme="minorEastAsia"/>
                      <w:color w:val="auto"/>
                      <w:szCs w:val="21"/>
                    </w:rPr>
                    <w:t>NH</w:t>
                  </w:r>
                  <w:r>
                    <w:rPr>
                      <w:rFonts w:eastAsiaTheme="minorEastAsia"/>
                      <w:color w:val="auto"/>
                      <w:szCs w:val="21"/>
                      <w:vertAlign w:val="subscript"/>
                    </w:rPr>
                    <w:t>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1" w:type="dxa"/>
                  <w:vMerge w:val="continue"/>
                  <w:vAlign w:val="center"/>
                </w:tcPr>
                <w:p>
                  <w:pPr>
                    <w:widowControl/>
                    <w:adjustRightInd w:val="0"/>
                    <w:snapToGrid w:val="0"/>
                    <w:jc w:val="center"/>
                    <w:rPr>
                      <w:rFonts w:eastAsiaTheme="minorEastAsia"/>
                      <w:color w:val="auto"/>
                      <w:szCs w:val="21"/>
                    </w:rPr>
                  </w:pPr>
                </w:p>
              </w:tc>
              <w:tc>
                <w:tcPr>
                  <w:tcW w:w="1682" w:type="dxa"/>
                  <w:vAlign w:val="center"/>
                </w:tcPr>
                <w:p>
                  <w:pPr>
                    <w:widowControl/>
                    <w:adjustRightInd w:val="0"/>
                    <w:snapToGrid w:val="0"/>
                    <w:jc w:val="center"/>
                    <w:rPr>
                      <w:rFonts w:eastAsiaTheme="minorEastAsia"/>
                      <w:color w:val="auto"/>
                      <w:szCs w:val="21"/>
                    </w:rPr>
                  </w:pPr>
                  <w:r>
                    <w:rPr>
                      <w:rFonts w:eastAsiaTheme="minorEastAsia"/>
                      <w:color w:val="auto"/>
                      <w:szCs w:val="21"/>
                    </w:rPr>
                    <w:t>下风向预测浓度</w:t>
                  </w:r>
                  <w:r>
                    <w:rPr>
                      <w:rFonts w:eastAsiaTheme="minorEastAsia"/>
                      <w:color w:val="auto"/>
                      <w:sz w:val="24"/>
                    </w:rPr>
                    <w:t>μ</w:t>
                  </w:r>
                  <w:r>
                    <w:rPr>
                      <w:rFonts w:eastAsiaTheme="minorEastAsia"/>
                      <w:color w:val="auto"/>
                      <w:szCs w:val="21"/>
                    </w:rPr>
                    <w:t>g/m</w:t>
                  </w:r>
                  <w:r>
                    <w:rPr>
                      <w:rFonts w:eastAsiaTheme="minorEastAsia"/>
                      <w:color w:val="auto"/>
                      <w:szCs w:val="21"/>
                      <w:vertAlign w:val="superscript"/>
                    </w:rPr>
                    <w:t>3</w:t>
                  </w:r>
                </w:p>
              </w:tc>
              <w:tc>
                <w:tcPr>
                  <w:tcW w:w="1534" w:type="dxa"/>
                  <w:vAlign w:val="center"/>
                </w:tcPr>
                <w:p>
                  <w:pPr>
                    <w:widowControl/>
                    <w:adjustRightInd w:val="0"/>
                    <w:snapToGrid w:val="0"/>
                    <w:jc w:val="center"/>
                    <w:rPr>
                      <w:rFonts w:eastAsiaTheme="minorEastAsia"/>
                      <w:color w:val="auto"/>
                      <w:szCs w:val="21"/>
                    </w:rPr>
                  </w:pPr>
                  <w:r>
                    <w:rPr>
                      <w:rFonts w:eastAsiaTheme="minorEastAsia"/>
                      <w:color w:val="auto"/>
                      <w:szCs w:val="21"/>
                    </w:rPr>
                    <w:t>浓度占标率%</w:t>
                  </w:r>
                </w:p>
              </w:tc>
              <w:tc>
                <w:tcPr>
                  <w:tcW w:w="1682" w:type="dxa"/>
                  <w:vAlign w:val="center"/>
                </w:tcPr>
                <w:p>
                  <w:pPr>
                    <w:widowControl/>
                    <w:adjustRightInd w:val="0"/>
                    <w:snapToGrid w:val="0"/>
                    <w:jc w:val="center"/>
                    <w:rPr>
                      <w:rFonts w:eastAsiaTheme="minorEastAsia"/>
                      <w:color w:val="auto"/>
                      <w:szCs w:val="21"/>
                    </w:rPr>
                  </w:pPr>
                  <w:r>
                    <w:rPr>
                      <w:rFonts w:eastAsiaTheme="minorEastAsia"/>
                      <w:color w:val="auto"/>
                      <w:szCs w:val="21"/>
                    </w:rPr>
                    <w:t>下风向预测浓度</w:t>
                  </w:r>
                  <w:r>
                    <w:rPr>
                      <w:rFonts w:eastAsiaTheme="minorEastAsia"/>
                      <w:color w:val="auto"/>
                      <w:sz w:val="24"/>
                    </w:rPr>
                    <w:t>μ</w:t>
                  </w:r>
                  <w:r>
                    <w:rPr>
                      <w:rFonts w:eastAsiaTheme="minorEastAsia"/>
                      <w:color w:val="auto"/>
                      <w:szCs w:val="21"/>
                    </w:rPr>
                    <w:t>g/m</w:t>
                  </w:r>
                  <w:r>
                    <w:rPr>
                      <w:rFonts w:eastAsiaTheme="minorEastAsia"/>
                      <w:color w:val="auto"/>
                      <w:szCs w:val="21"/>
                      <w:vertAlign w:val="superscript"/>
                    </w:rPr>
                    <w:t>3</w:t>
                  </w:r>
                </w:p>
              </w:tc>
              <w:tc>
                <w:tcPr>
                  <w:tcW w:w="1234" w:type="dxa"/>
                  <w:vAlign w:val="center"/>
                </w:tcPr>
                <w:p>
                  <w:pPr>
                    <w:widowControl/>
                    <w:adjustRightInd w:val="0"/>
                    <w:snapToGrid w:val="0"/>
                    <w:jc w:val="center"/>
                    <w:rPr>
                      <w:rFonts w:eastAsiaTheme="minorEastAsia"/>
                      <w:color w:val="auto"/>
                      <w:szCs w:val="21"/>
                    </w:rPr>
                  </w:pPr>
                  <w:r>
                    <w:rPr>
                      <w:rFonts w:eastAsiaTheme="minorEastAsia"/>
                      <w:color w:val="auto"/>
                      <w:szCs w:val="21"/>
                    </w:rPr>
                    <w:t>浓度占标率%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1" w:type="dxa"/>
                  <w:vAlign w:val="center"/>
                </w:tcPr>
                <w:p>
                  <w:pPr>
                    <w:jc w:val="center"/>
                    <w:rPr>
                      <w:rFonts w:eastAsiaTheme="minorEastAsia"/>
                      <w:color w:val="auto"/>
                    </w:rPr>
                  </w:pPr>
                  <w:r>
                    <w:rPr>
                      <w:rFonts w:eastAsiaTheme="minorEastAsia"/>
                      <w:color w:val="auto"/>
                    </w:rPr>
                    <w:t>50.0</w:t>
                  </w:r>
                </w:p>
              </w:tc>
              <w:tc>
                <w:tcPr>
                  <w:tcW w:w="1682" w:type="dxa"/>
                  <w:vAlign w:val="center"/>
                </w:tcPr>
                <w:p>
                  <w:pPr>
                    <w:jc w:val="center"/>
                    <w:rPr>
                      <w:rFonts w:eastAsiaTheme="minorEastAsia"/>
                      <w:color w:val="auto"/>
                    </w:rPr>
                  </w:pPr>
                  <w:r>
                    <w:rPr>
                      <w:rFonts w:eastAsiaTheme="minorEastAsia"/>
                      <w:color w:val="auto"/>
                    </w:rPr>
                    <w:t>0.16</w:t>
                  </w:r>
                </w:p>
              </w:tc>
              <w:tc>
                <w:tcPr>
                  <w:tcW w:w="1534" w:type="dxa"/>
                  <w:vAlign w:val="center"/>
                </w:tcPr>
                <w:p>
                  <w:pPr>
                    <w:jc w:val="center"/>
                    <w:rPr>
                      <w:rFonts w:eastAsiaTheme="minorEastAsia"/>
                      <w:color w:val="auto"/>
                    </w:rPr>
                  </w:pPr>
                  <w:r>
                    <w:rPr>
                      <w:rFonts w:eastAsiaTheme="minorEastAsia"/>
                      <w:color w:val="auto"/>
                    </w:rPr>
                    <w:t>1.603</w:t>
                  </w:r>
                </w:p>
              </w:tc>
              <w:tc>
                <w:tcPr>
                  <w:tcW w:w="1682" w:type="dxa"/>
                  <w:vAlign w:val="center"/>
                </w:tcPr>
                <w:p>
                  <w:pPr>
                    <w:jc w:val="center"/>
                    <w:rPr>
                      <w:rFonts w:eastAsiaTheme="minorEastAsia"/>
                      <w:color w:val="auto"/>
                    </w:rPr>
                  </w:pPr>
                  <w:r>
                    <w:rPr>
                      <w:rFonts w:eastAsiaTheme="minorEastAsia"/>
                      <w:color w:val="auto"/>
                    </w:rPr>
                    <w:t>13.632</w:t>
                  </w:r>
                </w:p>
              </w:tc>
              <w:tc>
                <w:tcPr>
                  <w:tcW w:w="1234" w:type="dxa"/>
                  <w:vAlign w:val="center"/>
                </w:tcPr>
                <w:p>
                  <w:pPr>
                    <w:jc w:val="center"/>
                    <w:rPr>
                      <w:rFonts w:eastAsiaTheme="minorEastAsia"/>
                      <w:color w:val="auto"/>
                    </w:rPr>
                  </w:pPr>
                  <w:r>
                    <w:rPr>
                      <w:rFonts w:eastAsiaTheme="minorEastAsia"/>
                      <w:color w:val="auto"/>
                    </w:rPr>
                    <w:t>6.816</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1" w:type="dxa"/>
                  <w:vAlign w:val="center"/>
                </w:tcPr>
                <w:p>
                  <w:pPr>
                    <w:jc w:val="center"/>
                    <w:rPr>
                      <w:rFonts w:eastAsiaTheme="minorEastAsia"/>
                      <w:color w:val="auto"/>
                    </w:rPr>
                  </w:pPr>
                  <w:r>
                    <w:rPr>
                      <w:rFonts w:eastAsiaTheme="minorEastAsia"/>
                      <w:color w:val="auto"/>
                    </w:rPr>
                    <w:t>100.0</w:t>
                  </w:r>
                </w:p>
              </w:tc>
              <w:tc>
                <w:tcPr>
                  <w:tcW w:w="1682" w:type="dxa"/>
                  <w:vAlign w:val="center"/>
                </w:tcPr>
                <w:p>
                  <w:pPr>
                    <w:jc w:val="center"/>
                    <w:rPr>
                      <w:rFonts w:eastAsiaTheme="minorEastAsia"/>
                      <w:color w:val="auto"/>
                    </w:rPr>
                  </w:pPr>
                  <w:r>
                    <w:rPr>
                      <w:rFonts w:eastAsiaTheme="minorEastAsia"/>
                      <w:color w:val="auto"/>
                    </w:rPr>
                    <w:t>0.127</w:t>
                  </w:r>
                </w:p>
              </w:tc>
              <w:tc>
                <w:tcPr>
                  <w:tcW w:w="1534" w:type="dxa"/>
                  <w:vAlign w:val="center"/>
                </w:tcPr>
                <w:p>
                  <w:pPr>
                    <w:jc w:val="center"/>
                    <w:rPr>
                      <w:rFonts w:eastAsiaTheme="minorEastAsia"/>
                      <w:color w:val="auto"/>
                    </w:rPr>
                  </w:pPr>
                  <w:r>
                    <w:rPr>
                      <w:rFonts w:eastAsiaTheme="minorEastAsia"/>
                      <w:color w:val="auto"/>
                    </w:rPr>
                    <w:t>1.268</w:t>
                  </w:r>
                </w:p>
              </w:tc>
              <w:tc>
                <w:tcPr>
                  <w:tcW w:w="1682" w:type="dxa"/>
                  <w:vAlign w:val="center"/>
                </w:tcPr>
                <w:p>
                  <w:pPr>
                    <w:jc w:val="center"/>
                    <w:rPr>
                      <w:rFonts w:eastAsiaTheme="minorEastAsia"/>
                      <w:color w:val="auto"/>
                    </w:rPr>
                  </w:pPr>
                  <w:r>
                    <w:rPr>
                      <w:rFonts w:eastAsiaTheme="minorEastAsia"/>
                      <w:color w:val="auto"/>
                    </w:rPr>
                    <w:t>10.786</w:t>
                  </w:r>
                </w:p>
              </w:tc>
              <w:tc>
                <w:tcPr>
                  <w:tcW w:w="1234" w:type="dxa"/>
                  <w:vAlign w:val="center"/>
                </w:tcPr>
                <w:p>
                  <w:pPr>
                    <w:jc w:val="center"/>
                    <w:rPr>
                      <w:rFonts w:eastAsiaTheme="minorEastAsia"/>
                      <w:color w:val="auto"/>
                    </w:rPr>
                  </w:pPr>
                  <w:r>
                    <w:rPr>
                      <w:rFonts w:eastAsiaTheme="minorEastAsia"/>
                      <w:color w:val="auto"/>
                    </w:rPr>
                    <w:t>5.393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1" w:type="dxa"/>
                  <w:vAlign w:val="center"/>
                </w:tcPr>
                <w:p>
                  <w:pPr>
                    <w:jc w:val="center"/>
                    <w:rPr>
                      <w:rFonts w:eastAsiaTheme="minorEastAsia"/>
                      <w:color w:val="auto"/>
                    </w:rPr>
                  </w:pPr>
                  <w:r>
                    <w:rPr>
                      <w:rFonts w:eastAsiaTheme="minorEastAsia"/>
                      <w:color w:val="auto"/>
                    </w:rPr>
                    <w:t>200.0</w:t>
                  </w:r>
                </w:p>
              </w:tc>
              <w:tc>
                <w:tcPr>
                  <w:tcW w:w="1682" w:type="dxa"/>
                  <w:vAlign w:val="center"/>
                </w:tcPr>
                <w:p>
                  <w:pPr>
                    <w:jc w:val="center"/>
                    <w:rPr>
                      <w:rFonts w:eastAsiaTheme="minorEastAsia"/>
                      <w:color w:val="auto"/>
                    </w:rPr>
                  </w:pPr>
                  <w:r>
                    <w:rPr>
                      <w:rFonts w:eastAsiaTheme="minorEastAsia"/>
                      <w:color w:val="auto"/>
                    </w:rPr>
                    <w:t>0.083</w:t>
                  </w:r>
                </w:p>
              </w:tc>
              <w:tc>
                <w:tcPr>
                  <w:tcW w:w="1534" w:type="dxa"/>
                  <w:vAlign w:val="center"/>
                </w:tcPr>
                <w:p>
                  <w:pPr>
                    <w:jc w:val="center"/>
                    <w:rPr>
                      <w:rFonts w:eastAsiaTheme="minorEastAsia"/>
                      <w:color w:val="auto"/>
                    </w:rPr>
                  </w:pPr>
                  <w:r>
                    <w:rPr>
                      <w:rFonts w:eastAsiaTheme="minorEastAsia"/>
                      <w:color w:val="auto"/>
                    </w:rPr>
                    <w:t>0.828</w:t>
                  </w:r>
                </w:p>
              </w:tc>
              <w:tc>
                <w:tcPr>
                  <w:tcW w:w="1682" w:type="dxa"/>
                  <w:vAlign w:val="center"/>
                </w:tcPr>
                <w:p>
                  <w:pPr>
                    <w:jc w:val="center"/>
                    <w:rPr>
                      <w:rFonts w:eastAsiaTheme="minorEastAsia"/>
                      <w:color w:val="auto"/>
                    </w:rPr>
                  </w:pPr>
                  <w:r>
                    <w:rPr>
                      <w:rFonts w:eastAsiaTheme="minorEastAsia"/>
                      <w:color w:val="auto"/>
                    </w:rPr>
                    <w:t>7.041</w:t>
                  </w:r>
                </w:p>
              </w:tc>
              <w:tc>
                <w:tcPr>
                  <w:tcW w:w="1234" w:type="dxa"/>
                  <w:vAlign w:val="center"/>
                </w:tcPr>
                <w:p>
                  <w:pPr>
                    <w:jc w:val="center"/>
                    <w:rPr>
                      <w:rFonts w:eastAsiaTheme="minorEastAsia"/>
                      <w:color w:val="auto"/>
                    </w:rPr>
                  </w:pPr>
                  <w:r>
                    <w:rPr>
                      <w:rFonts w:eastAsiaTheme="minorEastAsia"/>
                      <w:color w:val="auto"/>
                    </w:rPr>
                    <w:t>3.52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1" w:type="dxa"/>
                  <w:vAlign w:val="center"/>
                </w:tcPr>
                <w:p>
                  <w:pPr>
                    <w:jc w:val="center"/>
                    <w:rPr>
                      <w:rFonts w:eastAsiaTheme="minorEastAsia"/>
                      <w:color w:val="auto"/>
                    </w:rPr>
                  </w:pPr>
                  <w:r>
                    <w:rPr>
                      <w:rFonts w:eastAsiaTheme="minorEastAsia"/>
                      <w:color w:val="auto"/>
                    </w:rPr>
                    <w:t>300.0</w:t>
                  </w:r>
                </w:p>
              </w:tc>
              <w:tc>
                <w:tcPr>
                  <w:tcW w:w="1682" w:type="dxa"/>
                  <w:vAlign w:val="center"/>
                </w:tcPr>
                <w:p>
                  <w:pPr>
                    <w:jc w:val="center"/>
                    <w:rPr>
                      <w:rFonts w:eastAsiaTheme="minorEastAsia"/>
                      <w:color w:val="auto"/>
                    </w:rPr>
                  </w:pPr>
                  <w:r>
                    <w:rPr>
                      <w:rFonts w:eastAsiaTheme="minorEastAsia"/>
                      <w:color w:val="auto"/>
                    </w:rPr>
                    <w:t>0.06</w:t>
                  </w:r>
                </w:p>
              </w:tc>
              <w:tc>
                <w:tcPr>
                  <w:tcW w:w="1534" w:type="dxa"/>
                  <w:vAlign w:val="center"/>
                </w:tcPr>
                <w:p>
                  <w:pPr>
                    <w:jc w:val="center"/>
                    <w:rPr>
                      <w:rFonts w:eastAsiaTheme="minorEastAsia"/>
                      <w:color w:val="auto"/>
                    </w:rPr>
                  </w:pPr>
                  <w:r>
                    <w:rPr>
                      <w:rFonts w:eastAsiaTheme="minorEastAsia"/>
                      <w:color w:val="auto"/>
                    </w:rPr>
                    <w:t>0.603</w:t>
                  </w:r>
                </w:p>
              </w:tc>
              <w:tc>
                <w:tcPr>
                  <w:tcW w:w="1682" w:type="dxa"/>
                  <w:vAlign w:val="center"/>
                </w:tcPr>
                <w:p>
                  <w:pPr>
                    <w:jc w:val="center"/>
                    <w:rPr>
                      <w:rFonts w:eastAsiaTheme="minorEastAsia"/>
                      <w:color w:val="auto"/>
                    </w:rPr>
                  </w:pPr>
                  <w:r>
                    <w:rPr>
                      <w:rFonts w:eastAsiaTheme="minorEastAsia"/>
                      <w:color w:val="auto"/>
                    </w:rPr>
                    <w:t>5.124</w:t>
                  </w:r>
                </w:p>
              </w:tc>
              <w:tc>
                <w:tcPr>
                  <w:tcW w:w="1234" w:type="dxa"/>
                  <w:vAlign w:val="center"/>
                </w:tcPr>
                <w:p>
                  <w:pPr>
                    <w:jc w:val="center"/>
                    <w:rPr>
                      <w:rFonts w:eastAsiaTheme="minorEastAsia"/>
                      <w:color w:val="auto"/>
                    </w:rPr>
                  </w:pPr>
                  <w:r>
                    <w:rPr>
                      <w:rFonts w:eastAsiaTheme="minorEastAsia"/>
                      <w:color w:val="auto"/>
                    </w:rPr>
                    <w:t>2.562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1" w:type="dxa"/>
                  <w:vAlign w:val="center"/>
                </w:tcPr>
                <w:p>
                  <w:pPr>
                    <w:jc w:val="center"/>
                    <w:rPr>
                      <w:rFonts w:eastAsiaTheme="minorEastAsia"/>
                      <w:color w:val="auto"/>
                    </w:rPr>
                  </w:pPr>
                  <w:r>
                    <w:rPr>
                      <w:rFonts w:eastAsiaTheme="minorEastAsia"/>
                      <w:color w:val="auto"/>
                    </w:rPr>
                    <w:t>400.0</w:t>
                  </w:r>
                </w:p>
              </w:tc>
              <w:tc>
                <w:tcPr>
                  <w:tcW w:w="1682" w:type="dxa"/>
                  <w:vAlign w:val="center"/>
                </w:tcPr>
                <w:p>
                  <w:pPr>
                    <w:jc w:val="center"/>
                    <w:rPr>
                      <w:rFonts w:eastAsiaTheme="minorEastAsia"/>
                      <w:color w:val="auto"/>
                    </w:rPr>
                  </w:pPr>
                  <w:r>
                    <w:rPr>
                      <w:rFonts w:eastAsiaTheme="minorEastAsia"/>
                      <w:color w:val="auto"/>
                    </w:rPr>
                    <w:t>0.047</w:t>
                  </w:r>
                </w:p>
              </w:tc>
              <w:tc>
                <w:tcPr>
                  <w:tcW w:w="1534" w:type="dxa"/>
                  <w:vAlign w:val="center"/>
                </w:tcPr>
                <w:p>
                  <w:pPr>
                    <w:jc w:val="center"/>
                    <w:rPr>
                      <w:rFonts w:eastAsiaTheme="minorEastAsia"/>
                      <w:color w:val="auto"/>
                    </w:rPr>
                  </w:pPr>
                  <w:r>
                    <w:rPr>
                      <w:rFonts w:eastAsiaTheme="minorEastAsia"/>
                      <w:color w:val="auto"/>
                    </w:rPr>
                    <w:t>0.468</w:t>
                  </w:r>
                </w:p>
              </w:tc>
              <w:tc>
                <w:tcPr>
                  <w:tcW w:w="1682" w:type="dxa"/>
                  <w:vAlign w:val="center"/>
                </w:tcPr>
                <w:p>
                  <w:pPr>
                    <w:jc w:val="center"/>
                    <w:rPr>
                      <w:rFonts w:eastAsiaTheme="minorEastAsia"/>
                      <w:color w:val="auto"/>
                    </w:rPr>
                  </w:pPr>
                  <w:r>
                    <w:rPr>
                      <w:rFonts w:eastAsiaTheme="minorEastAsia"/>
                      <w:color w:val="auto"/>
                    </w:rPr>
                    <w:t>3.981</w:t>
                  </w:r>
                </w:p>
              </w:tc>
              <w:tc>
                <w:tcPr>
                  <w:tcW w:w="1234" w:type="dxa"/>
                  <w:vAlign w:val="center"/>
                </w:tcPr>
                <w:p>
                  <w:pPr>
                    <w:jc w:val="center"/>
                    <w:rPr>
                      <w:rFonts w:eastAsiaTheme="minorEastAsia"/>
                      <w:color w:val="auto"/>
                    </w:rPr>
                  </w:pPr>
                  <w:r>
                    <w:rPr>
                      <w:rFonts w:eastAsiaTheme="minorEastAsia"/>
                      <w:color w:val="auto"/>
                    </w:rPr>
                    <w:t>1.991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1" w:type="dxa"/>
                  <w:vAlign w:val="center"/>
                </w:tcPr>
                <w:p>
                  <w:pPr>
                    <w:jc w:val="center"/>
                    <w:rPr>
                      <w:rFonts w:eastAsiaTheme="minorEastAsia"/>
                      <w:color w:val="auto"/>
                    </w:rPr>
                  </w:pPr>
                  <w:r>
                    <w:rPr>
                      <w:rFonts w:eastAsiaTheme="minorEastAsia"/>
                      <w:color w:val="auto"/>
                    </w:rPr>
                    <w:t>500.0</w:t>
                  </w:r>
                </w:p>
              </w:tc>
              <w:tc>
                <w:tcPr>
                  <w:tcW w:w="1682" w:type="dxa"/>
                  <w:vAlign w:val="center"/>
                </w:tcPr>
                <w:p>
                  <w:pPr>
                    <w:jc w:val="center"/>
                    <w:rPr>
                      <w:rFonts w:eastAsiaTheme="minorEastAsia"/>
                      <w:color w:val="auto"/>
                    </w:rPr>
                  </w:pPr>
                  <w:r>
                    <w:rPr>
                      <w:rFonts w:eastAsiaTheme="minorEastAsia"/>
                      <w:color w:val="auto"/>
                    </w:rPr>
                    <w:t>0.038</w:t>
                  </w:r>
                </w:p>
              </w:tc>
              <w:tc>
                <w:tcPr>
                  <w:tcW w:w="1534" w:type="dxa"/>
                  <w:vAlign w:val="center"/>
                </w:tcPr>
                <w:p>
                  <w:pPr>
                    <w:jc w:val="center"/>
                    <w:rPr>
                      <w:rFonts w:eastAsiaTheme="minorEastAsia"/>
                      <w:color w:val="auto"/>
                    </w:rPr>
                  </w:pPr>
                  <w:r>
                    <w:rPr>
                      <w:rFonts w:eastAsiaTheme="minorEastAsia"/>
                      <w:color w:val="auto"/>
                    </w:rPr>
                    <w:t>0.379</w:t>
                  </w:r>
                </w:p>
              </w:tc>
              <w:tc>
                <w:tcPr>
                  <w:tcW w:w="1682" w:type="dxa"/>
                  <w:vAlign w:val="center"/>
                </w:tcPr>
                <w:p>
                  <w:pPr>
                    <w:jc w:val="center"/>
                    <w:rPr>
                      <w:rFonts w:eastAsiaTheme="minorEastAsia"/>
                      <w:color w:val="auto"/>
                    </w:rPr>
                  </w:pPr>
                  <w:r>
                    <w:rPr>
                      <w:rFonts w:eastAsiaTheme="minorEastAsia"/>
                      <w:color w:val="auto"/>
                    </w:rPr>
                    <w:t>3.226</w:t>
                  </w:r>
                </w:p>
              </w:tc>
              <w:tc>
                <w:tcPr>
                  <w:tcW w:w="1234" w:type="dxa"/>
                  <w:vAlign w:val="center"/>
                </w:tcPr>
                <w:p>
                  <w:pPr>
                    <w:jc w:val="center"/>
                    <w:rPr>
                      <w:rFonts w:eastAsiaTheme="minorEastAsia"/>
                      <w:color w:val="auto"/>
                    </w:rPr>
                  </w:pPr>
                  <w:r>
                    <w:rPr>
                      <w:rFonts w:eastAsiaTheme="minorEastAsia"/>
                      <w:color w:val="auto"/>
                    </w:rPr>
                    <w:t>1.613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1" w:type="dxa"/>
                  <w:vAlign w:val="center"/>
                </w:tcPr>
                <w:p>
                  <w:pPr>
                    <w:jc w:val="center"/>
                    <w:rPr>
                      <w:rFonts w:eastAsiaTheme="minorEastAsia"/>
                      <w:color w:val="auto"/>
                    </w:rPr>
                  </w:pPr>
                  <w:r>
                    <w:rPr>
                      <w:rFonts w:eastAsiaTheme="minorEastAsia"/>
                      <w:color w:val="auto"/>
                    </w:rPr>
                    <w:t>600.0</w:t>
                  </w:r>
                </w:p>
              </w:tc>
              <w:tc>
                <w:tcPr>
                  <w:tcW w:w="1682" w:type="dxa"/>
                  <w:vAlign w:val="center"/>
                </w:tcPr>
                <w:p>
                  <w:pPr>
                    <w:jc w:val="center"/>
                    <w:rPr>
                      <w:rFonts w:eastAsiaTheme="minorEastAsia"/>
                      <w:color w:val="auto"/>
                    </w:rPr>
                  </w:pPr>
                  <w:r>
                    <w:rPr>
                      <w:rFonts w:eastAsiaTheme="minorEastAsia"/>
                      <w:color w:val="auto"/>
                    </w:rPr>
                    <w:t>0.032</w:t>
                  </w:r>
                </w:p>
              </w:tc>
              <w:tc>
                <w:tcPr>
                  <w:tcW w:w="1534" w:type="dxa"/>
                  <w:vAlign w:val="center"/>
                </w:tcPr>
                <w:p>
                  <w:pPr>
                    <w:jc w:val="center"/>
                    <w:rPr>
                      <w:rFonts w:eastAsiaTheme="minorEastAsia"/>
                      <w:color w:val="auto"/>
                    </w:rPr>
                  </w:pPr>
                  <w:r>
                    <w:rPr>
                      <w:rFonts w:eastAsiaTheme="minorEastAsia"/>
                      <w:color w:val="auto"/>
                    </w:rPr>
                    <w:t>0.322</w:t>
                  </w:r>
                </w:p>
              </w:tc>
              <w:tc>
                <w:tcPr>
                  <w:tcW w:w="1682" w:type="dxa"/>
                  <w:vAlign w:val="center"/>
                </w:tcPr>
                <w:p>
                  <w:pPr>
                    <w:jc w:val="center"/>
                    <w:rPr>
                      <w:rFonts w:eastAsiaTheme="minorEastAsia"/>
                      <w:color w:val="auto"/>
                    </w:rPr>
                  </w:pPr>
                  <w:r>
                    <w:rPr>
                      <w:rFonts w:eastAsiaTheme="minorEastAsia"/>
                      <w:color w:val="auto"/>
                    </w:rPr>
                    <w:t>2.74</w:t>
                  </w:r>
                </w:p>
              </w:tc>
              <w:tc>
                <w:tcPr>
                  <w:tcW w:w="1234" w:type="dxa"/>
                  <w:vAlign w:val="center"/>
                </w:tcPr>
                <w:p>
                  <w:pPr>
                    <w:jc w:val="center"/>
                    <w:rPr>
                      <w:rFonts w:eastAsiaTheme="minorEastAsia"/>
                      <w:color w:val="auto"/>
                    </w:rPr>
                  </w:pPr>
                  <w:r>
                    <w:rPr>
                      <w:rFonts w:eastAsiaTheme="minorEastAsia"/>
                      <w:color w:val="auto"/>
                    </w:rPr>
                    <w:t>1.37</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1" w:type="dxa"/>
                  <w:vAlign w:val="center"/>
                </w:tcPr>
                <w:p>
                  <w:pPr>
                    <w:jc w:val="center"/>
                    <w:rPr>
                      <w:rFonts w:eastAsiaTheme="minorEastAsia"/>
                      <w:color w:val="auto"/>
                    </w:rPr>
                  </w:pPr>
                  <w:r>
                    <w:rPr>
                      <w:rFonts w:eastAsiaTheme="minorEastAsia"/>
                      <w:color w:val="auto"/>
                    </w:rPr>
                    <w:t>700.0</w:t>
                  </w:r>
                </w:p>
              </w:tc>
              <w:tc>
                <w:tcPr>
                  <w:tcW w:w="1682" w:type="dxa"/>
                  <w:vAlign w:val="center"/>
                </w:tcPr>
                <w:p>
                  <w:pPr>
                    <w:jc w:val="center"/>
                    <w:rPr>
                      <w:rFonts w:eastAsiaTheme="minorEastAsia"/>
                      <w:color w:val="auto"/>
                    </w:rPr>
                  </w:pPr>
                  <w:r>
                    <w:rPr>
                      <w:rFonts w:eastAsiaTheme="minorEastAsia"/>
                      <w:color w:val="auto"/>
                    </w:rPr>
                    <w:t>0.027</w:t>
                  </w:r>
                </w:p>
              </w:tc>
              <w:tc>
                <w:tcPr>
                  <w:tcW w:w="1534" w:type="dxa"/>
                  <w:vAlign w:val="center"/>
                </w:tcPr>
                <w:p>
                  <w:pPr>
                    <w:jc w:val="center"/>
                    <w:rPr>
                      <w:rFonts w:eastAsiaTheme="minorEastAsia"/>
                      <w:color w:val="auto"/>
                    </w:rPr>
                  </w:pPr>
                  <w:r>
                    <w:rPr>
                      <w:rFonts w:eastAsiaTheme="minorEastAsia"/>
                      <w:color w:val="auto"/>
                    </w:rPr>
                    <w:t>0.273</w:t>
                  </w:r>
                </w:p>
              </w:tc>
              <w:tc>
                <w:tcPr>
                  <w:tcW w:w="1682" w:type="dxa"/>
                  <w:vAlign w:val="center"/>
                </w:tcPr>
                <w:p>
                  <w:pPr>
                    <w:jc w:val="center"/>
                    <w:rPr>
                      <w:rFonts w:eastAsiaTheme="minorEastAsia"/>
                      <w:color w:val="auto"/>
                    </w:rPr>
                  </w:pPr>
                  <w:r>
                    <w:rPr>
                      <w:rFonts w:eastAsiaTheme="minorEastAsia"/>
                      <w:color w:val="auto"/>
                    </w:rPr>
                    <w:t>2.326</w:t>
                  </w:r>
                </w:p>
              </w:tc>
              <w:tc>
                <w:tcPr>
                  <w:tcW w:w="1234" w:type="dxa"/>
                  <w:vAlign w:val="center"/>
                </w:tcPr>
                <w:p>
                  <w:pPr>
                    <w:jc w:val="center"/>
                    <w:rPr>
                      <w:rFonts w:eastAsiaTheme="minorEastAsia"/>
                      <w:color w:val="auto"/>
                    </w:rPr>
                  </w:pPr>
                  <w:r>
                    <w:rPr>
                      <w:rFonts w:eastAsiaTheme="minorEastAsia"/>
                      <w:color w:val="auto"/>
                    </w:rPr>
                    <w:t>1.163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1" w:type="dxa"/>
                  <w:vAlign w:val="center"/>
                </w:tcPr>
                <w:p>
                  <w:pPr>
                    <w:jc w:val="center"/>
                    <w:rPr>
                      <w:rFonts w:eastAsiaTheme="minorEastAsia"/>
                      <w:color w:val="auto"/>
                    </w:rPr>
                  </w:pPr>
                  <w:r>
                    <w:rPr>
                      <w:rFonts w:eastAsiaTheme="minorEastAsia"/>
                      <w:color w:val="auto"/>
                    </w:rPr>
                    <w:t>800.0</w:t>
                  </w:r>
                </w:p>
              </w:tc>
              <w:tc>
                <w:tcPr>
                  <w:tcW w:w="1682" w:type="dxa"/>
                  <w:vAlign w:val="center"/>
                </w:tcPr>
                <w:p>
                  <w:pPr>
                    <w:jc w:val="center"/>
                    <w:rPr>
                      <w:rFonts w:eastAsiaTheme="minorEastAsia"/>
                      <w:color w:val="auto"/>
                    </w:rPr>
                  </w:pPr>
                  <w:r>
                    <w:rPr>
                      <w:rFonts w:eastAsiaTheme="minorEastAsia"/>
                      <w:color w:val="auto"/>
                    </w:rPr>
                    <w:t>0.024</w:t>
                  </w:r>
                </w:p>
              </w:tc>
              <w:tc>
                <w:tcPr>
                  <w:tcW w:w="1534" w:type="dxa"/>
                  <w:vAlign w:val="center"/>
                </w:tcPr>
                <w:p>
                  <w:pPr>
                    <w:jc w:val="center"/>
                    <w:rPr>
                      <w:rFonts w:eastAsiaTheme="minorEastAsia"/>
                      <w:color w:val="auto"/>
                    </w:rPr>
                  </w:pPr>
                  <w:r>
                    <w:rPr>
                      <w:rFonts w:eastAsiaTheme="minorEastAsia"/>
                      <w:color w:val="auto"/>
                    </w:rPr>
                    <w:t>0.236</w:t>
                  </w:r>
                </w:p>
              </w:tc>
              <w:tc>
                <w:tcPr>
                  <w:tcW w:w="1682" w:type="dxa"/>
                  <w:vAlign w:val="center"/>
                </w:tcPr>
                <w:p>
                  <w:pPr>
                    <w:jc w:val="center"/>
                    <w:rPr>
                      <w:rFonts w:eastAsiaTheme="minorEastAsia"/>
                      <w:color w:val="auto"/>
                    </w:rPr>
                  </w:pPr>
                  <w:r>
                    <w:rPr>
                      <w:rFonts w:eastAsiaTheme="minorEastAsia"/>
                      <w:color w:val="auto"/>
                    </w:rPr>
                    <w:t>2.009</w:t>
                  </w:r>
                </w:p>
              </w:tc>
              <w:tc>
                <w:tcPr>
                  <w:tcW w:w="1234" w:type="dxa"/>
                  <w:vAlign w:val="center"/>
                </w:tcPr>
                <w:p>
                  <w:pPr>
                    <w:jc w:val="center"/>
                    <w:rPr>
                      <w:rFonts w:eastAsiaTheme="minorEastAsia"/>
                      <w:color w:val="auto"/>
                    </w:rPr>
                  </w:pPr>
                  <w:r>
                    <w:rPr>
                      <w:rFonts w:eastAsiaTheme="minorEastAsia"/>
                      <w:color w:val="auto"/>
                    </w:rPr>
                    <w:t>1.005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1" w:type="dxa"/>
                  <w:vAlign w:val="center"/>
                </w:tcPr>
                <w:p>
                  <w:pPr>
                    <w:jc w:val="center"/>
                    <w:rPr>
                      <w:rFonts w:eastAsiaTheme="minorEastAsia"/>
                      <w:color w:val="auto"/>
                    </w:rPr>
                  </w:pPr>
                  <w:r>
                    <w:rPr>
                      <w:rFonts w:eastAsiaTheme="minorEastAsia"/>
                      <w:color w:val="auto"/>
                    </w:rPr>
                    <w:t>900.0</w:t>
                  </w:r>
                </w:p>
              </w:tc>
              <w:tc>
                <w:tcPr>
                  <w:tcW w:w="1682" w:type="dxa"/>
                  <w:vAlign w:val="center"/>
                </w:tcPr>
                <w:p>
                  <w:pPr>
                    <w:jc w:val="center"/>
                    <w:rPr>
                      <w:rFonts w:eastAsiaTheme="minorEastAsia"/>
                      <w:color w:val="auto"/>
                    </w:rPr>
                  </w:pPr>
                  <w:r>
                    <w:rPr>
                      <w:rFonts w:eastAsiaTheme="minorEastAsia"/>
                      <w:color w:val="auto"/>
                    </w:rPr>
                    <w:t>0.021</w:t>
                  </w:r>
                </w:p>
              </w:tc>
              <w:tc>
                <w:tcPr>
                  <w:tcW w:w="1534" w:type="dxa"/>
                  <w:vAlign w:val="center"/>
                </w:tcPr>
                <w:p>
                  <w:pPr>
                    <w:jc w:val="center"/>
                    <w:rPr>
                      <w:rFonts w:eastAsiaTheme="minorEastAsia"/>
                      <w:color w:val="auto"/>
                    </w:rPr>
                  </w:pPr>
                  <w:r>
                    <w:rPr>
                      <w:rFonts w:eastAsiaTheme="minorEastAsia"/>
                      <w:color w:val="auto"/>
                    </w:rPr>
                    <w:t>0.207</w:t>
                  </w:r>
                </w:p>
              </w:tc>
              <w:tc>
                <w:tcPr>
                  <w:tcW w:w="1682" w:type="dxa"/>
                  <w:vAlign w:val="center"/>
                </w:tcPr>
                <w:p>
                  <w:pPr>
                    <w:jc w:val="center"/>
                    <w:rPr>
                      <w:rFonts w:eastAsiaTheme="minorEastAsia"/>
                      <w:color w:val="auto"/>
                    </w:rPr>
                  </w:pPr>
                  <w:r>
                    <w:rPr>
                      <w:rFonts w:eastAsiaTheme="minorEastAsia"/>
                      <w:color w:val="auto"/>
                    </w:rPr>
                    <w:t>1.761</w:t>
                  </w:r>
                </w:p>
              </w:tc>
              <w:tc>
                <w:tcPr>
                  <w:tcW w:w="1234" w:type="dxa"/>
                  <w:vAlign w:val="center"/>
                </w:tcPr>
                <w:p>
                  <w:pPr>
                    <w:jc w:val="center"/>
                    <w:rPr>
                      <w:rFonts w:eastAsiaTheme="minorEastAsia"/>
                      <w:color w:val="auto"/>
                    </w:rPr>
                  </w:pPr>
                  <w:r>
                    <w:rPr>
                      <w:rFonts w:eastAsiaTheme="minorEastAsia"/>
                      <w:color w:val="auto"/>
                    </w:rPr>
                    <w:t>0.881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1" w:type="dxa"/>
                  <w:vAlign w:val="center"/>
                </w:tcPr>
                <w:p>
                  <w:pPr>
                    <w:jc w:val="center"/>
                    <w:rPr>
                      <w:rFonts w:eastAsiaTheme="minorEastAsia"/>
                      <w:color w:val="auto"/>
                    </w:rPr>
                  </w:pPr>
                  <w:r>
                    <w:rPr>
                      <w:rFonts w:eastAsiaTheme="minorEastAsia"/>
                      <w:color w:val="auto"/>
                    </w:rPr>
                    <w:t>1000.0</w:t>
                  </w:r>
                </w:p>
              </w:tc>
              <w:tc>
                <w:tcPr>
                  <w:tcW w:w="1682" w:type="dxa"/>
                  <w:vAlign w:val="center"/>
                </w:tcPr>
                <w:p>
                  <w:pPr>
                    <w:jc w:val="center"/>
                    <w:rPr>
                      <w:rFonts w:eastAsiaTheme="minorEastAsia"/>
                      <w:color w:val="auto"/>
                    </w:rPr>
                  </w:pPr>
                  <w:r>
                    <w:rPr>
                      <w:rFonts w:eastAsiaTheme="minorEastAsia"/>
                      <w:color w:val="auto"/>
                    </w:rPr>
                    <w:t>0.018</w:t>
                  </w:r>
                </w:p>
              </w:tc>
              <w:tc>
                <w:tcPr>
                  <w:tcW w:w="1534" w:type="dxa"/>
                  <w:vAlign w:val="center"/>
                </w:tcPr>
                <w:p>
                  <w:pPr>
                    <w:jc w:val="center"/>
                    <w:rPr>
                      <w:rFonts w:eastAsiaTheme="minorEastAsia"/>
                      <w:color w:val="auto"/>
                    </w:rPr>
                  </w:pPr>
                  <w:r>
                    <w:rPr>
                      <w:rFonts w:eastAsiaTheme="minorEastAsia"/>
                      <w:color w:val="auto"/>
                    </w:rPr>
                    <w:t>0.184</w:t>
                  </w:r>
                </w:p>
              </w:tc>
              <w:tc>
                <w:tcPr>
                  <w:tcW w:w="1682" w:type="dxa"/>
                  <w:vAlign w:val="center"/>
                </w:tcPr>
                <w:p>
                  <w:pPr>
                    <w:jc w:val="center"/>
                    <w:rPr>
                      <w:rFonts w:eastAsiaTheme="minorEastAsia"/>
                      <w:color w:val="auto"/>
                    </w:rPr>
                  </w:pPr>
                  <w:r>
                    <w:rPr>
                      <w:rFonts w:eastAsiaTheme="minorEastAsia"/>
                      <w:color w:val="auto"/>
                    </w:rPr>
                    <w:t>1.561</w:t>
                  </w:r>
                </w:p>
              </w:tc>
              <w:tc>
                <w:tcPr>
                  <w:tcW w:w="1234" w:type="dxa"/>
                  <w:vAlign w:val="center"/>
                </w:tcPr>
                <w:p>
                  <w:pPr>
                    <w:jc w:val="center"/>
                    <w:rPr>
                      <w:rFonts w:eastAsiaTheme="minorEastAsia"/>
                      <w:color w:val="auto"/>
                    </w:rPr>
                  </w:pPr>
                  <w:r>
                    <w:rPr>
                      <w:rFonts w:eastAsiaTheme="minorEastAsia"/>
                      <w:color w:val="auto"/>
                    </w:rPr>
                    <w:t>0.781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1" w:type="dxa"/>
                  <w:vAlign w:val="center"/>
                </w:tcPr>
                <w:p>
                  <w:pPr>
                    <w:jc w:val="center"/>
                    <w:rPr>
                      <w:rFonts w:eastAsiaTheme="minorEastAsia"/>
                      <w:color w:val="auto"/>
                    </w:rPr>
                  </w:pPr>
                  <w:r>
                    <w:rPr>
                      <w:rFonts w:eastAsiaTheme="minorEastAsia"/>
                      <w:color w:val="auto"/>
                    </w:rPr>
                    <w:t>1200.0</w:t>
                  </w:r>
                </w:p>
              </w:tc>
              <w:tc>
                <w:tcPr>
                  <w:tcW w:w="1682" w:type="dxa"/>
                  <w:vAlign w:val="center"/>
                </w:tcPr>
                <w:p>
                  <w:pPr>
                    <w:jc w:val="center"/>
                    <w:rPr>
                      <w:rFonts w:eastAsiaTheme="minorEastAsia"/>
                      <w:color w:val="auto"/>
                    </w:rPr>
                  </w:pPr>
                  <w:r>
                    <w:rPr>
                      <w:rFonts w:eastAsiaTheme="minorEastAsia"/>
                      <w:color w:val="auto"/>
                    </w:rPr>
                    <w:t>0.015</w:t>
                  </w:r>
                </w:p>
              </w:tc>
              <w:tc>
                <w:tcPr>
                  <w:tcW w:w="1534" w:type="dxa"/>
                  <w:vAlign w:val="center"/>
                </w:tcPr>
                <w:p>
                  <w:pPr>
                    <w:jc w:val="center"/>
                    <w:rPr>
                      <w:rFonts w:eastAsiaTheme="minorEastAsia"/>
                      <w:color w:val="auto"/>
                    </w:rPr>
                  </w:pPr>
                  <w:r>
                    <w:rPr>
                      <w:rFonts w:eastAsiaTheme="minorEastAsia"/>
                      <w:color w:val="auto"/>
                    </w:rPr>
                    <w:t>0.148</w:t>
                  </w:r>
                </w:p>
              </w:tc>
              <w:tc>
                <w:tcPr>
                  <w:tcW w:w="1682" w:type="dxa"/>
                  <w:vAlign w:val="center"/>
                </w:tcPr>
                <w:p>
                  <w:pPr>
                    <w:jc w:val="center"/>
                    <w:rPr>
                      <w:rFonts w:eastAsiaTheme="minorEastAsia"/>
                      <w:color w:val="auto"/>
                    </w:rPr>
                  </w:pPr>
                  <w:r>
                    <w:rPr>
                      <w:rFonts w:eastAsiaTheme="minorEastAsia"/>
                      <w:color w:val="auto"/>
                    </w:rPr>
                    <w:t>1.262</w:t>
                  </w:r>
                </w:p>
              </w:tc>
              <w:tc>
                <w:tcPr>
                  <w:tcW w:w="1234" w:type="dxa"/>
                  <w:vAlign w:val="center"/>
                </w:tcPr>
                <w:p>
                  <w:pPr>
                    <w:jc w:val="center"/>
                    <w:rPr>
                      <w:rFonts w:eastAsiaTheme="minorEastAsia"/>
                      <w:color w:val="auto"/>
                    </w:rPr>
                  </w:pPr>
                  <w:r>
                    <w:rPr>
                      <w:rFonts w:eastAsiaTheme="minorEastAsia"/>
                      <w:color w:val="auto"/>
                    </w:rPr>
                    <w:t>0.631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1" w:type="dxa"/>
                  <w:vAlign w:val="center"/>
                </w:tcPr>
                <w:p>
                  <w:pPr>
                    <w:jc w:val="center"/>
                    <w:rPr>
                      <w:rFonts w:eastAsiaTheme="minorEastAsia"/>
                      <w:color w:val="auto"/>
                    </w:rPr>
                  </w:pPr>
                  <w:r>
                    <w:rPr>
                      <w:rFonts w:eastAsiaTheme="minorEastAsia"/>
                      <w:color w:val="auto"/>
                    </w:rPr>
                    <w:t>1400.0</w:t>
                  </w:r>
                </w:p>
              </w:tc>
              <w:tc>
                <w:tcPr>
                  <w:tcW w:w="1682" w:type="dxa"/>
                  <w:vAlign w:val="center"/>
                </w:tcPr>
                <w:p>
                  <w:pPr>
                    <w:jc w:val="center"/>
                    <w:rPr>
                      <w:rFonts w:eastAsiaTheme="minorEastAsia"/>
                      <w:color w:val="auto"/>
                    </w:rPr>
                  </w:pPr>
                  <w:r>
                    <w:rPr>
                      <w:rFonts w:eastAsiaTheme="minorEastAsia"/>
                      <w:color w:val="auto"/>
                    </w:rPr>
                    <w:t>0.012</w:t>
                  </w:r>
                </w:p>
              </w:tc>
              <w:tc>
                <w:tcPr>
                  <w:tcW w:w="1534" w:type="dxa"/>
                  <w:vAlign w:val="center"/>
                </w:tcPr>
                <w:p>
                  <w:pPr>
                    <w:jc w:val="center"/>
                    <w:rPr>
                      <w:rFonts w:eastAsiaTheme="minorEastAsia"/>
                      <w:color w:val="auto"/>
                    </w:rPr>
                  </w:pPr>
                  <w:r>
                    <w:rPr>
                      <w:rFonts w:eastAsiaTheme="minorEastAsia"/>
                      <w:color w:val="auto"/>
                    </w:rPr>
                    <w:t>0.123</w:t>
                  </w:r>
                </w:p>
              </w:tc>
              <w:tc>
                <w:tcPr>
                  <w:tcW w:w="1682" w:type="dxa"/>
                  <w:vAlign w:val="center"/>
                </w:tcPr>
                <w:p>
                  <w:pPr>
                    <w:jc w:val="center"/>
                    <w:rPr>
                      <w:rFonts w:eastAsiaTheme="minorEastAsia"/>
                      <w:color w:val="auto"/>
                    </w:rPr>
                  </w:pPr>
                  <w:r>
                    <w:rPr>
                      <w:rFonts w:eastAsiaTheme="minorEastAsia"/>
                      <w:color w:val="auto"/>
                    </w:rPr>
                    <w:t>1.049</w:t>
                  </w:r>
                </w:p>
              </w:tc>
              <w:tc>
                <w:tcPr>
                  <w:tcW w:w="1234" w:type="dxa"/>
                  <w:vAlign w:val="center"/>
                </w:tcPr>
                <w:p>
                  <w:pPr>
                    <w:jc w:val="center"/>
                    <w:rPr>
                      <w:rFonts w:eastAsiaTheme="minorEastAsia"/>
                      <w:color w:val="auto"/>
                    </w:rPr>
                  </w:pPr>
                  <w:r>
                    <w:rPr>
                      <w:rFonts w:eastAsiaTheme="minorEastAsia"/>
                      <w:color w:val="auto"/>
                    </w:rPr>
                    <w:t>0.524</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1" w:type="dxa"/>
                  <w:vAlign w:val="center"/>
                </w:tcPr>
                <w:p>
                  <w:pPr>
                    <w:jc w:val="center"/>
                    <w:rPr>
                      <w:rFonts w:eastAsiaTheme="minorEastAsia"/>
                      <w:color w:val="auto"/>
                    </w:rPr>
                  </w:pPr>
                  <w:r>
                    <w:rPr>
                      <w:rFonts w:eastAsiaTheme="minorEastAsia"/>
                      <w:color w:val="auto"/>
                    </w:rPr>
                    <w:t>1600.0</w:t>
                  </w:r>
                </w:p>
              </w:tc>
              <w:tc>
                <w:tcPr>
                  <w:tcW w:w="1682" w:type="dxa"/>
                  <w:vAlign w:val="center"/>
                </w:tcPr>
                <w:p>
                  <w:pPr>
                    <w:jc w:val="center"/>
                    <w:rPr>
                      <w:rFonts w:eastAsiaTheme="minorEastAsia"/>
                      <w:color w:val="auto"/>
                    </w:rPr>
                  </w:pPr>
                  <w:r>
                    <w:rPr>
                      <w:rFonts w:eastAsiaTheme="minorEastAsia"/>
                      <w:color w:val="auto"/>
                    </w:rPr>
                    <w:t>0.01</w:t>
                  </w:r>
                </w:p>
              </w:tc>
              <w:tc>
                <w:tcPr>
                  <w:tcW w:w="1534" w:type="dxa"/>
                  <w:vAlign w:val="center"/>
                </w:tcPr>
                <w:p>
                  <w:pPr>
                    <w:jc w:val="center"/>
                    <w:rPr>
                      <w:rFonts w:eastAsiaTheme="minorEastAsia"/>
                      <w:color w:val="auto"/>
                    </w:rPr>
                  </w:pPr>
                  <w:r>
                    <w:rPr>
                      <w:rFonts w:eastAsiaTheme="minorEastAsia"/>
                      <w:color w:val="auto"/>
                    </w:rPr>
                    <w:t>0.105</w:t>
                  </w:r>
                </w:p>
              </w:tc>
              <w:tc>
                <w:tcPr>
                  <w:tcW w:w="1682" w:type="dxa"/>
                  <w:vAlign w:val="center"/>
                </w:tcPr>
                <w:p>
                  <w:pPr>
                    <w:jc w:val="center"/>
                    <w:rPr>
                      <w:rFonts w:eastAsiaTheme="minorEastAsia"/>
                      <w:color w:val="auto"/>
                    </w:rPr>
                  </w:pPr>
                  <w:r>
                    <w:rPr>
                      <w:rFonts w:eastAsiaTheme="minorEastAsia"/>
                      <w:color w:val="auto"/>
                    </w:rPr>
                    <w:t>0.891</w:t>
                  </w:r>
                </w:p>
              </w:tc>
              <w:tc>
                <w:tcPr>
                  <w:tcW w:w="1234" w:type="dxa"/>
                  <w:vAlign w:val="center"/>
                </w:tcPr>
                <w:p>
                  <w:pPr>
                    <w:jc w:val="center"/>
                    <w:rPr>
                      <w:rFonts w:eastAsiaTheme="minorEastAsia"/>
                      <w:color w:val="auto"/>
                    </w:rPr>
                  </w:pPr>
                  <w:r>
                    <w:rPr>
                      <w:rFonts w:eastAsiaTheme="minorEastAsia"/>
                      <w:color w:val="auto"/>
                    </w:rPr>
                    <w:t>0.445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1" w:type="dxa"/>
                  <w:vAlign w:val="center"/>
                </w:tcPr>
                <w:p>
                  <w:pPr>
                    <w:jc w:val="center"/>
                    <w:rPr>
                      <w:rFonts w:eastAsiaTheme="minorEastAsia"/>
                      <w:color w:val="auto"/>
                    </w:rPr>
                  </w:pPr>
                  <w:r>
                    <w:rPr>
                      <w:rFonts w:eastAsiaTheme="minorEastAsia"/>
                      <w:color w:val="auto"/>
                    </w:rPr>
                    <w:t>1800.0</w:t>
                  </w:r>
                </w:p>
              </w:tc>
              <w:tc>
                <w:tcPr>
                  <w:tcW w:w="1682" w:type="dxa"/>
                  <w:vAlign w:val="center"/>
                </w:tcPr>
                <w:p>
                  <w:pPr>
                    <w:jc w:val="center"/>
                    <w:rPr>
                      <w:rFonts w:eastAsiaTheme="minorEastAsia"/>
                      <w:color w:val="auto"/>
                    </w:rPr>
                  </w:pPr>
                  <w:r>
                    <w:rPr>
                      <w:rFonts w:eastAsiaTheme="minorEastAsia"/>
                      <w:color w:val="auto"/>
                    </w:rPr>
                    <w:t>0.009</w:t>
                  </w:r>
                </w:p>
              </w:tc>
              <w:tc>
                <w:tcPr>
                  <w:tcW w:w="1534" w:type="dxa"/>
                  <w:vAlign w:val="center"/>
                </w:tcPr>
                <w:p>
                  <w:pPr>
                    <w:jc w:val="center"/>
                    <w:rPr>
                      <w:rFonts w:eastAsiaTheme="minorEastAsia"/>
                      <w:color w:val="auto"/>
                    </w:rPr>
                  </w:pPr>
                  <w:r>
                    <w:rPr>
                      <w:rFonts w:eastAsiaTheme="minorEastAsia"/>
                      <w:color w:val="auto"/>
                    </w:rPr>
                    <w:t>0.091</w:t>
                  </w:r>
                </w:p>
              </w:tc>
              <w:tc>
                <w:tcPr>
                  <w:tcW w:w="1682" w:type="dxa"/>
                  <w:vAlign w:val="center"/>
                </w:tcPr>
                <w:p>
                  <w:pPr>
                    <w:jc w:val="center"/>
                    <w:rPr>
                      <w:rFonts w:eastAsiaTheme="minorEastAsia"/>
                      <w:color w:val="auto"/>
                    </w:rPr>
                  </w:pPr>
                  <w:r>
                    <w:rPr>
                      <w:rFonts w:eastAsiaTheme="minorEastAsia"/>
                      <w:color w:val="auto"/>
                    </w:rPr>
                    <w:t>0.77</w:t>
                  </w:r>
                </w:p>
              </w:tc>
              <w:tc>
                <w:tcPr>
                  <w:tcW w:w="1234" w:type="dxa"/>
                  <w:vAlign w:val="center"/>
                </w:tcPr>
                <w:p>
                  <w:pPr>
                    <w:jc w:val="center"/>
                    <w:rPr>
                      <w:rFonts w:eastAsiaTheme="minorEastAsia"/>
                      <w:color w:val="auto"/>
                    </w:rPr>
                  </w:pPr>
                  <w:r>
                    <w:rPr>
                      <w:rFonts w:eastAsiaTheme="minorEastAsia"/>
                      <w:color w:val="auto"/>
                    </w:rPr>
                    <w:t>0.385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1" w:type="dxa"/>
                  <w:vAlign w:val="center"/>
                </w:tcPr>
                <w:p>
                  <w:pPr>
                    <w:jc w:val="center"/>
                    <w:rPr>
                      <w:rFonts w:eastAsiaTheme="minorEastAsia"/>
                      <w:color w:val="auto"/>
                    </w:rPr>
                  </w:pPr>
                  <w:r>
                    <w:rPr>
                      <w:rFonts w:eastAsiaTheme="minorEastAsia"/>
                      <w:color w:val="auto"/>
                    </w:rPr>
                    <w:t>2000.0</w:t>
                  </w:r>
                </w:p>
              </w:tc>
              <w:tc>
                <w:tcPr>
                  <w:tcW w:w="1682" w:type="dxa"/>
                  <w:vAlign w:val="center"/>
                </w:tcPr>
                <w:p>
                  <w:pPr>
                    <w:jc w:val="center"/>
                    <w:rPr>
                      <w:rFonts w:eastAsiaTheme="minorEastAsia"/>
                      <w:color w:val="auto"/>
                    </w:rPr>
                  </w:pPr>
                  <w:r>
                    <w:rPr>
                      <w:rFonts w:eastAsiaTheme="minorEastAsia"/>
                      <w:color w:val="auto"/>
                    </w:rPr>
                    <w:t>0.008</w:t>
                  </w:r>
                </w:p>
              </w:tc>
              <w:tc>
                <w:tcPr>
                  <w:tcW w:w="1534" w:type="dxa"/>
                  <w:vAlign w:val="center"/>
                </w:tcPr>
                <w:p>
                  <w:pPr>
                    <w:jc w:val="center"/>
                    <w:rPr>
                      <w:rFonts w:eastAsiaTheme="minorEastAsia"/>
                      <w:color w:val="auto"/>
                    </w:rPr>
                  </w:pPr>
                  <w:r>
                    <w:rPr>
                      <w:rFonts w:eastAsiaTheme="minorEastAsia"/>
                      <w:color w:val="auto"/>
                    </w:rPr>
                    <w:t>0.079</w:t>
                  </w:r>
                </w:p>
              </w:tc>
              <w:tc>
                <w:tcPr>
                  <w:tcW w:w="1682" w:type="dxa"/>
                  <w:vAlign w:val="center"/>
                </w:tcPr>
                <w:p>
                  <w:pPr>
                    <w:jc w:val="center"/>
                    <w:rPr>
                      <w:rFonts w:eastAsiaTheme="minorEastAsia"/>
                      <w:color w:val="auto"/>
                    </w:rPr>
                  </w:pPr>
                  <w:r>
                    <w:rPr>
                      <w:rFonts w:eastAsiaTheme="minorEastAsia"/>
                      <w:color w:val="auto"/>
                    </w:rPr>
                    <w:t>0.675</w:t>
                  </w:r>
                </w:p>
              </w:tc>
              <w:tc>
                <w:tcPr>
                  <w:tcW w:w="1234" w:type="dxa"/>
                  <w:vAlign w:val="center"/>
                </w:tcPr>
                <w:p>
                  <w:pPr>
                    <w:jc w:val="center"/>
                    <w:rPr>
                      <w:rFonts w:eastAsiaTheme="minorEastAsia"/>
                      <w:color w:val="auto"/>
                    </w:rPr>
                  </w:pPr>
                  <w:r>
                    <w:rPr>
                      <w:rFonts w:eastAsiaTheme="minorEastAsia"/>
                      <w:color w:val="auto"/>
                    </w:rPr>
                    <w:t>0.337</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1" w:type="dxa"/>
                  <w:vAlign w:val="center"/>
                </w:tcPr>
                <w:p>
                  <w:pPr>
                    <w:jc w:val="center"/>
                    <w:rPr>
                      <w:rFonts w:eastAsiaTheme="minorEastAsia"/>
                      <w:color w:val="auto"/>
                    </w:rPr>
                  </w:pPr>
                  <w:r>
                    <w:rPr>
                      <w:rFonts w:eastAsiaTheme="minorEastAsia"/>
                      <w:color w:val="auto"/>
                    </w:rPr>
                    <w:t>2500.0</w:t>
                  </w:r>
                </w:p>
              </w:tc>
              <w:tc>
                <w:tcPr>
                  <w:tcW w:w="1682" w:type="dxa"/>
                  <w:vAlign w:val="center"/>
                </w:tcPr>
                <w:p>
                  <w:pPr>
                    <w:jc w:val="center"/>
                    <w:rPr>
                      <w:rFonts w:eastAsiaTheme="minorEastAsia"/>
                      <w:color w:val="auto"/>
                    </w:rPr>
                  </w:pPr>
                  <w:r>
                    <w:rPr>
                      <w:rFonts w:eastAsiaTheme="minorEastAsia"/>
                      <w:color w:val="auto"/>
                    </w:rPr>
                    <w:t>0.006</w:t>
                  </w:r>
                </w:p>
              </w:tc>
              <w:tc>
                <w:tcPr>
                  <w:tcW w:w="1534" w:type="dxa"/>
                  <w:vAlign w:val="center"/>
                </w:tcPr>
                <w:p>
                  <w:pPr>
                    <w:jc w:val="center"/>
                    <w:rPr>
                      <w:rFonts w:eastAsiaTheme="minorEastAsia"/>
                      <w:color w:val="auto"/>
                    </w:rPr>
                  </w:pPr>
                  <w:r>
                    <w:rPr>
                      <w:rFonts w:eastAsiaTheme="minorEastAsia"/>
                      <w:color w:val="auto"/>
                    </w:rPr>
                    <w:t>0.06</w:t>
                  </w:r>
                </w:p>
              </w:tc>
              <w:tc>
                <w:tcPr>
                  <w:tcW w:w="1682" w:type="dxa"/>
                  <w:vAlign w:val="center"/>
                </w:tcPr>
                <w:p>
                  <w:pPr>
                    <w:jc w:val="center"/>
                    <w:rPr>
                      <w:rFonts w:eastAsiaTheme="minorEastAsia"/>
                      <w:color w:val="auto"/>
                    </w:rPr>
                  </w:pPr>
                  <w:r>
                    <w:rPr>
                      <w:rFonts w:eastAsiaTheme="minorEastAsia"/>
                      <w:color w:val="auto"/>
                    </w:rPr>
                    <w:t>0.508</w:t>
                  </w:r>
                </w:p>
              </w:tc>
              <w:tc>
                <w:tcPr>
                  <w:tcW w:w="1234" w:type="dxa"/>
                  <w:vAlign w:val="center"/>
                </w:tcPr>
                <w:p>
                  <w:pPr>
                    <w:jc w:val="center"/>
                    <w:rPr>
                      <w:rFonts w:eastAsiaTheme="minorEastAsia"/>
                      <w:color w:val="auto"/>
                    </w:rPr>
                  </w:pPr>
                  <w:r>
                    <w:rPr>
                      <w:rFonts w:eastAsiaTheme="minorEastAsia"/>
                      <w:color w:val="auto"/>
                    </w:rPr>
                    <w:t>0.254</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1" w:type="dxa"/>
                  <w:vAlign w:val="center"/>
                </w:tcPr>
                <w:p>
                  <w:pPr>
                    <w:jc w:val="center"/>
                    <w:rPr>
                      <w:rFonts w:eastAsiaTheme="minorEastAsia"/>
                      <w:color w:val="auto"/>
                    </w:rPr>
                  </w:pPr>
                  <w:r>
                    <w:rPr>
                      <w:rFonts w:eastAsiaTheme="minorEastAsia"/>
                      <w:color w:val="auto"/>
                    </w:rPr>
                    <w:t>下风向最大浓度</w:t>
                  </w:r>
                </w:p>
              </w:tc>
              <w:tc>
                <w:tcPr>
                  <w:tcW w:w="1682" w:type="dxa"/>
                  <w:vAlign w:val="center"/>
                </w:tcPr>
                <w:p>
                  <w:pPr>
                    <w:jc w:val="center"/>
                    <w:rPr>
                      <w:rFonts w:eastAsiaTheme="minorEastAsia"/>
                      <w:color w:val="auto"/>
                    </w:rPr>
                  </w:pPr>
                  <w:r>
                    <w:rPr>
                      <w:rFonts w:eastAsiaTheme="minorEastAsia"/>
                      <w:color w:val="auto"/>
                    </w:rPr>
                    <w:t>0.189</w:t>
                  </w:r>
                </w:p>
              </w:tc>
              <w:tc>
                <w:tcPr>
                  <w:tcW w:w="1534" w:type="dxa"/>
                  <w:vAlign w:val="center"/>
                </w:tcPr>
                <w:p>
                  <w:pPr>
                    <w:jc w:val="center"/>
                    <w:rPr>
                      <w:rFonts w:eastAsiaTheme="minorEastAsia"/>
                      <w:color w:val="auto"/>
                    </w:rPr>
                  </w:pPr>
                  <w:r>
                    <w:rPr>
                      <w:rFonts w:eastAsiaTheme="minorEastAsia"/>
                      <w:color w:val="auto"/>
                    </w:rPr>
                    <w:t>1.892</w:t>
                  </w:r>
                </w:p>
              </w:tc>
              <w:tc>
                <w:tcPr>
                  <w:tcW w:w="1682" w:type="dxa"/>
                  <w:vAlign w:val="center"/>
                </w:tcPr>
                <w:p>
                  <w:pPr>
                    <w:jc w:val="center"/>
                    <w:rPr>
                      <w:rFonts w:eastAsiaTheme="minorEastAsia"/>
                      <w:color w:val="auto"/>
                    </w:rPr>
                  </w:pPr>
                  <w:r>
                    <w:rPr>
                      <w:rFonts w:eastAsiaTheme="minorEastAsia"/>
                      <w:color w:val="auto"/>
                    </w:rPr>
                    <w:t>16.087</w:t>
                  </w:r>
                </w:p>
              </w:tc>
              <w:tc>
                <w:tcPr>
                  <w:tcW w:w="1234" w:type="dxa"/>
                  <w:vAlign w:val="center"/>
                </w:tcPr>
                <w:p>
                  <w:pPr>
                    <w:jc w:val="center"/>
                    <w:rPr>
                      <w:rFonts w:eastAsiaTheme="minorEastAsia"/>
                      <w:color w:val="auto"/>
                    </w:rPr>
                  </w:pPr>
                  <w:r>
                    <w:rPr>
                      <w:rFonts w:eastAsiaTheme="minorEastAsia"/>
                      <w:color w:val="auto"/>
                    </w:rPr>
                    <w:t>8.044</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91" w:type="dxa"/>
                  <w:vAlign w:val="center"/>
                </w:tcPr>
                <w:p>
                  <w:pPr>
                    <w:jc w:val="center"/>
                    <w:rPr>
                      <w:rFonts w:eastAsiaTheme="minorEastAsia"/>
                      <w:color w:val="auto"/>
                    </w:rPr>
                  </w:pPr>
                  <w:r>
                    <w:rPr>
                      <w:rFonts w:eastAsiaTheme="minorEastAsia"/>
                      <w:color w:val="auto"/>
                    </w:rPr>
                    <w:t>下风向最大浓度出现距离/m</w:t>
                  </w:r>
                </w:p>
              </w:tc>
              <w:tc>
                <w:tcPr>
                  <w:tcW w:w="1682" w:type="dxa"/>
                  <w:vAlign w:val="center"/>
                </w:tcPr>
                <w:p>
                  <w:pPr>
                    <w:jc w:val="center"/>
                    <w:rPr>
                      <w:rFonts w:eastAsiaTheme="minorEastAsia"/>
                      <w:color w:val="auto"/>
                    </w:rPr>
                  </w:pPr>
                  <w:r>
                    <w:rPr>
                      <w:rFonts w:eastAsiaTheme="minorEastAsia"/>
                      <w:color w:val="auto"/>
                    </w:rPr>
                    <w:t>26.0</w:t>
                  </w:r>
                </w:p>
              </w:tc>
              <w:tc>
                <w:tcPr>
                  <w:tcW w:w="1534" w:type="dxa"/>
                  <w:vAlign w:val="center"/>
                </w:tcPr>
                <w:p>
                  <w:pPr>
                    <w:jc w:val="center"/>
                    <w:rPr>
                      <w:rFonts w:eastAsiaTheme="minorEastAsia"/>
                      <w:color w:val="auto"/>
                    </w:rPr>
                  </w:pPr>
                  <w:r>
                    <w:rPr>
                      <w:rFonts w:eastAsiaTheme="minorEastAsia"/>
                      <w:color w:val="auto"/>
                    </w:rPr>
                    <w:t>26.0</w:t>
                  </w:r>
                </w:p>
              </w:tc>
              <w:tc>
                <w:tcPr>
                  <w:tcW w:w="1682" w:type="dxa"/>
                  <w:vAlign w:val="center"/>
                </w:tcPr>
                <w:p>
                  <w:pPr>
                    <w:jc w:val="center"/>
                    <w:rPr>
                      <w:rFonts w:eastAsiaTheme="minorEastAsia"/>
                      <w:color w:val="auto"/>
                    </w:rPr>
                  </w:pPr>
                  <w:r>
                    <w:rPr>
                      <w:rFonts w:eastAsiaTheme="minorEastAsia"/>
                      <w:color w:val="auto"/>
                    </w:rPr>
                    <w:t>26.0</w:t>
                  </w:r>
                </w:p>
              </w:tc>
              <w:tc>
                <w:tcPr>
                  <w:tcW w:w="1234" w:type="dxa"/>
                  <w:vAlign w:val="center"/>
                </w:tcPr>
                <w:p>
                  <w:pPr>
                    <w:jc w:val="center"/>
                    <w:rPr>
                      <w:rFonts w:eastAsiaTheme="minorEastAsia"/>
                      <w:color w:val="auto"/>
                    </w:rPr>
                  </w:pPr>
                  <w:r>
                    <w:rPr>
                      <w:rFonts w:eastAsiaTheme="minorEastAsia"/>
                      <w:color w:val="auto"/>
                    </w:rPr>
                    <w:t>26.0</w:t>
                  </w:r>
                </w:p>
              </w:tc>
            </w:tr>
          </w:tbl>
          <w:p>
            <w:pPr>
              <w:autoSpaceDE w:val="0"/>
              <w:autoSpaceDN w:val="0"/>
              <w:adjustRightInd w:val="0"/>
              <w:snapToGrid w:val="0"/>
              <w:spacing w:line="360" w:lineRule="auto"/>
              <w:ind w:firstLine="480" w:firstLineChars="200"/>
              <w:jc w:val="left"/>
              <w:rPr>
                <w:rFonts w:eastAsiaTheme="minorEastAsia"/>
                <w:color w:val="auto"/>
                <w:sz w:val="24"/>
              </w:rPr>
            </w:pPr>
            <w:r>
              <w:rPr>
                <w:rFonts w:eastAsiaTheme="minorEastAsia"/>
                <w:color w:val="auto"/>
                <w:sz w:val="24"/>
              </w:rPr>
              <w:t>根据估算模式计算得到项目无组织排放H</w:t>
            </w:r>
            <w:r>
              <w:rPr>
                <w:rFonts w:eastAsiaTheme="minorEastAsia"/>
                <w:color w:val="auto"/>
                <w:sz w:val="24"/>
                <w:vertAlign w:val="subscript"/>
              </w:rPr>
              <w:t>2</w:t>
            </w:r>
            <w:r>
              <w:rPr>
                <w:rFonts w:eastAsiaTheme="minorEastAsia"/>
                <w:color w:val="auto"/>
                <w:sz w:val="24"/>
              </w:rPr>
              <w:t>S对各厂界地面浓度的贡献值范围为0.006~0.189ug</w:t>
            </w:r>
            <w:r>
              <w:rPr>
                <w:rFonts w:eastAsiaTheme="minorEastAsia"/>
                <w:color w:val="auto"/>
                <w:kern w:val="0"/>
                <w:sz w:val="24"/>
              </w:rPr>
              <w:t>/m</w:t>
            </w:r>
            <w:r>
              <w:rPr>
                <w:rFonts w:eastAsiaTheme="minorEastAsia"/>
                <w:color w:val="auto"/>
                <w:kern w:val="0"/>
                <w:sz w:val="24"/>
                <w:vertAlign w:val="superscript"/>
              </w:rPr>
              <w:t>3</w:t>
            </w:r>
            <w:r>
              <w:rPr>
                <w:rFonts w:eastAsiaTheme="minorEastAsia"/>
                <w:color w:val="auto"/>
                <w:sz w:val="24"/>
              </w:rPr>
              <w:t>，下风向最大落地浓度和占标率分别为0.189 ug</w:t>
            </w:r>
            <w:r>
              <w:rPr>
                <w:rFonts w:eastAsiaTheme="minorEastAsia"/>
                <w:color w:val="auto"/>
                <w:kern w:val="0"/>
                <w:sz w:val="24"/>
              </w:rPr>
              <w:t>/m</w:t>
            </w:r>
            <w:r>
              <w:rPr>
                <w:rFonts w:eastAsiaTheme="minorEastAsia"/>
                <w:color w:val="auto"/>
                <w:kern w:val="0"/>
                <w:sz w:val="24"/>
                <w:vertAlign w:val="superscript"/>
              </w:rPr>
              <w:t>3</w:t>
            </w:r>
            <w:r>
              <w:rPr>
                <w:rFonts w:eastAsiaTheme="minorEastAsia"/>
                <w:color w:val="auto"/>
                <w:sz w:val="24"/>
              </w:rPr>
              <w:t>，1.892%，厂界浓度均低于《环境影响评价技术导则-大气环境》HJ2.2-2018附录D中无组织排放监控浓度限值10μg/m</w:t>
            </w:r>
            <w:r>
              <w:rPr>
                <w:rFonts w:eastAsiaTheme="minorEastAsia"/>
                <w:color w:val="auto"/>
                <w:sz w:val="24"/>
                <w:vertAlign w:val="superscript"/>
              </w:rPr>
              <w:t>3</w:t>
            </w:r>
            <w:r>
              <w:rPr>
                <w:rFonts w:eastAsiaTheme="minorEastAsia"/>
                <w:color w:val="auto"/>
                <w:sz w:val="24"/>
              </w:rPr>
              <w:t>的要求；NH</w:t>
            </w:r>
            <w:r>
              <w:rPr>
                <w:rFonts w:eastAsiaTheme="minorEastAsia"/>
                <w:color w:val="auto"/>
                <w:sz w:val="24"/>
                <w:vertAlign w:val="subscript"/>
              </w:rPr>
              <w:t>3</w:t>
            </w:r>
            <w:r>
              <w:rPr>
                <w:rFonts w:eastAsiaTheme="minorEastAsia"/>
                <w:color w:val="auto"/>
                <w:sz w:val="24"/>
              </w:rPr>
              <w:t>对各厂界地面浓度的贡献值范围为0.508~16.087ug</w:t>
            </w:r>
            <w:r>
              <w:rPr>
                <w:rFonts w:eastAsiaTheme="minorEastAsia"/>
                <w:color w:val="auto"/>
                <w:kern w:val="0"/>
                <w:sz w:val="24"/>
              </w:rPr>
              <w:t>/m</w:t>
            </w:r>
            <w:r>
              <w:rPr>
                <w:rFonts w:eastAsiaTheme="minorEastAsia"/>
                <w:color w:val="auto"/>
                <w:kern w:val="0"/>
                <w:sz w:val="24"/>
                <w:vertAlign w:val="superscript"/>
              </w:rPr>
              <w:t>3</w:t>
            </w:r>
            <w:r>
              <w:rPr>
                <w:rFonts w:eastAsiaTheme="minorEastAsia"/>
                <w:color w:val="auto"/>
                <w:sz w:val="24"/>
              </w:rPr>
              <w:t>，下风向最大落地浓度和占标率分别为16.087 ug</w:t>
            </w:r>
            <w:r>
              <w:rPr>
                <w:rFonts w:eastAsiaTheme="minorEastAsia"/>
                <w:color w:val="auto"/>
                <w:kern w:val="0"/>
                <w:sz w:val="24"/>
              </w:rPr>
              <w:t>/m</w:t>
            </w:r>
            <w:r>
              <w:rPr>
                <w:rFonts w:eastAsiaTheme="minorEastAsia"/>
                <w:color w:val="auto"/>
                <w:kern w:val="0"/>
                <w:sz w:val="24"/>
                <w:vertAlign w:val="superscript"/>
              </w:rPr>
              <w:t>3</w:t>
            </w:r>
            <w:r>
              <w:rPr>
                <w:rFonts w:eastAsiaTheme="minorEastAsia"/>
                <w:color w:val="auto"/>
                <w:sz w:val="24"/>
              </w:rPr>
              <w:t>，8.044%，厂界浓度均低于《环境影响评价技术导则-大气环境》HJ2.2-2018 附录D中无组织排放监控浓度限值200μg/m</w:t>
            </w:r>
            <w:r>
              <w:rPr>
                <w:rFonts w:eastAsiaTheme="minorEastAsia"/>
                <w:color w:val="auto"/>
                <w:sz w:val="24"/>
                <w:vertAlign w:val="superscript"/>
              </w:rPr>
              <w:t>3</w:t>
            </w:r>
            <w:r>
              <w:rPr>
                <w:rFonts w:eastAsiaTheme="minorEastAsia"/>
                <w:color w:val="auto"/>
                <w:sz w:val="24"/>
              </w:rPr>
              <w:t>的要求；对周围环境影响较小。</w:t>
            </w:r>
          </w:p>
          <w:p>
            <w:pPr>
              <w:pStyle w:val="168"/>
              <w:adjustRightInd w:val="0"/>
              <w:snapToGrid w:val="0"/>
              <w:spacing w:line="360" w:lineRule="auto"/>
              <w:ind w:firstLine="0" w:firstLineChars="0"/>
              <w:rPr>
                <w:rFonts w:eastAsiaTheme="minorEastAsia"/>
                <w:color w:val="auto"/>
                <w:sz w:val="24"/>
              </w:rPr>
            </w:pPr>
            <w:r>
              <w:rPr>
                <w:rFonts w:eastAsiaTheme="minorEastAsia"/>
                <w:color w:val="auto"/>
                <w:sz w:val="24"/>
              </w:rPr>
              <w:t>大气防护距离</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按照《环境影响评价技术导则-大气环境》（HJ2.2-2008）规定，大气环境防护距离预测评价标准采用《工业企业设计卫生标准》（TJ36-79）中居民区大气有害物标准限值（NH</w:t>
            </w:r>
            <w:r>
              <w:rPr>
                <w:rFonts w:eastAsiaTheme="minorEastAsia"/>
                <w:color w:val="auto"/>
                <w:sz w:val="24"/>
                <w:vertAlign w:val="subscript"/>
              </w:rPr>
              <w:t>3</w:t>
            </w:r>
            <w:r>
              <w:rPr>
                <w:rFonts w:eastAsiaTheme="minorEastAsia"/>
                <w:color w:val="auto"/>
                <w:sz w:val="24"/>
              </w:rPr>
              <w:t xml:space="preserve"> 0.20mg/m</w:t>
            </w:r>
            <w:r>
              <w:rPr>
                <w:rFonts w:eastAsiaTheme="minorEastAsia"/>
                <w:color w:val="auto"/>
                <w:sz w:val="24"/>
                <w:vertAlign w:val="superscript"/>
              </w:rPr>
              <w:t>3</w:t>
            </w:r>
            <w:r>
              <w:rPr>
                <w:rFonts w:eastAsiaTheme="minorEastAsia"/>
                <w:color w:val="auto"/>
                <w:sz w:val="24"/>
              </w:rPr>
              <w:t>，H</w:t>
            </w:r>
            <w:r>
              <w:rPr>
                <w:rFonts w:eastAsiaTheme="minorEastAsia"/>
                <w:color w:val="auto"/>
                <w:sz w:val="24"/>
                <w:vertAlign w:val="subscript"/>
              </w:rPr>
              <w:t>2</w:t>
            </w:r>
            <w:r>
              <w:rPr>
                <w:rFonts w:eastAsiaTheme="minorEastAsia"/>
                <w:color w:val="auto"/>
                <w:sz w:val="24"/>
              </w:rPr>
              <w:t>S0.01mg/m</w:t>
            </w:r>
            <w:r>
              <w:rPr>
                <w:rFonts w:eastAsiaTheme="minorEastAsia"/>
                <w:color w:val="auto"/>
                <w:sz w:val="24"/>
                <w:vertAlign w:val="superscript"/>
              </w:rPr>
              <w:t>3</w:t>
            </w:r>
            <w:r>
              <w:rPr>
                <w:rFonts w:eastAsiaTheme="minorEastAsia"/>
                <w:color w:val="auto"/>
                <w:sz w:val="24"/>
              </w:rPr>
              <w:t>）；并将污水处理厂无组织恶臭气体排放源（恶臭气体收集效率按90%计，无组织源按10%计）合并作为等效面源（以此给出等效面源直径），且按污水处理厂处理最大规模进行计算。项目计算结果见表62。</w:t>
            </w:r>
          </w:p>
          <w:p>
            <w:pPr>
              <w:adjustRightInd w:val="0"/>
              <w:snapToGrid w:val="0"/>
              <w:spacing w:line="360" w:lineRule="auto"/>
              <w:ind w:firstLine="482" w:firstLineChars="200"/>
              <w:jc w:val="center"/>
              <w:rPr>
                <w:rFonts w:eastAsiaTheme="minorEastAsia"/>
                <w:b/>
                <w:color w:val="auto"/>
                <w:sz w:val="24"/>
              </w:rPr>
            </w:pPr>
            <w:r>
              <w:rPr>
                <w:rFonts w:eastAsiaTheme="minorEastAsia"/>
                <w:b/>
                <w:color w:val="auto"/>
                <w:sz w:val="24"/>
              </w:rPr>
              <w:t>表62大气环境防护距离计算参数及结果表</w:t>
            </w:r>
          </w:p>
          <w:tbl>
            <w:tblPr>
              <w:tblStyle w:val="38"/>
              <w:tblW w:w="8815"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05"/>
              <w:gridCol w:w="1473"/>
              <w:gridCol w:w="1192"/>
              <w:gridCol w:w="1110"/>
              <w:gridCol w:w="1113"/>
              <w:gridCol w:w="1353"/>
              <w:gridCol w:w="1569"/>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05" w:type="dxa"/>
                  <w:vAlign w:val="center"/>
                </w:tcPr>
                <w:p>
                  <w:pPr>
                    <w:snapToGrid w:val="0"/>
                    <w:spacing w:line="240" w:lineRule="atLeast"/>
                    <w:jc w:val="center"/>
                    <w:rPr>
                      <w:rFonts w:eastAsiaTheme="minorEastAsia"/>
                      <w:color w:val="auto"/>
                      <w:szCs w:val="21"/>
                    </w:rPr>
                  </w:pPr>
                  <w:r>
                    <w:rPr>
                      <w:rFonts w:eastAsiaTheme="minorEastAsia"/>
                      <w:color w:val="auto"/>
                      <w:szCs w:val="21"/>
                    </w:rPr>
                    <w:t>污染物</w:t>
                  </w:r>
                </w:p>
              </w:tc>
              <w:tc>
                <w:tcPr>
                  <w:tcW w:w="1473" w:type="dxa"/>
                  <w:tcBorders>
                    <w:bottom w:val="single" w:color="auto" w:sz="4" w:space="0"/>
                  </w:tcBorders>
                  <w:vAlign w:val="center"/>
                </w:tcPr>
                <w:p>
                  <w:pPr>
                    <w:snapToGrid w:val="0"/>
                    <w:spacing w:line="240" w:lineRule="atLeast"/>
                    <w:jc w:val="center"/>
                    <w:rPr>
                      <w:rFonts w:eastAsiaTheme="minorEastAsia"/>
                      <w:color w:val="auto"/>
                      <w:szCs w:val="21"/>
                    </w:rPr>
                  </w:pPr>
                  <w:r>
                    <w:rPr>
                      <w:rFonts w:eastAsiaTheme="minorEastAsia"/>
                      <w:color w:val="auto"/>
                      <w:szCs w:val="21"/>
                    </w:rPr>
                    <w:t>排放速率(</w:t>
                  </w:r>
                  <w:r>
                    <w:rPr>
                      <w:rFonts w:eastAsiaTheme="minorEastAsia"/>
                      <w:color w:val="auto"/>
                    </w:rPr>
                    <w:t>kg/h</w:t>
                  </w:r>
                  <w:r>
                    <w:rPr>
                      <w:rFonts w:eastAsiaTheme="minorEastAsia"/>
                      <w:color w:val="auto"/>
                      <w:szCs w:val="21"/>
                    </w:rPr>
                    <w:t>)</w:t>
                  </w:r>
                </w:p>
              </w:tc>
              <w:tc>
                <w:tcPr>
                  <w:tcW w:w="1192" w:type="dxa"/>
                  <w:tcBorders>
                    <w:bottom w:val="single" w:color="auto" w:sz="4" w:space="0"/>
                  </w:tcBorders>
                  <w:vAlign w:val="center"/>
                </w:tcPr>
                <w:p>
                  <w:pPr>
                    <w:snapToGrid w:val="0"/>
                    <w:spacing w:line="240" w:lineRule="atLeast"/>
                    <w:jc w:val="center"/>
                    <w:rPr>
                      <w:rFonts w:eastAsiaTheme="minorEastAsia"/>
                      <w:color w:val="auto"/>
                      <w:szCs w:val="21"/>
                    </w:rPr>
                  </w:pPr>
                  <w:r>
                    <w:rPr>
                      <w:rFonts w:eastAsiaTheme="minorEastAsia"/>
                      <w:color w:val="auto"/>
                      <w:szCs w:val="21"/>
                    </w:rPr>
                    <w:t>面源高度</w:t>
                  </w:r>
                </w:p>
                <w:p>
                  <w:pPr>
                    <w:snapToGrid w:val="0"/>
                    <w:spacing w:line="240" w:lineRule="atLeast"/>
                    <w:jc w:val="center"/>
                    <w:rPr>
                      <w:rFonts w:eastAsiaTheme="minorEastAsia"/>
                      <w:color w:val="auto"/>
                      <w:szCs w:val="21"/>
                    </w:rPr>
                  </w:pPr>
                  <w:r>
                    <w:rPr>
                      <w:rFonts w:eastAsiaTheme="minorEastAsia"/>
                      <w:color w:val="auto"/>
                      <w:szCs w:val="21"/>
                    </w:rPr>
                    <w:t>（m）</w:t>
                  </w:r>
                </w:p>
              </w:tc>
              <w:tc>
                <w:tcPr>
                  <w:tcW w:w="1110" w:type="dxa"/>
                  <w:tcBorders>
                    <w:bottom w:val="single" w:color="auto" w:sz="4" w:space="0"/>
                    <w:right w:val="single" w:color="auto" w:sz="4" w:space="0"/>
                  </w:tcBorders>
                  <w:vAlign w:val="center"/>
                </w:tcPr>
                <w:p>
                  <w:pPr>
                    <w:snapToGrid w:val="0"/>
                    <w:spacing w:line="240" w:lineRule="atLeast"/>
                    <w:jc w:val="center"/>
                    <w:rPr>
                      <w:rFonts w:eastAsiaTheme="minorEastAsia"/>
                      <w:color w:val="auto"/>
                      <w:szCs w:val="21"/>
                    </w:rPr>
                  </w:pPr>
                  <w:r>
                    <w:rPr>
                      <w:rFonts w:eastAsiaTheme="minorEastAsia"/>
                      <w:color w:val="auto"/>
                      <w:szCs w:val="21"/>
                    </w:rPr>
                    <w:t>面源长度（m）</w:t>
                  </w:r>
                </w:p>
              </w:tc>
              <w:tc>
                <w:tcPr>
                  <w:tcW w:w="1113" w:type="dxa"/>
                  <w:tcBorders>
                    <w:left w:val="single" w:color="auto" w:sz="4" w:space="0"/>
                    <w:bottom w:val="single" w:color="auto" w:sz="4" w:space="0"/>
                  </w:tcBorders>
                  <w:vAlign w:val="center"/>
                </w:tcPr>
                <w:p>
                  <w:pPr>
                    <w:snapToGrid w:val="0"/>
                    <w:spacing w:line="240" w:lineRule="atLeast"/>
                    <w:jc w:val="center"/>
                    <w:rPr>
                      <w:rFonts w:eastAsiaTheme="minorEastAsia"/>
                      <w:color w:val="auto"/>
                      <w:szCs w:val="21"/>
                    </w:rPr>
                  </w:pPr>
                  <w:r>
                    <w:rPr>
                      <w:rFonts w:eastAsiaTheme="minorEastAsia"/>
                      <w:color w:val="auto"/>
                      <w:szCs w:val="21"/>
                    </w:rPr>
                    <w:t>面源宽度（m）</w:t>
                  </w:r>
                </w:p>
              </w:tc>
              <w:tc>
                <w:tcPr>
                  <w:tcW w:w="1353" w:type="dxa"/>
                  <w:vAlign w:val="center"/>
                </w:tcPr>
                <w:p>
                  <w:pPr>
                    <w:snapToGrid w:val="0"/>
                    <w:spacing w:line="240" w:lineRule="atLeast"/>
                    <w:jc w:val="center"/>
                    <w:rPr>
                      <w:rFonts w:eastAsiaTheme="minorEastAsia"/>
                      <w:color w:val="auto"/>
                      <w:szCs w:val="21"/>
                    </w:rPr>
                  </w:pPr>
                  <w:r>
                    <w:rPr>
                      <w:rFonts w:eastAsiaTheme="minorEastAsia"/>
                      <w:color w:val="auto"/>
                      <w:szCs w:val="21"/>
                    </w:rPr>
                    <w:t>评价标准(mg/m</w:t>
                  </w:r>
                  <w:r>
                    <w:rPr>
                      <w:rFonts w:eastAsiaTheme="minorEastAsia"/>
                      <w:color w:val="auto"/>
                      <w:szCs w:val="21"/>
                      <w:vertAlign w:val="superscript"/>
                    </w:rPr>
                    <w:t>3</w:t>
                  </w:r>
                  <w:r>
                    <w:rPr>
                      <w:rFonts w:eastAsiaTheme="minorEastAsia"/>
                      <w:color w:val="auto"/>
                      <w:szCs w:val="21"/>
                    </w:rPr>
                    <w:t>)</w:t>
                  </w:r>
                </w:p>
              </w:tc>
              <w:tc>
                <w:tcPr>
                  <w:tcW w:w="1569" w:type="dxa"/>
                  <w:vAlign w:val="center"/>
                </w:tcPr>
                <w:p>
                  <w:pPr>
                    <w:snapToGrid w:val="0"/>
                    <w:spacing w:line="240" w:lineRule="atLeast"/>
                    <w:jc w:val="center"/>
                    <w:rPr>
                      <w:rFonts w:eastAsiaTheme="minorEastAsia"/>
                      <w:color w:val="auto"/>
                      <w:szCs w:val="21"/>
                    </w:rPr>
                  </w:pPr>
                  <w:r>
                    <w:rPr>
                      <w:rFonts w:eastAsiaTheme="minorEastAsia"/>
                      <w:color w:val="auto"/>
                      <w:szCs w:val="21"/>
                    </w:rPr>
                    <w:t>大气防护距离（m）</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0" w:hRule="atLeast"/>
                <w:jc w:val="center"/>
              </w:trPr>
              <w:tc>
                <w:tcPr>
                  <w:tcW w:w="1005" w:type="dxa"/>
                  <w:vAlign w:val="center"/>
                </w:tcPr>
                <w:p>
                  <w:pPr>
                    <w:spacing w:line="240" w:lineRule="atLeast"/>
                    <w:jc w:val="center"/>
                    <w:rPr>
                      <w:rFonts w:eastAsiaTheme="minorEastAsia"/>
                      <w:color w:val="auto"/>
                      <w:szCs w:val="21"/>
                    </w:rPr>
                  </w:pPr>
                  <w:r>
                    <w:rPr>
                      <w:rFonts w:eastAsiaTheme="minorEastAsia"/>
                      <w:color w:val="auto"/>
                      <w:szCs w:val="21"/>
                    </w:rPr>
                    <w:t>NH</w:t>
                  </w:r>
                  <w:r>
                    <w:rPr>
                      <w:rFonts w:eastAsiaTheme="minorEastAsia"/>
                      <w:color w:val="auto"/>
                      <w:szCs w:val="21"/>
                      <w:vertAlign w:val="subscript"/>
                    </w:rPr>
                    <w:t>3</w:t>
                  </w:r>
                </w:p>
              </w:tc>
              <w:tc>
                <w:tcPr>
                  <w:tcW w:w="1473" w:type="dxa"/>
                  <w:vAlign w:val="center"/>
                </w:tcPr>
                <w:p>
                  <w:pPr>
                    <w:adjustRightInd w:val="0"/>
                    <w:snapToGrid w:val="0"/>
                    <w:jc w:val="center"/>
                    <w:rPr>
                      <w:rFonts w:eastAsiaTheme="minorEastAsia"/>
                      <w:color w:val="auto"/>
                      <w:szCs w:val="21"/>
                    </w:rPr>
                  </w:pPr>
                  <w:r>
                    <w:rPr>
                      <w:rFonts w:eastAsiaTheme="minorEastAsia"/>
                      <w:color w:val="auto"/>
                      <w:szCs w:val="21"/>
                    </w:rPr>
                    <w:t>0.00739</w:t>
                  </w:r>
                </w:p>
              </w:tc>
              <w:tc>
                <w:tcPr>
                  <w:tcW w:w="1192" w:type="dxa"/>
                  <w:tcBorders>
                    <w:bottom w:val="single" w:color="auto" w:sz="4" w:space="0"/>
                  </w:tcBorders>
                  <w:vAlign w:val="center"/>
                </w:tcPr>
                <w:p>
                  <w:pPr>
                    <w:spacing w:line="240" w:lineRule="atLeast"/>
                    <w:jc w:val="center"/>
                    <w:rPr>
                      <w:rFonts w:eastAsiaTheme="minorEastAsia"/>
                      <w:color w:val="auto"/>
                      <w:szCs w:val="21"/>
                    </w:rPr>
                  </w:pPr>
                  <w:r>
                    <w:rPr>
                      <w:rFonts w:eastAsiaTheme="minorEastAsia"/>
                      <w:color w:val="auto"/>
                      <w:szCs w:val="21"/>
                    </w:rPr>
                    <w:t>1</w:t>
                  </w:r>
                </w:p>
              </w:tc>
              <w:tc>
                <w:tcPr>
                  <w:tcW w:w="1110" w:type="dxa"/>
                  <w:tcBorders>
                    <w:bottom w:val="single" w:color="auto" w:sz="4" w:space="0"/>
                    <w:right w:val="single" w:color="auto" w:sz="4" w:space="0"/>
                  </w:tcBorders>
                  <w:vAlign w:val="center"/>
                </w:tcPr>
                <w:p>
                  <w:pPr>
                    <w:spacing w:line="240" w:lineRule="atLeast"/>
                    <w:jc w:val="center"/>
                    <w:rPr>
                      <w:rFonts w:eastAsiaTheme="minorEastAsia"/>
                      <w:color w:val="auto"/>
                      <w:szCs w:val="21"/>
                    </w:rPr>
                  </w:pPr>
                  <w:r>
                    <w:rPr>
                      <w:rFonts w:eastAsiaTheme="minorEastAsia"/>
                      <w:color w:val="auto"/>
                      <w:szCs w:val="21"/>
                    </w:rPr>
                    <w:t>50</w:t>
                  </w:r>
                </w:p>
              </w:tc>
              <w:tc>
                <w:tcPr>
                  <w:tcW w:w="1113" w:type="dxa"/>
                  <w:tcBorders>
                    <w:left w:val="single" w:color="auto" w:sz="4" w:space="0"/>
                    <w:bottom w:val="single" w:color="auto" w:sz="4" w:space="0"/>
                  </w:tcBorders>
                  <w:vAlign w:val="center"/>
                </w:tcPr>
                <w:p>
                  <w:pPr>
                    <w:spacing w:line="240" w:lineRule="atLeast"/>
                    <w:jc w:val="center"/>
                    <w:rPr>
                      <w:rFonts w:eastAsiaTheme="minorEastAsia"/>
                      <w:color w:val="auto"/>
                      <w:szCs w:val="21"/>
                    </w:rPr>
                  </w:pPr>
                  <w:r>
                    <w:rPr>
                      <w:rFonts w:eastAsiaTheme="minorEastAsia"/>
                      <w:color w:val="auto"/>
                      <w:szCs w:val="21"/>
                    </w:rPr>
                    <w:t>20</w:t>
                  </w:r>
                </w:p>
              </w:tc>
              <w:tc>
                <w:tcPr>
                  <w:tcW w:w="1353" w:type="dxa"/>
                  <w:vAlign w:val="center"/>
                </w:tcPr>
                <w:p>
                  <w:pPr>
                    <w:spacing w:line="240" w:lineRule="atLeast"/>
                    <w:jc w:val="center"/>
                    <w:rPr>
                      <w:rFonts w:eastAsiaTheme="minorEastAsia"/>
                      <w:color w:val="auto"/>
                      <w:szCs w:val="21"/>
                    </w:rPr>
                  </w:pPr>
                  <w:r>
                    <w:rPr>
                      <w:rFonts w:eastAsiaTheme="minorEastAsia"/>
                      <w:color w:val="auto"/>
                      <w:szCs w:val="21"/>
                    </w:rPr>
                    <w:t>0.2</w:t>
                  </w:r>
                </w:p>
              </w:tc>
              <w:tc>
                <w:tcPr>
                  <w:tcW w:w="1569" w:type="dxa"/>
                  <w:vAlign w:val="center"/>
                </w:tcPr>
                <w:p>
                  <w:pPr>
                    <w:spacing w:line="240" w:lineRule="atLeast"/>
                    <w:jc w:val="center"/>
                    <w:rPr>
                      <w:rFonts w:eastAsiaTheme="minorEastAsia"/>
                      <w:color w:val="auto"/>
                      <w:szCs w:val="21"/>
                    </w:rPr>
                  </w:pPr>
                  <w:r>
                    <w:rPr>
                      <w:rFonts w:eastAsiaTheme="minorEastAsia"/>
                      <w:color w:val="auto"/>
                      <w:szCs w:val="21"/>
                    </w:rPr>
                    <w:t>无超标点</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1005" w:type="dxa"/>
                  <w:vAlign w:val="center"/>
                </w:tcPr>
                <w:p>
                  <w:pPr>
                    <w:spacing w:line="240" w:lineRule="atLeast"/>
                    <w:jc w:val="center"/>
                    <w:rPr>
                      <w:rFonts w:eastAsiaTheme="minorEastAsia"/>
                      <w:color w:val="auto"/>
                      <w:szCs w:val="21"/>
                    </w:rPr>
                  </w:pPr>
                  <w:r>
                    <w:rPr>
                      <w:rFonts w:eastAsiaTheme="minorEastAsia"/>
                      <w:color w:val="auto"/>
                      <w:szCs w:val="21"/>
                    </w:rPr>
                    <w:t>H</w:t>
                  </w:r>
                  <w:r>
                    <w:rPr>
                      <w:rFonts w:eastAsiaTheme="minorEastAsia"/>
                      <w:color w:val="auto"/>
                      <w:szCs w:val="21"/>
                      <w:vertAlign w:val="subscript"/>
                    </w:rPr>
                    <w:t>2</w:t>
                  </w:r>
                  <w:r>
                    <w:rPr>
                      <w:rFonts w:eastAsiaTheme="minorEastAsia"/>
                      <w:color w:val="auto"/>
                      <w:szCs w:val="21"/>
                    </w:rPr>
                    <w:t>S</w:t>
                  </w:r>
                </w:p>
              </w:tc>
              <w:tc>
                <w:tcPr>
                  <w:tcW w:w="1473" w:type="dxa"/>
                  <w:vAlign w:val="center"/>
                </w:tcPr>
                <w:p>
                  <w:pPr>
                    <w:adjustRightInd w:val="0"/>
                    <w:snapToGrid w:val="0"/>
                    <w:jc w:val="center"/>
                    <w:rPr>
                      <w:rFonts w:eastAsiaTheme="minorEastAsia"/>
                      <w:color w:val="auto"/>
                      <w:szCs w:val="21"/>
                    </w:rPr>
                  </w:pPr>
                  <w:r>
                    <w:rPr>
                      <w:rFonts w:eastAsiaTheme="minorEastAsia"/>
                      <w:color w:val="auto"/>
                      <w:szCs w:val="21"/>
                    </w:rPr>
                    <w:t>0.869×10</w:t>
                  </w:r>
                  <w:r>
                    <w:rPr>
                      <w:rFonts w:eastAsiaTheme="minorEastAsia"/>
                      <w:color w:val="auto"/>
                      <w:szCs w:val="21"/>
                      <w:vertAlign w:val="superscript"/>
                    </w:rPr>
                    <w:t>-4</w:t>
                  </w:r>
                </w:p>
              </w:tc>
              <w:tc>
                <w:tcPr>
                  <w:tcW w:w="1192" w:type="dxa"/>
                  <w:tcBorders>
                    <w:top w:val="single" w:color="auto" w:sz="4" w:space="0"/>
                  </w:tcBorders>
                  <w:vAlign w:val="center"/>
                </w:tcPr>
                <w:p>
                  <w:pPr>
                    <w:spacing w:line="240" w:lineRule="atLeast"/>
                    <w:jc w:val="center"/>
                    <w:rPr>
                      <w:rFonts w:eastAsiaTheme="minorEastAsia"/>
                      <w:color w:val="auto"/>
                      <w:szCs w:val="21"/>
                    </w:rPr>
                  </w:pPr>
                  <w:r>
                    <w:rPr>
                      <w:rFonts w:eastAsiaTheme="minorEastAsia"/>
                      <w:color w:val="auto"/>
                      <w:szCs w:val="21"/>
                    </w:rPr>
                    <w:t>1</w:t>
                  </w:r>
                </w:p>
              </w:tc>
              <w:tc>
                <w:tcPr>
                  <w:tcW w:w="1110" w:type="dxa"/>
                  <w:tcBorders>
                    <w:top w:val="single" w:color="auto" w:sz="4" w:space="0"/>
                    <w:right w:val="single" w:color="auto" w:sz="4" w:space="0"/>
                  </w:tcBorders>
                  <w:vAlign w:val="center"/>
                </w:tcPr>
                <w:p>
                  <w:pPr>
                    <w:spacing w:line="240" w:lineRule="atLeast"/>
                    <w:jc w:val="center"/>
                    <w:rPr>
                      <w:rFonts w:eastAsiaTheme="minorEastAsia"/>
                      <w:color w:val="auto"/>
                      <w:szCs w:val="21"/>
                    </w:rPr>
                  </w:pPr>
                  <w:r>
                    <w:rPr>
                      <w:rFonts w:eastAsiaTheme="minorEastAsia"/>
                      <w:color w:val="auto"/>
                      <w:szCs w:val="21"/>
                    </w:rPr>
                    <w:t>50</w:t>
                  </w:r>
                </w:p>
              </w:tc>
              <w:tc>
                <w:tcPr>
                  <w:tcW w:w="1113" w:type="dxa"/>
                  <w:tcBorders>
                    <w:top w:val="single" w:color="auto" w:sz="4" w:space="0"/>
                    <w:left w:val="single" w:color="auto" w:sz="4" w:space="0"/>
                  </w:tcBorders>
                  <w:vAlign w:val="center"/>
                </w:tcPr>
                <w:p>
                  <w:pPr>
                    <w:spacing w:line="240" w:lineRule="atLeast"/>
                    <w:jc w:val="center"/>
                    <w:rPr>
                      <w:rFonts w:eastAsiaTheme="minorEastAsia"/>
                      <w:color w:val="auto"/>
                      <w:szCs w:val="21"/>
                    </w:rPr>
                  </w:pPr>
                  <w:r>
                    <w:rPr>
                      <w:rFonts w:eastAsiaTheme="minorEastAsia"/>
                      <w:color w:val="auto"/>
                      <w:szCs w:val="21"/>
                    </w:rPr>
                    <w:t>20</w:t>
                  </w:r>
                </w:p>
              </w:tc>
              <w:tc>
                <w:tcPr>
                  <w:tcW w:w="1353" w:type="dxa"/>
                  <w:vAlign w:val="center"/>
                </w:tcPr>
                <w:p>
                  <w:pPr>
                    <w:spacing w:line="240" w:lineRule="atLeast"/>
                    <w:jc w:val="center"/>
                    <w:rPr>
                      <w:rFonts w:eastAsiaTheme="minorEastAsia"/>
                      <w:color w:val="auto"/>
                      <w:szCs w:val="21"/>
                    </w:rPr>
                  </w:pPr>
                  <w:r>
                    <w:rPr>
                      <w:rFonts w:eastAsiaTheme="minorEastAsia"/>
                      <w:color w:val="auto"/>
                      <w:szCs w:val="21"/>
                    </w:rPr>
                    <w:t>0.01</w:t>
                  </w:r>
                </w:p>
              </w:tc>
              <w:tc>
                <w:tcPr>
                  <w:tcW w:w="1569" w:type="dxa"/>
                  <w:vAlign w:val="center"/>
                </w:tcPr>
                <w:p>
                  <w:pPr>
                    <w:spacing w:line="240" w:lineRule="atLeast"/>
                    <w:jc w:val="center"/>
                    <w:rPr>
                      <w:rFonts w:eastAsiaTheme="minorEastAsia"/>
                      <w:color w:val="auto"/>
                      <w:szCs w:val="21"/>
                    </w:rPr>
                  </w:pPr>
                  <w:r>
                    <w:rPr>
                      <w:rFonts w:eastAsiaTheme="minorEastAsia"/>
                      <w:color w:val="auto"/>
                      <w:szCs w:val="21"/>
                    </w:rPr>
                    <w:t>无超标点</w:t>
                  </w:r>
                </w:p>
              </w:tc>
            </w:tr>
          </w:tbl>
          <w:p>
            <w:pPr>
              <w:spacing w:line="360" w:lineRule="auto"/>
              <w:jc w:val="center"/>
              <w:rPr>
                <w:rFonts w:eastAsiaTheme="minorEastAsia"/>
                <w:color w:val="auto"/>
                <w:sz w:val="24"/>
              </w:rPr>
            </w:pPr>
            <w:r>
              <w:rPr>
                <w:rFonts w:eastAsiaTheme="minorEastAsia"/>
                <w:color w:val="auto"/>
              </w:rPr>
              <w:drawing>
                <wp:inline distT="0" distB="0" distL="0" distR="0">
                  <wp:extent cx="5429250" cy="32194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5429250" cy="3219450"/>
                          </a:xfrm>
                          <a:prstGeom prst="rect">
                            <a:avLst/>
                          </a:prstGeom>
                        </pic:spPr>
                      </pic:pic>
                    </a:graphicData>
                  </a:graphic>
                </wp:inline>
              </w:drawing>
            </w:r>
          </w:p>
          <w:p>
            <w:pPr>
              <w:spacing w:line="360" w:lineRule="auto"/>
              <w:ind w:firstLine="420" w:firstLineChars="200"/>
              <w:rPr>
                <w:rFonts w:eastAsiaTheme="minorEastAsia"/>
                <w:color w:val="auto"/>
                <w:sz w:val="24"/>
              </w:rPr>
            </w:pPr>
            <w:r>
              <w:rPr>
                <w:rFonts w:eastAsiaTheme="minorEastAsia"/>
                <w:color w:val="auto"/>
              </w:rPr>
              <w:drawing>
                <wp:inline distT="0" distB="0" distL="0" distR="0">
                  <wp:extent cx="5429250" cy="32194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5429250" cy="3219450"/>
                          </a:xfrm>
                          <a:prstGeom prst="rect">
                            <a:avLst/>
                          </a:prstGeom>
                        </pic:spPr>
                      </pic:pic>
                    </a:graphicData>
                  </a:graphic>
                </wp:inline>
              </w:drawing>
            </w:r>
          </w:p>
          <w:p>
            <w:pPr>
              <w:spacing w:line="360" w:lineRule="auto"/>
              <w:ind w:firstLine="480" w:firstLineChars="200"/>
              <w:rPr>
                <w:rFonts w:eastAsiaTheme="minorEastAsia"/>
                <w:color w:val="auto"/>
                <w:sz w:val="24"/>
              </w:rPr>
            </w:pPr>
            <w:r>
              <w:rPr>
                <w:rFonts w:eastAsiaTheme="minorEastAsia"/>
                <w:color w:val="auto"/>
                <w:sz w:val="24"/>
              </w:rPr>
              <w:t>根据计算软件对本项目大气环境防护距离计算结果可知，项目大气环境防护距离计算值均无超标点。因此，本项目不设大气环境防护距离，恶臭气体不会对周围大气环境产生明显的污染影响。</w:t>
            </w:r>
          </w:p>
          <w:p>
            <w:pPr>
              <w:spacing w:line="360" w:lineRule="auto"/>
              <w:ind w:firstLine="480" w:firstLineChars="200"/>
              <w:rPr>
                <w:rFonts w:eastAsiaTheme="minorEastAsia"/>
                <w:color w:val="auto"/>
                <w:sz w:val="24"/>
              </w:rPr>
            </w:pPr>
            <w:r>
              <w:rPr>
                <w:rFonts w:hint="eastAsia" w:ascii="宋体" w:hAnsi="宋体" w:cs="宋体"/>
                <w:color w:val="auto"/>
                <w:sz w:val="24"/>
              </w:rPr>
              <w:t>⑸</w:t>
            </w:r>
            <w:r>
              <w:rPr>
                <w:rFonts w:eastAsiaTheme="minorEastAsia"/>
                <w:color w:val="auto"/>
                <w:sz w:val="24"/>
              </w:rPr>
              <w:t>卫生防护距离</w:t>
            </w:r>
          </w:p>
          <w:p>
            <w:pPr>
              <w:spacing w:line="360" w:lineRule="auto"/>
              <w:ind w:firstLine="480" w:firstLineChars="200"/>
              <w:rPr>
                <w:rFonts w:eastAsiaTheme="minorEastAsia"/>
                <w:color w:val="auto"/>
                <w:sz w:val="24"/>
              </w:rPr>
            </w:pPr>
            <w:r>
              <w:rPr>
                <w:rFonts w:eastAsiaTheme="minorEastAsia"/>
                <w:color w:val="auto"/>
                <w:sz w:val="24"/>
              </w:rPr>
              <w:t>根据《制定地方大气污染物排放标准的技术方法》（GB/T13201-91），无组织排放源所在生产单元与居住区之间应设置卫生防护距离，计算公式为：</w:t>
            </w:r>
          </w:p>
          <w:p>
            <w:pPr>
              <w:adjustRightInd w:val="0"/>
              <w:snapToGrid w:val="0"/>
              <w:spacing w:line="360" w:lineRule="auto"/>
              <w:ind w:firstLine="480"/>
              <w:jc w:val="center"/>
              <w:rPr>
                <w:rFonts w:eastAsiaTheme="minorEastAsia"/>
                <w:color w:val="auto"/>
                <w:sz w:val="24"/>
              </w:rPr>
            </w:pPr>
            <w:r>
              <w:rPr>
                <w:rFonts w:eastAsiaTheme="minorEastAsia"/>
                <w:color w:val="auto"/>
                <w:position w:val="-30"/>
                <w:sz w:val="24"/>
              </w:rPr>
              <w:object>
                <v:shape id="_x0000_i1029" o:spt="75" type="#_x0000_t75" style="height:36.7pt;width:152.1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p>
          <w:p>
            <w:pPr>
              <w:adjustRightInd w:val="0"/>
              <w:snapToGrid w:val="0"/>
              <w:spacing w:line="360" w:lineRule="auto"/>
              <w:ind w:firstLine="480"/>
              <w:rPr>
                <w:rFonts w:eastAsiaTheme="minorEastAsia"/>
                <w:color w:val="auto"/>
                <w:sz w:val="24"/>
              </w:rPr>
            </w:pPr>
            <w:r>
              <w:rPr>
                <w:rFonts w:eastAsiaTheme="minorEastAsia"/>
                <w:color w:val="auto"/>
                <w:sz w:val="24"/>
              </w:rPr>
              <w:t>式中：Q</w:t>
            </w:r>
            <w:r>
              <w:rPr>
                <w:rFonts w:eastAsiaTheme="minorEastAsia"/>
                <w:color w:val="auto"/>
                <w:sz w:val="24"/>
                <w:vertAlign w:val="subscript"/>
              </w:rPr>
              <w:t>c</w:t>
            </w:r>
            <w:r>
              <w:rPr>
                <w:rFonts w:eastAsiaTheme="minorEastAsia"/>
                <w:color w:val="auto"/>
                <w:sz w:val="24"/>
              </w:rPr>
              <w:t>——污染物的无组织排放源强，kg/h；</w:t>
            </w:r>
          </w:p>
          <w:p>
            <w:pPr>
              <w:adjustRightInd w:val="0"/>
              <w:snapToGrid w:val="0"/>
              <w:spacing w:line="360" w:lineRule="auto"/>
              <w:ind w:firstLine="480"/>
              <w:rPr>
                <w:rFonts w:eastAsiaTheme="minorEastAsia"/>
                <w:color w:val="auto"/>
                <w:sz w:val="24"/>
              </w:rPr>
            </w:pPr>
            <w:r>
              <w:rPr>
                <w:rFonts w:eastAsiaTheme="minorEastAsia"/>
                <w:color w:val="auto"/>
                <w:sz w:val="24"/>
              </w:rPr>
              <w:t xml:space="preserve">      C</w:t>
            </w:r>
            <w:r>
              <w:rPr>
                <w:rFonts w:eastAsiaTheme="minorEastAsia"/>
                <w:color w:val="auto"/>
                <w:sz w:val="24"/>
                <w:vertAlign w:val="subscript"/>
              </w:rPr>
              <w:t>M</w:t>
            </w:r>
            <w:r>
              <w:rPr>
                <w:rFonts w:eastAsiaTheme="minorEastAsia"/>
                <w:color w:val="auto"/>
                <w:sz w:val="24"/>
              </w:rPr>
              <w:t>——污染物的标准浓度限值，mg/m</w:t>
            </w:r>
            <w:r>
              <w:rPr>
                <w:rFonts w:eastAsiaTheme="minorEastAsia"/>
                <w:color w:val="auto"/>
                <w:sz w:val="24"/>
                <w:vertAlign w:val="superscript"/>
              </w:rPr>
              <w:t>3</w:t>
            </w:r>
            <w:r>
              <w:rPr>
                <w:rFonts w:eastAsiaTheme="minorEastAsia"/>
                <w:color w:val="auto"/>
                <w:sz w:val="24"/>
              </w:rPr>
              <w:t>；</w:t>
            </w:r>
          </w:p>
          <w:p>
            <w:pPr>
              <w:adjustRightInd w:val="0"/>
              <w:snapToGrid w:val="0"/>
              <w:spacing w:line="360" w:lineRule="auto"/>
              <w:ind w:firstLine="1320" w:firstLineChars="550"/>
              <w:rPr>
                <w:rFonts w:eastAsiaTheme="minorEastAsia"/>
                <w:color w:val="auto"/>
                <w:sz w:val="24"/>
              </w:rPr>
            </w:pPr>
            <w:r>
              <w:rPr>
                <w:rFonts w:eastAsiaTheme="minorEastAsia"/>
                <w:color w:val="auto"/>
                <w:sz w:val="24"/>
              </w:rPr>
              <w:t>L——卫生防护距离，m；</w:t>
            </w:r>
          </w:p>
          <w:p>
            <w:pPr>
              <w:adjustRightInd w:val="0"/>
              <w:snapToGrid w:val="0"/>
              <w:spacing w:line="360" w:lineRule="auto"/>
              <w:ind w:firstLine="1320" w:firstLineChars="550"/>
              <w:rPr>
                <w:rFonts w:eastAsiaTheme="minorEastAsia"/>
                <w:color w:val="auto"/>
                <w:sz w:val="24"/>
              </w:rPr>
            </w:pPr>
            <w:r>
              <w:rPr>
                <w:rFonts w:eastAsiaTheme="minorEastAsia"/>
                <w:color w:val="auto"/>
                <w:sz w:val="24"/>
              </w:rPr>
              <w:t>r——生产单元的等效半径，m；</w:t>
            </w:r>
          </w:p>
          <w:p>
            <w:pPr>
              <w:adjustRightInd w:val="0"/>
              <w:snapToGrid w:val="0"/>
              <w:spacing w:line="360" w:lineRule="auto"/>
              <w:ind w:firstLine="1320" w:firstLineChars="550"/>
              <w:rPr>
                <w:rFonts w:eastAsiaTheme="minorEastAsia"/>
                <w:color w:val="auto"/>
                <w:sz w:val="24"/>
              </w:rPr>
            </w:pPr>
            <w:r>
              <w:rPr>
                <w:rFonts w:eastAsiaTheme="minorEastAsia"/>
                <w:color w:val="auto"/>
                <w:sz w:val="24"/>
              </w:rPr>
              <w:t>A、B、C、D——计算参数，从GB/T13201-91中查取。</w:t>
            </w:r>
          </w:p>
          <w:p>
            <w:pPr>
              <w:adjustRightInd w:val="0"/>
              <w:snapToGrid w:val="0"/>
              <w:spacing w:line="360" w:lineRule="auto"/>
              <w:ind w:firstLine="480"/>
              <w:rPr>
                <w:rFonts w:eastAsiaTheme="minorEastAsia"/>
                <w:color w:val="auto"/>
                <w:sz w:val="24"/>
              </w:rPr>
            </w:pPr>
            <w:r>
              <w:rPr>
                <w:rFonts w:eastAsiaTheme="minorEastAsia"/>
                <w:color w:val="auto"/>
                <w:sz w:val="24"/>
              </w:rPr>
              <w:t>项目卫生防护距离计算结果见表63。</w:t>
            </w:r>
          </w:p>
          <w:p>
            <w:pPr>
              <w:pStyle w:val="17"/>
              <w:adjustRightInd w:val="0"/>
              <w:snapToGrid w:val="0"/>
              <w:spacing w:line="360" w:lineRule="auto"/>
              <w:ind w:firstLine="482" w:firstLineChars="200"/>
              <w:jc w:val="center"/>
              <w:rPr>
                <w:rFonts w:eastAsiaTheme="minorEastAsia"/>
                <w:b/>
                <w:color w:val="auto"/>
                <w:sz w:val="24"/>
              </w:rPr>
            </w:pPr>
            <w:r>
              <w:rPr>
                <w:rFonts w:eastAsiaTheme="minorEastAsia"/>
                <w:b/>
                <w:color w:val="auto"/>
                <w:sz w:val="24"/>
              </w:rPr>
              <w:t>表63卫生防护距离计算参数及结果表</w:t>
            </w:r>
          </w:p>
          <w:tbl>
            <w:tblPr>
              <w:tblStyle w:val="38"/>
              <w:tblW w:w="8619"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84"/>
              <w:gridCol w:w="800"/>
              <w:gridCol w:w="1312"/>
              <w:gridCol w:w="1417"/>
              <w:gridCol w:w="2067"/>
              <w:gridCol w:w="1119"/>
              <w:gridCol w:w="1120"/>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1" w:hRule="atLeast"/>
                <w:jc w:val="center"/>
              </w:trPr>
              <w:tc>
                <w:tcPr>
                  <w:tcW w:w="1584" w:type="dxa"/>
                  <w:gridSpan w:val="2"/>
                  <w:tcBorders>
                    <w:right w:val="single" w:color="auto" w:sz="4" w:space="0"/>
                  </w:tcBorders>
                  <w:vAlign w:val="center"/>
                </w:tcPr>
                <w:p>
                  <w:pPr>
                    <w:pStyle w:val="17"/>
                    <w:adjustRightInd w:val="0"/>
                    <w:snapToGrid w:val="0"/>
                    <w:ind w:firstLine="0" w:firstLineChars="0"/>
                    <w:jc w:val="center"/>
                    <w:rPr>
                      <w:rFonts w:eastAsiaTheme="minorEastAsia"/>
                      <w:color w:val="auto"/>
                      <w:sz w:val="21"/>
                      <w:szCs w:val="21"/>
                    </w:rPr>
                  </w:pPr>
                  <w:r>
                    <w:rPr>
                      <w:rFonts w:eastAsiaTheme="minorEastAsia"/>
                      <w:color w:val="auto"/>
                      <w:sz w:val="21"/>
                      <w:szCs w:val="21"/>
                    </w:rPr>
                    <w:t>污染物</w:t>
                  </w:r>
                </w:p>
              </w:tc>
              <w:tc>
                <w:tcPr>
                  <w:tcW w:w="1312" w:type="dxa"/>
                  <w:tcBorders>
                    <w:left w:val="single" w:color="auto" w:sz="4" w:space="0"/>
                  </w:tcBorders>
                  <w:vAlign w:val="center"/>
                </w:tcPr>
                <w:p>
                  <w:pPr>
                    <w:pStyle w:val="17"/>
                    <w:adjustRightInd w:val="0"/>
                    <w:snapToGrid w:val="0"/>
                    <w:ind w:firstLine="0" w:firstLineChars="0"/>
                    <w:jc w:val="center"/>
                    <w:rPr>
                      <w:rFonts w:eastAsiaTheme="minorEastAsia"/>
                      <w:color w:val="auto"/>
                      <w:sz w:val="21"/>
                      <w:szCs w:val="21"/>
                    </w:rPr>
                  </w:pPr>
                  <w:r>
                    <w:rPr>
                      <w:rFonts w:eastAsiaTheme="minorEastAsia"/>
                      <w:color w:val="auto"/>
                      <w:sz w:val="21"/>
                      <w:szCs w:val="21"/>
                    </w:rPr>
                    <w:t>排放量（kg/h）</w:t>
                  </w:r>
                </w:p>
              </w:tc>
              <w:tc>
                <w:tcPr>
                  <w:tcW w:w="1417" w:type="dxa"/>
                  <w:vAlign w:val="center"/>
                </w:tcPr>
                <w:p>
                  <w:pPr>
                    <w:pStyle w:val="17"/>
                    <w:adjustRightInd w:val="0"/>
                    <w:snapToGrid w:val="0"/>
                    <w:ind w:firstLine="0" w:firstLineChars="0"/>
                    <w:jc w:val="center"/>
                    <w:rPr>
                      <w:rFonts w:eastAsiaTheme="minorEastAsia"/>
                      <w:color w:val="auto"/>
                      <w:sz w:val="21"/>
                      <w:szCs w:val="21"/>
                    </w:rPr>
                  </w:pPr>
                  <w:r>
                    <w:rPr>
                      <w:rFonts w:eastAsiaTheme="minorEastAsia"/>
                      <w:color w:val="auto"/>
                      <w:sz w:val="21"/>
                      <w:szCs w:val="21"/>
                    </w:rPr>
                    <w:t>近5年平均风速（m/s）</w:t>
                  </w:r>
                </w:p>
              </w:tc>
              <w:tc>
                <w:tcPr>
                  <w:tcW w:w="2067" w:type="dxa"/>
                  <w:vAlign w:val="center"/>
                </w:tcPr>
                <w:p>
                  <w:pPr>
                    <w:pStyle w:val="17"/>
                    <w:adjustRightInd w:val="0"/>
                    <w:snapToGrid w:val="0"/>
                    <w:ind w:firstLine="0" w:firstLineChars="0"/>
                    <w:jc w:val="center"/>
                    <w:rPr>
                      <w:rFonts w:eastAsiaTheme="minorEastAsia"/>
                      <w:color w:val="auto"/>
                      <w:sz w:val="21"/>
                      <w:szCs w:val="21"/>
                    </w:rPr>
                  </w:pPr>
                  <w:r>
                    <w:rPr>
                      <w:rFonts w:eastAsiaTheme="minorEastAsia"/>
                      <w:color w:val="auto"/>
                      <w:sz w:val="21"/>
                      <w:szCs w:val="21"/>
                    </w:rPr>
                    <w:t>生产单元占地面积</w:t>
                  </w:r>
                </w:p>
                <w:p>
                  <w:pPr>
                    <w:pStyle w:val="17"/>
                    <w:adjustRightInd w:val="0"/>
                    <w:snapToGrid w:val="0"/>
                    <w:ind w:firstLine="0" w:firstLineChars="0"/>
                    <w:jc w:val="center"/>
                    <w:rPr>
                      <w:rFonts w:eastAsiaTheme="minorEastAsia"/>
                      <w:color w:val="auto"/>
                      <w:sz w:val="21"/>
                      <w:szCs w:val="21"/>
                    </w:rPr>
                  </w:pPr>
                  <w:r>
                    <w:rPr>
                      <w:rFonts w:eastAsiaTheme="minorEastAsia"/>
                      <w:color w:val="auto"/>
                      <w:sz w:val="21"/>
                      <w:szCs w:val="21"/>
                    </w:rPr>
                    <w:t>（m</w:t>
                  </w:r>
                  <w:r>
                    <w:rPr>
                      <w:rFonts w:eastAsiaTheme="minorEastAsia"/>
                      <w:color w:val="auto"/>
                      <w:sz w:val="21"/>
                      <w:szCs w:val="21"/>
                      <w:vertAlign w:val="superscript"/>
                    </w:rPr>
                    <w:t>2</w:t>
                  </w:r>
                  <w:r>
                    <w:rPr>
                      <w:rFonts w:eastAsiaTheme="minorEastAsia"/>
                      <w:color w:val="auto"/>
                      <w:sz w:val="21"/>
                      <w:szCs w:val="21"/>
                    </w:rPr>
                    <w:t>）</w:t>
                  </w:r>
                </w:p>
              </w:tc>
              <w:tc>
                <w:tcPr>
                  <w:tcW w:w="1119" w:type="dxa"/>
                  <w:vAlign w:val="center"/>
                </w:tcPr>
                <w:p>
                  <w:pPr>
                    <w:pStyle w:val="17"/>
                    <w:adjustRightInd w:val="0"/>
                    <w:snapToGrid w:val="0"/>
                    <w:ind w:firstLine="0" w:firstLineChars="0"/>
                    <w:jc w:val="center"/>
                    <w:rPr>
                      <w:rFonts w:eastAsiaTheme="minorEastAsia"/>
                      <w:color w:val="auto"/>
                      <w:sz w:val="21"/>
                      <w:szCs w:val="21"/>
                    </w:rPr>
                  </w:pPr>
                  <w:r>
                    <w:rPr>
                      <w:rFonts w:eastAsiaTheme="minorEastAsia"/>
                      <w:color w:val="auto"/>
                      <w:sz w:val="21"/>
                      <w:szCs w:val="21"/>
                    </w:rPr>
                    <w:t>标准值</w:t>
                  </w:r>
                </w:p>
                <w:p>
                  <w:pPr>
                    <w:pStyle w:val="17"/>
                    <w:adjustRightInd w:val="0"/>
                    <w:snapToGrid w:val="0"/>
                    <w:ind w:firstLine="0" w:firstLineChars="0"/>
                    <w:jc w:val="center"/>
                    <w:rPr>
                      <w:rFonts w:eastAsiaTheme="minorEastAsia"/>
                      <w:color w:val="auto"/>
                      <w:sz w:val="21"/>
                      <w:szCs w:val="21"/>
                    </w:rPr>
                  </w:pPr>
                  <w:r>
                    <w:rPr>
                      <w:rFonts w:eastAsiaTheme="minorEastAsia"/>
                      <w:color w:val="auto"/>
                      <w:sz w:val="21"/>
                      <w:szCs w:val="21"/>
                    </w:rPr>
                    <w:t>(mg/m</w:t>
                  </w:r>
                  <w:r>
                    <w:rPr>
                      <w:rFonts w:eastAsiaTheme="minorEastAsia"/>
                      <w:color w:val="auto"/>
                      <w:sz w:val="21"/>
                      <w:szCs w:val="21"/>
                      <w:vertAlign w:val="superscript"/>
                    </w:rPr>
                    <w:t>3</w:t>
                  </w:r>
                  <w:r>
                    <w:rPr>
                      <w:rFonts w:eastAsiaTheme="minorEastAsia"/>
                      <w:color w:val="auto"/>
                      <w:sz w:val="21"/>
                      <w:szCs w:val="21"/>
                    </w:rPr>
                    <w:t>)</w:t>
                  </w:r>
                </w:p>
              </w:tc>
              <w:tc>
                <w:tcPr>
                  <w:tcW w:w="1120" w:type="dxa"/>
                  <w:vAlign w:val="center"/>
                </w:tcPr>
                <w:p>
                  <w:pPr>
                    <w:pStyle w:val="17"/>
                    <w:adjustRightInd w:val="0"/>
                    <w:snapToGrid w:val="0"/>
                    <w:ind w:firstLine="0" w:firstLineChars="0"/>
                    <w:jc w:val="center"/>
                    <w:rPr>
                      <w:rFonts w:eastAsiaTheme="minorEastAsia"/>
                      <w:color w:val="auto"/>
                      <w:sz w:val="21"/>
                      <w:szCs w:val="21"/>
                    </w:rPr>
                  </w:pPr>
                  <w:r>
                    <w:rPr>
                      <w:rFonts w:eastAsiaTheme="minorEastAsia"/>
                      <w:color w:val="auto"/>
                      <w:sz w:val="21"/>
                      <w:szCs w:val="21"/>
                    </w:rPr>
                    <w:t>计算值（m）</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784" w:type="dxa"/>
                  <w:vMerge w:val="restart"/>
                  <w:vAlign w:val="center"/>
                </w:tcPr>
                <w:p>
                  <w:pPr>
                    <w:jc w:val="center"/>
                    <w:rPr>
                      <w:rFonts w:eastAsiaTheme="minorEastAsia"/>
                      <w:color w:val="auto"/>
                      <w:szCs w:val="21"/>
                    </w:rPr>
                  </w:pPr>
                  <w:r>
                    <w:rPr>
                      <w:rFonts w:eastAsiaTheme="minorEastAsia"/>
                      <w:color w:val="auto"/>
                      <w:szCs w:val="21"/>
                    </w:rPr>
                    <w:t>恶臭</w:t>
                  </w:r>
                </w:p>
                <w:p>
                  <w:pPr>
                    <w:jc w:val="center"/>
                    <w:rPr>
                      <w:rFonts w:eastAsiaTheme="minorEastAsia"/>
                      <w:color w:val="auto"/>
                      <w:szCs w:val="21"/>
                    </w:rPr>
                  </w:pPr>
                  <w:r>
                    <w:rPr>
                      <w:rFonts w:eastAsiaTheme="minorEastAsia"/>
                      <w:color w:val="auto"/>
                      <w:szCs w:val="21"/>
                    </w:rPr>
                    <w:t>气体</w:t>
                  </w:r>
                </w:p>
              </w:tc>
              <w:tc>
                <w:tcPr>
                  <w:tcW w:w="800" w:type="dxa"/>
                  <w:tcBorders>
                    <w:right w:val="single" w:color="auto" w:sz="4" w:space="0"/>
                  </w:tcBorders>
                  <w:vAlign w:val="center"/>
                </w:tcPr>
                <w:p>
                  <w:pPr>
                    <w:pStyle w:val="17"/>
                    <w:adjustRightInd w:val="0"/>
                    <w:snapToGrid w:val="0"/>
                    <w:ind w:firstLine="0" w:firstLineChars="0"/>
                    <w:jc w:val="center"/>
                    <w:rPr>
                      <w:rFonts w:eastAsiaTheme="minorEastAsia"/>
                      <w:color w:val="auto"/>
                      <w:sz w:val="21"/>
                      <w:szCs w:val="21"/>
                    </w:rPr>
                  </w:pPr>
                  <w:r>
                    <w:rPr>
                      <w:rFonts w:eastAsiaTheme="minorEastAsia"/>
                      <w:color w:val="auto"/>
                      <w:sz w:val="21"/>
                      <w:szCs w:val="21"/>
                    </w:rPr>
                    <w:t>NH</w:t>
                  </w:r>
                  <w:r>
                    <w:rPr>
                      <w:rFonts w:eastAsiaTheme="minorEastAsia"/>
                      <w:color w:val="auto"/>
                      <w:sz w:val="21"/>
                      <w:szCs w:val="21"/>
                      <w:vertAlign w:val="subscript"/>
                    </w:rPr>
                    <w:t>3</w:t>
                  </w:r>
                </w:p>
              </w:tc>
              <w:tc>
                <w:tcPr>
                  <w:tcW w:w="1312" w:type="dxa"/>
                  <w:tcBorders>
                    <w:lef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0.00739</w:t>
                  </w:r>
                </w:p>
              </w:tc>
              <w:tc>
                <w:tcPr>
                  <w:tcW w:w="1417" w:type="dxa"/>
                  <w:vAlign w:val="center"/>
                </w:tcPr>
                <w:p>
                  <w:pPr>
                    <w:pStyle w:val="17"/>
                    <w:adjustRightInd w:val="0"/>
                    <w:snapToGrid w:val="0"/>
                    <w:ind w:firstLine="0" w:firstLineChars="0"/>
                    <w:jc w:val="center"/>
                    <w:rPr>
                      <w:rFonts w:eastAsiaTheme="minorEastAsia"/>
                      <w:color w:val="auto"/>
                      <w:sz w:val="21"/>
                      <w:szCs w:val="21"/>
                    </w:rPr>
                  </w:pPr>
                  <w:r>
                    <w:rPr>
                      <w:rFonts w:eastAsiaTheme="minorEastAsia"/>
                      <w:color w:val="auto"/>
                      <w:sz w:val="21"/>
                      <w:szCs w:val="21"/>
                    </w:rPr>
                    <w:t>1.93</w:t>
                  </w:r>
                </w:p>
              </w:tc>
              <w:tc>
                <w:tcPr>
                  <w:tcW w:w="2067" w:type="dxa"/>
                  <w:vAlign w:val="center"/>
                </w:tcPr>
                <w:p>
                  <w:pPr>
                    <w:pStyle w:val="17"/>
                    <w:adjustRightInd w:val="0"/>
                    <w:snapToGrid w:val="0"/>
                    <w:ind w:firstLine="0" w:firstLineChars="0"/>
                    <w:jc w:val="center"/>
                    <w:rPr>
                      <w:rFonts w:eastAsiaTheme="minorEastAsia"/>
                      <w:color w:val="auto"/>
                      <w:sz w:val="21"/>
                      <w:szCs w:val="21"/>
                    </w:rPr>
                  </w:pPr>
                  <w:r>
                    <w:rPr>
                      <w:rFonts w:eastAsiaTheme="minorEastAsia"/>
                      <w:color w:val="auto"/>
                      <w:sz w:val="21"/>
                      <w:szCs w:val="21"/>
                    </w:rPr>
                    <w:t>1000</w:t>
                  </w:r>
                </w:p>
              </w:tc>
              <w:tc>
                <w:tcPr>
                  <w:tcW w:w="1119" w:type="dxa"/>
                  <w:vAlign w:val="center"/>
                </w:tcPr>
                <w:p>
                  <w:pPr>
                    <w:spacing w:line="240" w:lineRule="atLeast"/>
                    <w:jc w:val="center"/>
                    <w:rPr>
                      <w:rFonts w:eastAsiaTheme="minorEastAsia"/>
                      <w:color w:val="auto"/>
                      <w:szCs w:val="21"/>
                    </w:rPr>
                  </w:pPr>
                  <w:r>
                    <w:rPr>
                      <w:rFonts w:eastAsiaTheme="minorEastAsia"/>
                      <w:color w:val="auto"/>
                      <w:szCs w:val="21"/>
                    </w:rPr>
                    <w:t>0.2</w:t>
                  </w:r>
                </w:p>
              </w:tc>
              <w:tc>
                <w:tcPr>
                  <w:tcW w:w="1120" w:type="dxa"/>
                  <w:vAlign w:val="center"/>
                </w:tcPr>
                <w:p>
                  <w:pPr>
                    <w:adjustRightInd w:val="0"/>
                    <w:snapToGrid w:val="0"/>
                    <w:jc w:val="center"/>
                    <w:rPr>
                      <w:rFonts w:eastAsiaTheme="minorEastAsia"/>
                      <w:color w:val="auto"/>
                      <w:szCs w:val="21"/>
                    </w:rPr>
                  </w:pPr>
                  <w:r>
                    <w:rPr>
                      <w:rFonts w:eastAsiaTheme="minorEastAsia"/>
                      <w:color w:val="auto"/>
                      <w:szCs w:val="21"/>
                    </w:rPr>
                    <w:t>1.91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784" w:type="dxa"/>
                  <w:vMerge w:val="continue"/>
                  <w:vAlign w:val="center"/>
                </w:tcPr>
                <w:p>
                  <w:pPr>
                    <w:jc w:val="center"/>
                    <w:rPr>
                      <w:rFonts w:eastAsiaTheme="minorEastAsia"/>
                      <w:color w:val="auto"/>
                      <w:szCs w:val="21"/>
                    </w:rPr>
                  </w:pPr>
                </w:p>
              </w:tc>
              <w:tc>
                <w:tcPr>
                  <w:tcW w:w="800" w:type="dxa"/>
                  <w:tcBorders>
                    <w:right w:val="single" w:color="auto" w:sz="4" w:space="0"/>
                  </w:tcBorders>
                  <w:vAlign w:val="center"/>
                </w:tcPr>
                <w:p>
                  <w:pPr>
                    <w:pStyle w:val="17"/>
                    <w:adjustRightInd w:val="0"/>
                    <w:snapToGrid w:val="0"/>
                    <w:ind w:firstLine="0" w:firstLineChars="0"/>
                    <w:jc w:val="center"/>
                    <w:rPr>
                      <w:rFonts w:eastAsiaTheme="minorEastAsia"/>
                      <w:color w:val="auto"/>
                      <w:sz w:val="21"/>
                      <w:szCs w:val="21"/>
                    </w:rPr>
                  </w:pPr>
                  <w:r>
                    <w:rPr>
                      <w:rFonts w:eastAsiaTheme="minorEastAsia"/>
                      <w:color w:val="auto"/>
                      <w:sz w:val="21"/>
                      <w:szCs w:val="21"/>
                    </w:rPr>
                    <w:t>H</w:t>
                  </w:r>
                  <w:r>
                    <w:rPr>
                      <w:rFonts w:eastAsiaTheme="minorEastAsia"/>
                      <w:color w:val="auto"/>
                      <w:sz w:val="21"/>
                      <w:szCs w:val="21"/>
                      <w:vertAlign w:val="subscript"/>
                    </w:rPr>
                    <w:t>2</w:t>
                  </w:r>
                  <w:r>
                    <w:rPr>
                      <w:rFonts w:eastAsiaTheme="minorEastAsia"/>
                      <w:color w:val="auto"/>
                      <w:sz w:val="21"/>
                      <w:szCs w:val="21"/>
                    </w:rPr>
                    <w:t>S</w:t>
                  </w:r>
                </w:p>
              </w:tc>
              <w:tc>
                <w:tcPr>
                  <w:tcW w:w="1312" w:type="dxa"/>
                  <w:tcBorders>
                    <w:lef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0.869×10</w:t>
                  </w:r>
                  <w:r>
                    <w:rPr>
                      <w:rFonts w:eastAsiaTheme="minorEastAsia"/>
                      <w:color w:val="auto"/>
                      <w:szCs w:val="21"/>
                      <w:vertAlign w:val="superscript"/>
                    </w:rPr>
                    <w:t>-4</w:t>
                  </w:r>
                </w:p>
              </w:tc>
              <w:tc>
                <w:tcPr>
                  <w:tcW w:w="1417" w:type="dxa"/>
                  <w:vAlign w:val="center"/>
                </w:tcPr>
                <w:p>
                  <w:pPr>
                    <w:pStyle w:val="17"/>
                    <w:adjustRightInd w:val="0"/>
                    <w:snapToGrid w:val="0"/>
                    <w:ind w:firstLine="0" w:firstLineChars="0"/>
                    <w:jc w:val="center"/>
                    <w:rPr>
                      <w:rFonts w:eastAsiaTheme="minorEastAsia"/>
                      <w:color w:val="auto"/>
                      <w:sz w:val="21"/>
                      <w:szCs w:val="21"/>
                    </w:rPr>
                  </w:pPr>
                  <w:r>
                    <w:rPr>
                      <w:rFonts w:eastAsiaTheme="minorEastAsia"/>
                      <w:color w:val="auto"/>
                      <w:sz w:val="21"/>
                      <w:szCs w:val="21"/>
                    </w:rPr>
                    <w:t>1.93</w:t>
                  </w:r>
                </w:p>
              </w:tc>
              <w:tc>
                <w:tcPr>
                  <w:tcW w:w="2067" w:type="dxa"/>
                  <w:vAlign w:val="center"/>
                </w:tcPr>
                <w:p>
                  <w:pPr>
                    <w:pStyle w:val="17"/>
                    <w:adjustRightInd w:val="0"/>
                    <w:snapToGrid w:val="0"/>
                    <w:ind w:firstLine="0" w:firstLineChars="0"/>
                    <w:jc w:val="center"/>
                    <w:rPr>
                      <w:rFonts w:eastAsiaTheme="minorEastAsia"/>
                      <w:color w:val="auto"/>
                      <w:sz w:val="21"/>
                      <w:szCs w:val="21"/>
                    </w:rPr>
                  </w:pPr>
                  <w:r>
                    <w:rPr>
                      <w:rFonts w:eastAsiaTheme="minorEastAsia"/>
                      <w:color w:val="auto"/>
                      <w:sz w:val="21"/>
                      <w:szCs w:val="21"/>
                    </w:rPr>
                    <w:t>1000</w:t>
                  </w:r>
                </w:p>
              </w:tc>
              <w:tc>
                <w:tcPr>
                  <w:tcW w:w="1119" w:type="dxa"/>
                  <w:vAlign w:val="center"/>
                </w:tcPr>
                <w:p>
                  <w:pPr>
                    <w:spacing w:line="240" w:lineRule="atLeast"/>
                    <w:jc w:val="center"/>
                    <w:rPr>
                      <w:rFonts w:eastAsiaTheme="minorEastAsia"/>
                      <w:color w:val="auto"/>
                      <w:szCs w:val="21"/>
                    </w:rPr>
                  </w:pPr>
                  <w:r>
                    <w:rPr>
                      <w:rFonts w:eastAsiaTheme="minorEastAsia"/>
                      <w:color w:val="auto"/>
                      <w:szCs w:val="21"/>
                    </w:rPr>
                    <w:t>0.01</w:t>
                  </w:r>
                </w:p>
              </w:tc>
              <w:tc>
                <w:tcPr>
                  <w:tcW w:w="1120" w:type="dxa"/>
                  <w:vAlign w:val="center"/>
                </w:tcPr>
                <w:p>
                  <w:pPr>
                    <w:adjustRightInd w:val="0"/>
                    <w:snapToGrid w:val="0"/>
                    <w:jc w:val="center"/>
                    <w:rPr>
                      <w:rFonts w:eastAsiaTheme="minorEastAsia"/>
                      <w:color w:val="auto"/>
                      <w:szCs w:val="21"/>
                    </w:rPr>
                  </w:pPr>
                  <w:r>
                    <w:rPr>
                      <w:rFonts w:eastAsiaTheme="minorEastAsia"/>
                      <w:color w:val="auto"/>
                      <w:szCs w:val="21"/>
                    </w:rPr>
                    <w:t>0.30</w:t>
                  </w:r>
                </w:p>
              </w:tc>
            </w:tr>
          </w:tbl>
          <w:p>
            <w:pPr>
              <w:spacing w:line="360" w:lineRule="auto"/>
              <w:ind w:firstLine="480" w:firstLineChars="200"/>
              <w:rPr>
                <w:rFonts w:eastAsiaTheme="minorEastAsia"/>
                <w:color w:val="auto"/>
                <w:sz w:val="24"/>
              </w:rPr>
            </w:pPr>
            <w:r>
              <w:rPr>
                <w:rFonts w:eastAsiaTheme="minorEastAsia"/>
                <w:color w:val="auto"/>
                <w:sz w:val="24"/>
              </w:rPr>
              <w:t>由表62可知，项目恶臭气体污染物NH</w:t>
            </w:r>
            <w:r>
              <w:rPr>
                <w:rFonts w:eastAsiaTheme="minorEastAsia"/>
                <w:color w:val="auto"/>
                <w:sz w:val="24"/>
                <w:vertAlign w:val="subscript"/>
              </w:rPr>
              <w:t>3</w:t>
            </w:r>
            <w:r>
              <w:rPr>
                <w:rFonts w:eastAsiaTheme="minorEastAsia"/>
                <w:color w:val="auto"/>
                <w:sz w:val="24"/>
              </w:rPr>
              <w:t>、H</w:t>
            </w:r>
            <w:r>
              <w:rPr>
                <w:rFonts w:eastAsiaTheme="minorEastAsia"/>
                <w:color w:val="auto"/>
                <w:sz w:val="24"/>
                <w:vertAlign w:val="subscript"/>
              </w:rPr>
              <w:t>2</w:t>
            </w:r>
            <w:r>
              <w:rPr>
                <w:rFonts w:eastAsiaTheme="minorEastAsia"/>
                <w:color w:val="auto"/>
                <w:sz w:val="24"/>
              </w:rPr>
              <w:t>S的计算值分别为1.91m、0.30m。根据</w:t>
            </w:r>
            <w:bookmarkStart w:id="10" w:name="OLE_LINK54"/>
            <w:r>
              <w:rPr>
                <w:rFonts w:eastAsiaTheme="minorEastAsia"/>
                <w:color w:val="auto"/>
                <w:sz w:val="24"/>
              </w:rPr>
              <w:t>《制定大气污染物排放标准的技术方法》（GB/T13201-91）</w:t>
            </w:r>
            <w:bookmarkEnd w:id="10"/>
            <w:r>
              <w:rPr>
                <w:rFonts w:eastAsiaTheme="minorEastAsia"/>
                <w:color w:val="auto"/>
                <w:sz w:val="24"/>
              </w:rPr>
              <w:t>中提级规定，卫生防护距离在100m以内时，极差为50m；超过100m但小于或等于1000m时极差为100m，超过1000m以上时，级差为200m。如果计算出来的卫生防护距离在两个级差之间，取大值。如果有两种污染物单独计算并确定的卫生防护距离相同，则提一级，否则取距离大的作为项目的卫生防护距离。</w:t>
            </w:r>
          </w:p>
          <w:p>
            <w:pPr>
              <w:spacing w:line="360" w:lineRule="auto"/>
              <w:ind w:firstLine="480" w:firstLineChars="200"/>
              <w:rPr>
                <w:rFonts w:eastAsiaTheme="minorEastAsia"/>
                <w:color w:val="auto"/>
                <w:sz w:val="24"/>
              </w:rPr>
            </w:pPr>
            <w:r>
              <w:rPr>
                <w:rFonts w:eastAsiaTheme="minorEastAsia"/>
                <w:color w:val="auto"/>
                <w:sz w:val="24"/>
              </w:rPr>
              <w:t>根据上述规定，计算得氨气的卫生防护距离为50m，硫化氢的卫生防护距离为50m，提级可得本项目的卫生防护距离为100m。经现场勘踏，项目距最近敏感点</w:t>
            </w:r>
            <w:r>
              <w:rPr>
                <w:rFonts w:eastAsiaTheme="minorEastAsia"/>
                <w:color w:val="auto"/>
                <w:szCs w:val="21"/>
                <w:lang w:val="zh-CN"/>
              </w:rPr>
              <w:t>金村乡卫生院</w:t>
            </w:r>
            <w:r>
              <w:rPr>
                <w:rFonts w:eastAsiaTheme="minorEastAsia"/>
                <w:color w:val="auto"/>
                <w:sz w:val="24"/>
              </w:rPr>
              <w:t>距离为250.3m，大于卫生防护距离。卫生防护距离包络线图见图20。</w:t>
            </w:r>
          </w:p>
          <w:p>
            <w:pPr>
              <w:spacing w:line="360" w:lineRule="auto"/>
              <w:jc w:val="center"/>
              <w:rPr>
                <w:rFonts w:eastAsiaTheme="minorEastAsia"/>
                <w:color w:val="auto"/>
                <w:sz w:val="24"/>
              </w:rPr>
            </w:pPr>
            <w:r>
              <w:rPr>
                <w:color w:val="auto"/>
              </w:rPr>
              <w:drawing>
                <wp:inline distT="0" distB="0" distL="0" distR="0">
                  <wp:extent cx="5486400" cy="46228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5486400" cy="4622800"/>
                          </a:xfrm>
                          <a:prstGeom prst="rect">
                            <a:avLst/>
                          </a:prstGeom>
                        </pic:spPr>
                      </pic:pic>
                    </a:graphicData>
                  </a:graphic>
                </wp:inline>
              </w:drawing>
            </w:r>
          </w:p>
          <w:p>
            <w:pPr>
              <w:spacing w:line="360" w:lineRule="auto"/>
              <w:jc w:val="center"/>
              <w:rPr>
                <w:rFonts w:eastAsiaTheme="minorEastAsia"/>
                <w:b/>
                <w:color w:val="auto"/>
                <w:sz w:val="24"/>
              </w:rPr>
            </w:pPr>
            <w:r>
              <w:rPr>
                <w:rFonts w:eastAsiaTheme="minorEastAsia"/>
                <w:b/>
                <w:color w:val="auto"/>
                <w:sz w:val="24"/>
              </w:rPr>
              <w:t>图20卫生防护距离包络线</w:t>
            </w:r>
          </w:p>
          <w:p>
            <w:pPr>
              <w:spacing w:line="360" w:lineRule="auto"/>
              <w:ind w:firstLine="482" w:firstLineChars="200"/>
              <w:rPr>
                <w:rFonts w:eastAsiaTheme="minorEastAsia"/>
                <w:b/>
                <w:color w:val="auto"/>
                <w:sz w:val="24"/>
              </w:rPr>
            </w:pPr>
            <w:r>
              <w:rPr>
                <w:rFonts w:eastAsiaTheme="minorEastAsia"/>
                <w:b/>
                <w:color w:val="auto"/>
                <w:sz w:val="24"/>
              </w:rPr>
              <w:t>2.2声环境影响分析</w:t>
            </w:r>
          </w:p>
          <w:p>
            <w:pPr>
              <w:widowControl/>
              <w:spacing w:line="360" w:lineRule="auto"/>
              <w:ind w:firstLine="480" w:firstLineChars="200"/>
              <w:rPr>
                <w:rFonts w:eastAsiaTheme="minorEastAsia"/>
                <w:bCs/>
                <w:color w:val="auto"/>
                <w:sz w:val="24"/>
              </w:rPr>
            </w:pPr>
            <w:r>
              <w:rPr>
                <w:rFonts w:eastAsiaTheme="minorEastAsia"/>
                <w:bCs/>
                <w:color w:val="auto"/>
                <w:sz w:val="24"/>
              </w:rPr>
              <w:t>本工程营运期噪声主要为A</w:t>
            </w:r>
            <w:r>
              <w:rPr>
                <w:rFonts w:eastAsiaTheme="minorEastAsia"/>
                <w:bCs/>
                <w:color w:val="auto"/>
                <w:sz w:val="24"/>
                <w:vertAlign w:val="superscript"/>
              </w:rPr>
              <w:t>2</w:t>
            </w:r>
            <w:r>
              <w:rPr>
                <w:rFonts w:eastAsiaTheme="minorEastAsia"/>
                <w:bCs/>
                <w:color w:val="auto"/>
                <w:sz w:val="24"/>
              </w:rPr>
              <w:t>/O+MBR一体化组合式污水处理设备、压滤机、各类泵等设备的运行噪声，噪声值可达75~87dB（A）。各设备24h持续运行。噪声从声源传到受声点，因受传播距离、空气吸收、阻挡物的反射与屏障等因素的影响，会使其产生衰减。本项目从最不利情况考虑，并留有一定的安全系数，确定以下原则作为预测的基础：</w:t>
            </w:r>
            <w:r>
              <w:rPr>
                <w:rFonts w:hint="eastAsia" w:ascii="宋体" w:hAnsi="宋体" w:cs="宋体"/>
                <w:bCs/>
                <w:color w:val="auto"/>
                <w:sz w:val="24"/>
              </w:rPr>
              <w:t>①</w:t>
            </w:r>
            <w:r>
              <w:rPr>
                <w:rFonts w:eastAsiaTheme="minorEastAsia"/>
                <w:bCs/>
                <w:color w:val="auto"/>
                <w:sz w:val="24"/>
              </w:rPr>
              <w:t>忽略声波在传播过程中由于云、雾、温度梯度、风等气象条件引起的声能量衰减以及大气吸收、地面效应、绿化带等引起的衰减；</w:t>
            </w:r>
            <w:r>
              <w:rPr>
                <w:rFonts w:hint="eastAsia" w:ascii="宋体" w:hAnsi="宋体" w:cs="宋体"/>
                <w:bCs/>
                <w:color w:val="auto"/>
                <w:sz w:val="24"/>
              </w:rPr>
              <w:t>②</w:t>
            </w:r>
            <w:r>
              <w:rPr>
                <w:rFonts w:eastAsiaTheme="minorEastAsia"/>
                <w:bCs/>
                <w:color w:val="auto"/>
                <w:sz w:val="24"/>
              </w:rPr>
              <w:t>预测中，房间的噪声按传播过程中将通过房结构（门、窗、墙等）的隔声作用，再经距离衰减、大气吸收以及其它厂房、围墙阻挡达到预测点考虑；</w:t>
            </w:r>
            <w:r>
              <w:rPr>
                <w:rFonts w:hint="eastAsia" w:ascii="宋体" w:hAnsi="宋体" w:cs="宋体"/>
                <w:bCs/>
                <w:color w:val="auto"/>
                <w:sz w:val="24"/>
              </w:rPr>
              <w:t>③</w:t>
            </w:r>
            <w:r>
              <w:rPr>
                <w:rFonts w:eastAsiaTheme="minorEastAsia"/>
                <w:bCs/>
                <w:color w:val="auto"/>
                <w:sz w:val="24"/>
              </w:rPr>
              <w:t>所有产噪设备均按无消声设施考虑。本项目采用《环境影响评价技术导则-声环境》(HJ2.4-2009)中推荐的点声源预测模式。</w:t>
            </w:r>
          </w:p>
          <w:p>
            <w:pPr>
              <w:widowControl/>
              <w:spacing w:line="360" w:lineRule="auto"/>
              <w:ind w:firstLine="480" w:firstLineChars="200"/>
              <w:rPr>
                <w:rFonts w:eastAsiaTheme="minorEastAsia"/>
                <w:bCs/>
                <w:color w:val="auto"/>
                <w:sz w:val="24"/>
              </w:rPr>
            </w:pPr>
            <w:r>
              <w:rPr>
                <w:rFonts w:hint="eastAsia" w:ascii="宋体" w:hAnsi="宋体" w:cs="宋体"/>
                <w:bCs/>
                <w:color w:val="auto"/>
                <w:sz w:val="24"/>
              </w:rPr>
              <w:t>⑴</w:t>
            </w:r>
            <w:r>
              <w:rPr>
                <w:rFonts w:eastAsiaTheme="minorEastAsia"/>
                <w:bCs/>
                <w:color w:val="auto"/>
                <w:sz w:val="24"/>
              </w:rPr>
              <w:t>室内声源等效室外声源声功率级计算模式</w:t>
            </w:r>
          </w:p>
          <w:p>
            <w:pPr>
              <w:widowControl/>
              <w:spacing w:line="360" w:lineRule="auto"/>
              <w:ind w:firstLine="480" w:firstLineChars="200"/>
              <w:jc w:val="center"/>
              <w:rPr>
                <w:rFonts w:eastAsiaTheme="minorEastAsia"/>
                <w:bCs/>
                <w:color w:val="auto"/>
                <w:sz w:val="24"/>
              </w:rPr>
            </w:pPr>
            <w:r>
              <w:rPr>
                <w:rFonts w:eastAsiaTheme="minorEastAsia"/>
                <w:bCs/>
                <w:color w:val="auto"/>
                <w:sz w:val="24"/>
              </w:rPr>
              <w:t>L</w:t>
            </w:r>
            <w:r>
              <w:rPr>
                <w:rFonts w:eastAsiaTheme="minorEastAsia"/>
                <w:bCs/>
                <w:color w:val="auto"/>
                <w:sz w:val="24"/>
                <w:vertAlign w:val="subscript"/>
              </w:rPr>
              <w:t>p2</w:t>
            </w:r>
            <w:r>
              <w:rPr>
                <w:rFonts w:eastAsiaTheme="minorEastAsia"/>
                <w:bCs/>
                <w:color w:val="auto"/>
                <w:sz w:val="24"/>
              </w:rPr>
              <w:sym w:font="Symbol" w:char="F03D"/>
            </w:r>
            <w:r>
              <w:rPr>
                <w:rFonts w:eastAsiaTheme="minorEastAsia"/>
                <w:bCs/>
                <w:color w:val="auto"/>
                <w:sz w:val="24"/>
              </w:rPr>
              <w:t xml:space="preserve"> L</w:t>
            </w:r>
            <w:r>
              <w:rPr>
                <w:rFonts w:eastAsiaTheme="minorEastAsia"/>
                <w:bCs/>
                <w:color w:val="auto"/>
                <w:sz w:val="24"/>
                <w:vertAlign w:val="subscript"/>
              </w:rPr>
              <w:t xml:space="preserve">p1 </w:t>
            </w:r>
            <w:r>
              <w:rPr>
                <w:rFonts w:eastAsiaTheme="minorEastAsia"/>
                <w:bCs/>
                <w:color w:val="auto"/>
                <w:sz w:val="24"/>
              </w:rPr>
              <w:sym w:font="Symbol" w:char="F02D"/>
            </w:r>
            <w:r>
              <w:rPr>
                <w:rFonts w:eastAsiaTheme="minorEastAsia"/>
                <w:bCs/>
                <w:color w:val="auto"/>
                <w:sz w:val="24"/>
              </w:rPr>
              <w:t xml:space="preserve"> (TL </w:t>
            </w:r>
            <w:r>
              <w:rPr>
                <w:rFonts w:eastAsiaTheme="minorEastAsia"/>
                <w:bCs/>
                <w:color w:val="auto"/>
                <w:sz w:val="24"/>
              </w:rPr>
              <w:sym w:font="Symbol" w:char="F02B"/>
            </w:r>
            <w:r>
              <w:rPr>
                <w:rFonts w:eastAsiaTheme="minorEastAsia"/>
                <w:bCs/>
                <w:color w:val="auto"/>
                <w:sz w:val="24"/>
              </w:rPr>
              <w:t xml:space="preserve"> 6)</w:t>
            </w:r>
          </w:p>
          <w:p>
            <w:pPr>
              <w:widowControl/>
              <w:spacing w:line="360" w:lineRule="auto"/>
              <w:ind w:firstLine="480" w:firstLineChars="200"/>
              <w:jc w:val="center"/>
              <w:rPr>
                <w:rFonts w:eastAsiaTheme="minorEastAsia"/>
                <w:bCs/>
                <w:color w:val="auto"/>
                <w:sz w:val="24"/>
              </w:rPr>
            </w:pPr>
            <w:r>
              <w:rPr>
                <w:rFonts w:eastAsiaTheme="minorEastAsia"/>
                <w:bCs/>
                <w:color w:val="auto"/>
                <w:sz w:val="24"/>
              </w:rPr>
              <w:t xml:space="preserve">L </w:t>
            </w:r>
            <w:r>
              <w:rPr>
                <w:rFonts w:eastAsiaTheme="minorEastAsia"/>
                <w:bCs/>
                <w:color w:val="auto"/>
                <w:sz w:val="24"/>
                <w:vertAlign w:val="subscript"/>
              </w:rPr>
              <w:t>w</w:t>
            </w:r>
            <w:r>
              <w:rPr>
                <w:rFonts w:eastAsiaTheme="minorEastAsia"/>
                <w:bCs/>
                <w:color w:val="auto"/>
                <w:sz w:val="24"/>
              </w:rPr>
              <w:sym w:font="Symbol" w:char="F03D"/>
            </w:r>
            <w:r>
              <w:rPr>
                <w:rFonts w:eastAsiaTheme="minorEastAsia"/>
                <w:bCs/>
                <w:color w:val="auto"/>
                <w:sz w:val="24"/>
              </w:rPr>
              <w:t xml:space="preserve"> L</w:t>
            </w:r>
            <w:r>
              <w:rPr>
                <w:rFonts w:eastAsiaTheme="minorEastAsia"/>
                <w:bCs/>
                <w:color w:val="auto"/>
                <w:sz w:val="24"/>
                <w:vertAlign w:val="subscript"/>
              </w:rPr>
              <w:t>p2</w:t>
            </w:r>
            <w:r>
              <w:rPr>
                <w:rFonts w:eastAsiaTheme="minorEastAsia"/>
                <w:bCs/>
                <w:color w:val="auto"/>
                <w:sz w:val="24"/>
              </w:rPr>
              <w:sym w:font="Symbol" w:char="F02B"/>
            </w:r>
            <w:r>
              <w:rPr>
                <w:rFonts w:eastAsiaTheme="minorEastAsia"/>
                <w:bCs/>
                <w:color w:val="auto"/>
                <w:sz w:val="24"/>
              </w:rPr>
              <w:t>10lgS</w:t>
            </w:r>
          </w:p>
          <w:p>
            <w:pPr>
              <w:widowControl/>
              <w:spacing w:line="360" w:lineRule="auto"/>
              <w:ind w:firstLine="480" w:firstLineChars="200"/>
              <w:rPr>
                <w:rFonts w:eastAsiaTheme="minorEastAsia"/>
                <w:bCs/>
                <w:color w:val="auto"/>
                <w:sz w:val="24"/>
              </w:rPr>
            </w:pPr>
            <w:r>
              <w:rPr>
                <w:rFonts w:eastAsiaTheme="minorEastAsia"/>
                <w:bCs/>
                <w:color w:val="auto"/>
                <w:sz w:val="24"/>
              </w:rPr>
              <w:t>式中：L</w:t>
            </w:r>
            <w:r>
              <w:rPr>
                <w:rFonts w:eastAsiaTheme="minorEastAsia"/>
                <w:bCs/>
                <w:color w:val="auto"/>
                <w:sz w:val="24"/>
                <w:vertAlign w:val="subscript"/>
              </w:rPr>
              <w:t>p1</w:t>
            </w:r>
            <w:r>
              <w:rPr>
                <w:rFonts w:eastAsiaTheme="minorEastAsia"/>
                <w:bCs/>
                <w:color w:val="auto"/>
                <w:sz w:val="24"/>
              </w:rPr>
              <w:t>—室内靠近围护结构处产生的声压级， dB；</w:t>
            </w:r>
          </w:p>
          <w:p>
            <w:pPr>
              <w:widowControl/>
              <w:spacing w:line="360" w:lineRule="auto"/>
              <w:ind w:firstLine="1200" w:firstLineChars="500"/>
              <w:rPr>
                <w:rFonts w:eastAsiaTheme="minorEastAsia"/>
                <w:bCs/>
                <w:color w:val="auto"/>
                <w:sz w:val="24"/>
              </w:rPr>
            </w:pPr>
            <w:r>
              <w:rPr>
                <w:rFonts w:eastAsiaTheme="minorEastAsia"/>
                <w:bCs/>
                <w:color w:val="auto"/>
                <w:sz w:val="24"/>
              </w:rPr>
              <w:t>L</w:t>
            </w:r>
            <w:r>
              <w:rPr>
                <w:rFonts w:eastAsiaTheme="minorEastAsia"/>
                <w:bCs/>
                <w:color w:val="auto"/>
                <w:sz w:val="24"/>
                <w:vertAlign w:val="subscript"/>
              </w:rPr>
              <w:t>p2</w:t>
            </w:r>
            <w:r>
              <w:rPr>
                <w:rFonts w:eastAsiaTheme="minorEastAsia"/>
                <w:bCs/>
                <w:color w:val="auto"/>
                <w:sz w:val="24"/>
              </w:rPr>
              <w:t>—室外靠近维护结构处产生的声压级， dB；</w:t>
            </w:r>
          </w:p>
          <w:p>
            <w:pPr>
              <w:widowControl/>
              <w:spacing w:line="360" w:lineRule="auto"/>
              <w:ind w:firstLine="1200" w:firstLineChars="500"/>
              <w:rPr>
                <w:rFonts w:eastAsiaTheme="minorEastAsia"/>
                <w:bCs/>
                <w:color w:val="auto"/>
                <w:sz w:val="24"/>
              </w:rPr>
            </w:pPr>
            <w:r>
              <w:rPr>
                <w:rFonts w:eastAsiaTheme="minorEastAsia"/>
                <w:bCs/>
                <w:color w:val="auto"/>
                <w:sz w:val="24"/>
              </w:rPr>
              <w:t>L</w:t>
            </w:r>
            <w:r>
              <w:rPr>
                <w:rFonts w:eastAsiaTheme="minorEastAsia"/>
                <w:bCs/>
                <w:color w:val="auto"/>
                <w:sz w:val="24"/>
                <w:vertAlign w:val="subscript"/>
              </w:rPr>
              <w:t>w</w:t>
            </w:r>
            <w:r>
              <w:rPr>
                <w:rFonts w:eastAsiaTheme="minorEastAsia"/>
                <w:bCs/>
                <w:color w:val="auto"/>
                <w:sz w:val="24"/>
              </w:rPr>
              <w:t>—室外等效声源的声压级，dB；</w:t>
            </w:r>
          </w:p>
          <w:p>
            <w:pPr>
              <w:widowControl/>
              <w:spacing w:line="360" w:lineRule="auto"/>
              <w:ind w:firstLine="1200" w:firstLineChars="500"/>
              <w:rPr>
                <w:rFonts w:eastAsiaTheme="minorEastAsia"/>
                <w:bCs/>
                <w:color w:val="auto"/>
                <w:sz w:val="24"/>
              </w:rPr>
            </w:pPr>
            <w:r>
              <w:rPr>
                <w:rFonts w:eastAsiaTheme="minorEastAsia"/>
                <w:bCs/>
                <w:color w:val="auto"/>
                <w:sz w:val="24"/>
              </w:rPr>
              <w:t>TL—围护结构处的隔声量，dB；通常为10～25dB； S—透声面积， m</w:t>
            </w:r>
            <w:r>
              <w:rPr>
                <w:rFonts w:eastAsiaTheme="minorEastAsia"/>
                <w:bCs/>
                <w:color w:val="auto"/>
                <w:sz w:val="24"/>
                <w:vertAlign w:val="superscript"/>
              </w:rPr>
              <w:t>2</w:t>
            </w:r>
          </w:p>
          <w:p>
            <w:pPr>
              <w:widowControl/>
              <w:spacing w:line="360" w:lineRule="auto"/>
              <w:ind w:firstLine="480" w:firstLineChars="200"/>
              <w:jc w:val="left"/>
              <w:rPr>
                <w:rFonts w:eastAsiaTheme="minorEastAsia"/>
                <w:bCs/>
                <w:color w:val="auto"/>
                <w:sz w:val="24"/>
              </w:rPr>
            </w:pPr>
            <w:r>
              <w:rPr>
                <w:rFonts w:hint="eastAsia" w:ascii="宋体" w:hAnsi="宋体" w:cs="宋体"/>
                <w:bCs/>
                <w:color w:val="auto"/>
                <w:sz w:val="24"/>
              </w:rPr>
              <w:t>⑵</w:t>
            </w:r>
            <w:r>
              <w:rPr>
                <w:rFonts w:eastAsiaTheme="minorEastAsia"/>
                <w:bCs/>
                <w:color w:val="auto"/>
                <w:sz w:val="24"/>
              </w:rPr>
              <w:t>室外声源预测模式</w:t>
            </w:r>
          </w:p>
          <w:p>
            <w:pPr>
              <w:widowControl/>
              <w:spacing w:line="360" w:lineRule="auto"/>
              <w:ind w:firstLine="480" w:firstLineChars="200"/>
              <w:jc w:val="center"/>
              <w:rPr>
                <w:rFonts w:eastAsiaTheme="minorEastAsia"/>
                <w:bCs/>
                <w:color w:val="auto"/>
                <w:sz w:val="24"/>
              </w:rPr>
            </w:pPr>
            <w:r>
              <w:rPr>
                <w:rFonts w:eastAsiaTheme="minorEastAsia"/>
                <w:bCs/>
                <w:color w:val="auto"/>
                <w:sz w:val="24"/>
              </w:rPr>
              <w:t xml:space="preserve">Lp(r) </w:t>
            </w:r>
            <w:r>
              <w:rPr>
                <w:rFonts w:eastAsiaTheme="minorEastAsia"/>
                <w:bCs/>
                <w:color w:val="auto"/>
                <w:sz w:val="24"/>
              </w:rPr>
              <w:sym w:font="Symbol" w:char="F03D"/>
            </w:r>
            <w:r>
              <w:rPr>
                <w:rFonts w:eastAsiaTheme="minorEastAsia"/>
                <w:bCs/>
                <w:color w:val="auto"/>
                <w:sz w:val="24"/>
              </w:rPr>
              <w:t xml:space="preserve"> Lp(r0) </w:t>
            </w:r>
            <w:r>
              <w:rPr>
                <w:rFonts w:eastAsiaTheme="minorEastAsia"/>
                <w:bCs/>
                <w:color w:val="auto"/>
                <w:sz w:val="24"/>
              </w:rPr>
              <w:sym w:font="Symbol" w:char="F02D"/>
            </w:r>
            <w:r>
              <w:rPr>
                <w:rFonts w:eastAsiaTheme="minorEastAsia"/>
                <w:bCs/>
                <w:color w:val="auto"/>
                <w:sz w:val="24"/>
              </w:rPr>
              <w:t xml:space="preserve"> (Adiv </w:t>
            </w:r>
            <w:r>
              <w:rPr>
                <w:rFonts w:eastAsiaTheme="minorEastAsia"/>
                <w:bCs/>
                <w:color w:val="auto"/>
                <w:sz w:val="24"/>
              </w:rPr>
              <w:sym w:font="Symbol" w:char="F02B"/>
            </w:r>
            <w:r>
              <w:rPr>
                <w:rFonts w:eastAsiaTheme="minorEastAsia"/>
                <w:bCs/>
                <w:color w:val="auto"/>
                <w:sz w:val="24"/>
              </w:rPr>
              <w:t xml:space="preserve"> Aatm </w:t>
            </w:r>
            <w:r>
              <w:rPr>
                <w:rFonts w:eastAsiaTheme="minorEastAsia"/>
                <w:bCs/>
                <w:color w:val="auto"/>
                <w:sz w:val="24"/>
              </w:rPr>
              <w:sym w:font="Symbol" w:char="F02B"/>
            </w:r>
            <w:r>
              <w:rPr>
                <w:rFonts w:eastAsiaTheme="minorEastAsia"/>
                <w:bCs/>
                <w:color w:val="auto"/>
                <w:sz w:val="24"/>
              </w:rPr>
              <w:t xml:space="preserve"> Agr </w:t>
            </w:r>
            <w:r>
              <w:rPr>
                <w:rFonts w:eastAsiaTheme="minorEastAsia"/>
                <w:bCs/>
                <w:color w:val="auto"/>
                <w:sz w:val="24"/>
              </w:rPr>
              <w:sym w:font="Symbol" w:char="F02B"/>
            </w:r>
            <w:r>
              <w:rPr>
                <w:rFonts w:eastAsiaTheme="minorEastAsia"/>
                <w:bCs/>
                <w:color w:val="auto"/>
                <w:sz w:val="24"/>
              </w:rPr>
              <w:t xml:space="preserve"> Abar </w:t>
            </w:r>
            <w:r>
              <w:rPr>
                <w:rFonts w:eastAsiaTheme="minorEastAsia"/>
                <w:bCs/>
                <w:color w:val="auto"/>
                <w:sz w:val="24"/>
              </w:rPr>
              <w:sym w:font="Symbol" w:char="F02B"/>
            </w:r>
            <w:r>
              <w:rPr>
                <w:rFonts w:eastAsiaTheme="minorEastAsia"/>
                <w:bCs/>
                <w:color w:val="auto"/>
                <w:sz w:val="24"/>
              </w:rPr>
              <w:t xml:space="preserve"> Amisc)</w:t>
            </w:r>
          </w:p>
          <w:p>
            <w:pPr>
              <w:widowControl/>
              <w:spacing w:line="360" w:lineRule="auto"/>
              <w:ind w:firstLine="480" w:firstLineChars="200"/>
              <w:rPr>
                <w:rFonts w:eastAsiaTheme="minorEastAsia"/>
                <w:bCs/>
                <w:color w:val="auto"/>
                <w:sz w:val="24"/>
              </w:rPr>
            </w:pPr>
            <w:r>
              <w:rPr>
                <w:rFonts w:eastAsiaTheme="minorEastAsia"/>
                <w:bCs/>
                <w:color w:val="auto"/>
                <w:sz w:val="24"/>
              </w:rPr>
              <w:t>式中：L</w:t>
            </w:r>
            <w:r>
              <w:rPr>
                <w:rFonts w:eastAsiaTheme="minorEastAsia"/>
                <w:bCs/>
                <w:color w:val="auto"/>
                <w:sz w:val="24"/>
                <w:vertAlign w:val="subscript"/>
              </w:rPr>
              <w:t>p</w:t>
            </w:r>
            <w:r>
              <w:rPr>
                <w:rFonts w:eastAsiaTheme="minorEastAsia"/>
                <w:bCs/>
                <w:color w:val="auto"/>
                <w:sz w:val="24"/>
              </w:rPr>
              <w:t>(r)—点声源在预测点产生的倍频带声压级， dB</w:t>
            </w:r>
          </w:p>
          <w:p>
            <w:pPr>
              <w:widowControl/>
              <w:spacing w:line="360" w:lineRule="auto"/>
              <w:ind w:firstLine="1200" w:firstLineChars="500"/>
              <w:rPr>
                <w:rFonts w:eastAsiaTheme="minorEastAsia"/>
                <w:bCs/>
                <w:color w:val="auto"/>
                <w:sz w:val="24"/>
              </w:rPr>
            </w:pPr>
            <w:r>
              <w:rPr>
                <w:rFonts w:eastAsiaTheme="minorEastAsia"/>
                <w:bCs/>
                <w:color w:val="auto"/>
                <w:sz w:val="24"/>
              </w:rPr>
              <w:t>L</w:t>
            </w:r>
            <w:r>
              <w:rPr>
                <w:rFonts w:eastAsiaTheme="minorEastAsia"/>
                <w:bCs/>
                <w:color w:val="auto"/>
                <w:sz w:val="24"/>
                <w:vertAlign w:val="subscript"/>
              </w:rPr>
              <w:t>p</w:t>
            </w:r>
            <w:r>
              <w:rPr>
                <w:rFonts w:eastAsiaTheme="minorEastAsia"/>
                <w:bCs/>
                <w:color w:val="auto"/>
                <w:sz w:val="24"/>
              </w:rPr>
              <w:t>(r0)—参考位置r0处的倍频带声压级， dB</w:t>
            </w:r>
          </w:p>
          <w:p>
            <w:pPr>
              <w:widowControl/>
              <w:spacing w:line="360" w:lineRule="auto"/>
              <w:ind w:firstLine="1200" w:firstLineChars="500"/>
              <w:rPr>
                <w:rFonts w:eastAsiaTheme="minorEastAsia"/>
                <w:bCs/>
                <w:color w:val="auto"/>
                <w:sz w:val="24"/>
              </w:rPr>
            </w:pPr>
            <w:r>
              <w:rPr>
                <w:rFonts w:eastAsiaTheme="minorEastAsia"/>
                <w:bCs/>
                <w:color w:val="auto"/>
                <w:sz w:val="24"/>
              </w:rPr>
              <w:t>r—预测点距声源的距离，m</w:t>
            </w:r>
          </w:p>
          <w:p>
            <w:pPr>
              <w:widowControl/>
              <w:spacing w:line="360" w:lineRule="auto"/>
              <w:ind w:firstLine="1200" w:firstLineChars="500"/>
              <w:rPr>
                <w:rFonts w:eastAsiaTheme="minorEastAsia"/>
                <w:bCs/>
                <w:color w:val="auto"/>
                <w:sz w:val="24"/>
              </w:rPr>
            </w:pPr>
            <w:r>
              <w:rPr>
                <w:rFonts w:eastAsiaTheme="minorEastAsia"/>
                <w:bCs/>
                <w:color w:val="auto"/>
                <w:sz w:val="24"/>
              </w:rPr>
              <w:t>r</w:t>
            </w:r>
            <w:r>
              <w:rPr>
                <w:rFonts w:eastAsiaTheme="minorEastAsia"/>
                <w:bCs/>
                <w:color w:val="auto"/>
                <w:sz w:val="24"/>
                <w:vertAlign w:val="subscript"/>
              </w:rPr>
              <w:t>0</w:t>
            </w:r>
            <w:r>
              <w:rPr>
                <w:rFonts w:eastAsiaTheme="minorEastAsia"/>
                <w:bCs/>
                <w:color w:val="auto"/>
                <w:sz w:val="24"/>
              </w:rPr>
              <w:t>—参考位置距声源的距离，m</w:t>
            </w:r>
          </w:p>
          <w:p>
            <w:pPr>
              <w:widowControl/>
              <w:spacing w:line="360" w:lineRule="auto"/>
              <w:ind w:firstLine="1200" w:firstLineChars="500"/>
              <w:rPr>
                <w:rFonts w:eastAsiaTheme="minorEastAsia"/>
                <w:bCs/>
                <w:color w:val="auto"/>
                <w:sz w:val="24"/>
              </w:rPr>
            </w:pPr>
            <w:r>
              <w:rPr>
                <w:rFonts w:eastAsiaTheme="minorEastAsia"/>
                <w:bCs/>
                <w:color w:val="auto"/>
                <w:sz w:val="24"/>
              </w:rPr>
              <w:t>A</w:t>
            </w:r>
            <w:r>
              <w:rPr>
                <w:rFonts w:eastAsiaTheme="minorEastAsia"/>
                <w:bCs/>
                <w:color w:val="auto"/>
                <w:sz w:val="24"/>
                <w:vertAlign w:val="subscript"/>
              </w:rPr>
              <w:t>div</w:t>
            </w:r>
            <w:r>
              <w:rPr>
                <w:rFonts w:eastAsiaTheme="minorEastAsia"/>
                <w:bCs/>
                <w:color w:val="auto"/>
                <w:sz w:val="24"/>
              </w:rPr>
              <w:t>—几何发散引起的倍频带衰减，dB；对于点声源， Adiv=20Lg(r/r0)</w:t>
            </w:r>
          </w:p>
          <w:p>
            <w:pPr>
              <w:widowControl/>
              <w:spacing w:line="360" w:lineRule="auto"/>
              <w:ind w:firstLine="1200" w:firstLineChars="500"/>
              <w:rPr>
                <w:rFonts w:eastAsiaTheme="minorEastAsia"/>
                <w:bCs/>
                <w:color w:val="auto"/>
                <w:sz w:val="24"/>
              </w:rPr>
            </w:pPr>
            <w:r>
              <w:rPr>
                <w:rFonts w:eastAsiaTheme="minorEastAsia"/>
                <w:bCs/>
                <w:color w:val="auto"/>
                <w:sz w:val="24"/>
              </w:rPr>
              <w:t>A</w:t>
            </w:r>
            <w:r>
              <w:rPr>
                <w:rFonts w:eastAsiaTheme="minorEastAsia"/>
                <w:bCs/>
                <w:color w:val="auto"/>
                <w:sz w:val="24"/>
                <w:vertAlign w:val="subscript"/>
              </w:rPr>
              <w:t>atm</w:t>
            </w:r>
            <w:r>
              <w:rPr>
                <w:rFonts w:eastAsiaTheme="minorEastAsia"/>
                <w:bCs/>
                <w:color w:val="auto"/>
                <w:sz w:val="24"/>
              </w:rPr>
              <w:t>—大气吸收引起的倍频带衰减，dB，A</w:t>
            </w:r>
            <w:r>
              <w:rPr>
                <w:rFonts w:eastAsiaTheme="minorEastAsia"/>
                <w:bCs/>
                <w:color w:val="auto"/>
                <w:sz w:val="24"/>
                <w:vertAlign w:val="subscript"/>
              </w:rPr>
              <w:t>atm</w:t>
            </w:r>
            <w:r>
              <w:rPr>
                <w:rFonts w:eastAsiaTheme="minorEastAsia"/>
                <w:bCs/>
                <w:color w:val="auto"/>
                <w:sz w:val="24"/>
              </w:rPr>
              <w:t>=α(r－r0)/1000；本次忽略此衰减</w:t>
            </w:r>
          </w:p>
          <w:p>
            <w:pPr>
              <w:widowControl/>
              <w:spacing w:line="360" w:lineRule="auto"/>
              <w:ind w:firstLine="1200" w:firstLineChars="500"/>
              <w:rPr>
                <w:rFonts w:eastAsiaTheme="minorEastAsia"/>
                <w:bCs/>
                <w:color w:val="auto"/>
                <w:sz w:val="24"/>
              </w:rPr>
            </w:pPr>
            <w:r>
              <w:rPr>
                <w:rFonts w:eastAsiaTheme="minorEastAsia"/>
                <w:bCs/>
                <w:color w:val="auto"/>
                <w:sz w:val="24"/>
              </w:rPr>
              <w:t>A</w:t>
            </w:r>
            <w:r>
              <w:rPr>
                <w:rFonts w:eastAsiaTheme="minorEastAsia"/>
                <w:bCs/>
                <w:color w:val="auto"/>
                <w:sz w:val="24"/>
                <w:vertAlign w:val="subscript"/>
              </w:rPr>
              <w:t>gr</w:t>
            </w:r>
            <w:r>
              <w:rPr>
                <w:rFonts w:eastAsiaTheme="minorEastAsia"/>
                <w:bCs/>
                <w:color w:val="auto"/>
                <w:sz w:val="24"/>
              </w:rPr>
              <w:t>—地面效应引起的倍频带衰减，dB；本评价忽略此衰减</w:t>
            </w:r>
          </w:p>
          <w:p>
            <w:pPr>
              <w:widowControl/>
              <w:spacing w:line="360" w:lineRule="auto"/>
              <w:ind w:firstLine="1200" w:firstLineChars="500"/>
              <w:rPr>
                <w:rFonts w:eastAsiaTheme="minorEastAsia"/>
                <w:bCs/>
                <w:color w:val="auto"/>
                <w:sz w:val="24"/>
              </w:rPr>
            </w:pPr>
            <w:r>
              <w:rPr>
                <w:rFonts w:eastAsiaTheme="minorEastAsia"/>
                <w:bCs/>
                <w:color w:val="auto"/>
                <w:sz w:val="24"/>
              </w:rPr>
              <w:t>A</w:t>
            </w:r>
            <w:r>
              <w:rPr>
                <w:rFonts w:eastAsiaTheme="minorEastAsia"/>
                <w:bCs/>
                <w:color w:val="auto"/>
                <w:sz w:val="24"/>
                <w:vertAlign w:val="subscript"/>
              </w:rPr>
              <w:t>bar</w:t>
            </w:r>
            <w:r>
              <w:rPr>
                <w:rFonts w:eastAsiaTheme="minorEastAsia"/>
                <w:bCs/>
                <w:color w:val="auto"/>
                <w:sz w:val="24"/>
              </w:rPr>
              <w:t>—声屏障引起的倍频带衰减，dB；本评价没有声屏障，不考虑此衰减</w:t>
            </w:r>
          </w:p>
          <w:p>
            <w:pPr>
              <w:widowControl/>
              <w:spacing w:line="360" w:lineRule="auto"/>
              <w:ind w:firstLine="1200" w:firstLineChars="500"/>
              <w:rPr>
                <w:rFonts w:eastAsiaTheme="minorEastAsia"/>
                <w:bCs/>
                <w:color w:val="auto"/>
                <w:sz w:val="24"/>
              </w:rPr>
            </w:pPr>
            <w:r>
              <w:rPr>
                <w:rFonts w:eastAsiaTheme="minorEastAsia"/>
                <w:bCs/>
                <w:color w:val="auto"/>
                <w:sz w:val="24"/>
              </w:rPr>
              <w:t>A</w:t>
            </w:r>
            <w:r>
              <w:rPr>
                <w:rFonts w:eastAsiaTheme="minorEastAsia"/>
                <w:bCs/>
                <w:color w:val="auto"/>
                <w:sz w:val="24"/>
                <w:vertAlign w:val="subscript"/>
              </w:rPr>
              <w:t>misc</w:t>
            </w:r>
            <w:r>
              <w:rPr>
                <w:rFonts w:eastAsiaTheme="minorEastAsia"/>
                <w:bCs/>
                <w:color w:val="auto"/>
                <w:sz w:val="24"/>
              </w:rPr>
              <w:t>—其他多方面效应引起的倍频带衰减，dB；本评价只考虑其它厂房、围墙阻挡衰减</w:t>
            </w:r>
          </w:p>
          <w:p>
            <w:pPr>
              <w:widowControl/>
              <w:adjustRightInd w:val="0"/>
              <w:snapToGrid w:val="0"/>
              <w:spacing w:line="360" w:lineRule="auto"/>
              <w:ind w:firstLine="480" w:firstLineChars="200"/>
              <w:rPr>
                <w:rFonts w:eastAsiaTheme="minorEastAsia"/>
                <w:bCs/>
                <w:color w:val="auto"/>
                <w:sz w:val="24"/>
              </w:rPr>
            </w:pPr>
            <w:r>
              <w:rPr>
                <w:rFonts w:hint="eastAsia" w:ascii="宋体" w:hAnsi="宋体" w:cs="宋体"/>
                <w:bCs/>
                <w:color w:val="auto"/>
                <w:sz w:val="24"/>
              </w:rPr>
              <w:t>⑶</w:t>
            </w:r>
            <w:r>
              <w:rPr>
                <w:rFonts w:eastAsiaTheme="minorEastAsia"/>
                <w:bCs/>
                <w:color w:val="auto"/>
                <w:sz w:val="24"/>
              </w:rPr>
              <w:t>多源叠加计算总声压级</w:t>
            </w:r>
          </w:p>
          <w:p>
            <w:pPr>
              <w:widowControl/>
              <w:adjustRightInd w:val="0"/>
              <w:snapToGrid w:val="0"/>
              <w:spacing w:line="360" w:lineRule="auto"/>
              <w:ind w:firstLine="480" w:firstLineChars="200"/>
              <w:rPr>
                <w:rFonts w:eastAsiaTheme="minorEastAsia"/>
                <w:bCs/>
                <w:color w:val="auto"/>
                <w:sz w:val="24"/>
              </w:rPr>
            </w:pPr>
            <w:r>
              <w:rPr>
                <w:rFonts w:eastAsiaTheme="minorEastAsia"/>
                <w:bCs/>
                <w:color w:val="auto"/>
                <w:sz w:val="24"/>
              </w:rPr>
              <w:t>各受源点上受多个声源共同影响的贡献值计算公式如下：</w:t>
            </w:r>
          </w:p>
          <w:p>
            <w:pPr>
              <w:widowControl/>
              <w:adjustRightInd w:val="0"/>
              <w:snapToGrid w:val="0"/>
              <w:spacing w:line="360" w:lineRule="auto"/>
              <w:ind w:firstLine="480" w:firstLineChars="200"/>
              <w:rPr>
                <w:rFonts w:eastAsiaTheme="minorEastAsia"/>
                <w:bCs/>
                <w:color w:val="auto"/>
                <w:sz w:val="24"/>
              </w:rPr>
            </w:pPr>
          </w:p>
          <w:p>
            <w:pPr>
              <w:widowControl/>
              <w:spacing w:line="360" w:lineRule="auto"/>
              <w:ind w:firstLine="480" w:firstLineChars="200"/>
              <w:jc w:val="center"/>
              <w:rPr>
                <w:rFonts w:eastAsiaTheme="minorEastAsia"/>
                <w:bCs/>
                <w:color w:val="auto"/>
                <w:sz w:val="24"/>
              </w:rPr>
            </w:pPr>
            <w:r>
              <w:rPr>
                <w:rFonts w:eastAsiaTheme="minorEastAsia"/>
                <w:bCs/>
                <w:color w:val="auto"/>
                <w:sz w:val="24"/>
              </w:rPr>
              <w:drawing>
                <wp:inline distT="0" distB="0" distL="0" distR="0">
                  <wp:extent cx="1943100" cy="466725"/>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7" cstate="print"/>
                          <a:srcRect/>
                          <a:stretch>
                            <a:fillRect/>
                          </a:stretch>
                        </pic:blipFill>
                        <pic:spPr>
                          <a:xfrm>
                            <a:off x="0" y="0"/>
                            <a:ext cx="1943100" cy="466725"/>
                          </a:xfrm>
                          <a:prstGeom prst="rect">
                            <a:avLst/>
                          </a:prstGeom>
                          <a:noFill/>
                          <a:ln w="9525">
                            <a:noFill/>
                            <a:miter lim="800000"/>
                            <a:headEnd/>
                            <a:tailEnd/>
                          </a:ln>
                        </pic:spPr>
                      </pic:pic>
                    </a:graphicData>
                  </a:graphic>
                </wp:inline>
              </w:drawing>
            </w:r>
          </w:p>
          <w:p>
            <w:pPr>
              <w:widowControl/>
              <w:spacing w:line="360" w:lineRule="auto"/>
              <w:ind w:firstLine="480" w:firstLineChars="200"/>
              <w:jc w:val="center"/>
              <w:rPr>
                <w:rFonts w:eastAsiaTheme="minorEastAsia"/>
                <w:bCs/>
                <w:color w:val="auto"/>
                <w:sz w:val="24"/>
              </w:rPr>
            </w:pPr>
          </w:p>
          <w:p>
            <w:pPr>
              <w:pStyle w:val="168"/>
              <w:widowControl/>
              <w:numPr>
                <w:ilvl w:val="0"/>
                <w:numId w:val="2"/>
              </w:numPr>
              <w:spacing w:line="360" w:lineRule="auto"/>
              <w:ind w:firstLineChars="0"/>
              <w:rPr>
                <w:rFonts w:eastAsiaTheme="minorEastAsia"/>
                <w:bCs/>
                <w:color w:val="auto"/>
                <w:sz w:val="24"/>
              </w:rPr>
            </w:pPr>
            <w:r>
              <w:rPr>
                <w:rFonts w:eastAsiaTheme="minorEastAsia"/>
                <w:bCs/>
                <w:color w:val="auto"/>
                <w:sz w:val="24"/>
              </w:rPr>
              <w:t>噪声环境影响预测及分析</w:t>
            </w:r>
          </w:p>
          <w:p>
            <w:pPr>
              <w:widowControl/>
              <w:spacing w:line="360" w:lineRule="auto"/>
              <w:ind w:firstLine="480" w:firstLineChars="200"/>
              <w:rPr>
                <w:rFonts w:eastAsiaTheme="minorEastAsia"/>
                <w:color w:val="auto"/>
                <w:kern w:val="0"/>
                <w:sz w:val="24"/>
              </w:rPr>
            </w:pPr>
            <w:r>
              <w:rPr>
                <w:rFonts w:eastAsiaTheme="minorEastAsia"/>
                <w:bCs/>
                <w:color w:val="auto"/>
                <w:sz w:val="24"/>
              </w:rPr>
              <w:t>根据《环境影响评价技术导则-声环境》（HJ2.4-2009），进行边界噪声评价时，本项目以新建工程噪声贡献值作为评价量，以项目运营后各主要声源经基础防震、减震的措施治理后的合成声功率级作为预测的源强。</w:t>
            </w:r>
            <w:r>
              <w:rPr>
                <w:rFonts w:eastAsiaTheme="minorEastAsia"/>
                <w:color w:val="auto"/>
                <w:sz w:val="24"/>
              </w:rPr>
              <w:t>采用EIAN20噪声预测软件进行预测计算，对污水厂营运期昼间及夜间的厂界噪声进行预测评价，预测结果见表64</w:t>
            </w:r>
            <w:r>
              <w:rPr>
                <w:rFonts w:eastAsiaTheme="minorEastAsia"/>
                <w:color w:val="auto"/>
                <w:kern w:val="0"/>
                <w:sz w:val="24"/>
              </w:rPr>
              <w:t>。</w:t>
            </w:r>
          </w:p>
          <w:p>
            <w:pPr>
              <w:adjustRightInd w:val="0"/>
              <w:snapToGrid w:val="0"/>
              <w:spacing w:line="360" w:lineRule="auto"/>
              <w:ind w:firstLine="482" w:firstLineChars="200"/>
              <w:jc w:val="center"/>
              <w:rPr>
                <w:rFonts w:eastAsiaTheme="minorEastAsia"/>
                <w:b/>
                <w:bCs/>
                <w:color w:val="auto"/>
                <w:sz w:val="24"/>
              </w:rPr>
            </w:pPr>
            <w:r>
              <w:rPr>
                <w:rFonts w:eastAsiaTheme="minorEastAsia"/>
                <w:b/>
                <w:bCs/>
                <w:color w:val="auto"/>
                <w:sz w:val="24"/>
              </w:rPr>
              <w:t>表64厂界噪声预测结果单位：dB(A)</w:t>
            </w:r>
          </w:p>
          <w:tbl>
            <w:tblPr>
              <w:tblStyle w:val="38"/>
              <w:tblW w:w="8623"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51"/>
              <w:gridCol w:w="1051"/>
              <w:gridCol w:w="1288"/>
              <w:gridCol w:w="1578"/>
              <w:gridCol w:w="1302"/>
              <w:gridCol w:w="2153"/>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51" w:type="dxa"/>
                  <w:vAlign w:val="center"/>
                </w:tcPr>
                <w:p>
                  <w:pPr>
                    <w:adjustRightInd w:val="0"/>
                    <w:snapToGrid w:val="0"/>
                    <w:jc w:val="center"/>
                    <w:rPr>
                      <w:rFonts w:eastAsiaTheme="minorEastAsia"/>
                      <w:bCs/>
                      <w:color w:val="auto"/>
                      <w:szCs w:val="21"/>
                    </w:rPr>
                  </w:pPr>
                  <w:r>
                    <w:rPr>
                      <w:rFonts w:eastAsiaTheme="minorEastAsia"/>
                      <w:bCs/>
                      <w:color w:val="auto"/>
                    </w:rPr>
                    <w:drawing>
                      <wp:anchor distT="0" distB="0" distL="114300" distR="114300" simplePos="0" relativeHeight="251659264" behindDoc="1" locked="0" layoutInCell="1" allowOverlap="1">
                        <wp:simplePos x="0" y="0"/>
                        <wp:positionH relativeFrom="column">
                          <wp:posOffset>8890</wp:posOffset>
                        </wp:positionH>
                        <wp:positionV relativeFrom="paragraph">
                          <wp:posOffset>4445</wp:posOffset>
                        </wp:positionV>
                        <wp:extent cx="685800" cy="333375"/>
                        <wp:effectExtent l="19050" t="0" r="0" b="0"/>
                        <wp:wrapNone/>
                        <wp:docPr id="4631" name="图片 4580" descr="C:\Users\lenovo\AppData\Local\Temp\ksohtml\wpsA9E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 name="图片 4580" descr="C:\Users\lenovo\AppData\Local\Temp\ksohtml\wpsA9E6.tmp.png"/>
                                <pic:cNvPicPr>
                                  <a:picLocks noChangeAspect="1" noChangeArrowheads="1"/>
                                </pic:cNvPicPr>
                              </pic:nvPicPr>
                              <pic:blipFill>
                                <a:blip r:embed="rId28" r:link="rId29" cstate="print"/>
                                <a:srcRect/>
                                <a:stretch>
                                  <a:fillRect/>
                                </a:stretch>
                              </pic:blipFill>
                              <pic:spPr>
                                <a:xfrm>
                                  <a:off x="0" y="0"/>
                                  <a:ext cx="685800" cy="333375"/>
                                </a:xfrm>
                                <a:prstGeom prst="rect">
                                  <a:avLst/>
                                </a:prstGeom>
                                <a:noFill/>
                                <a:ln w="9525">
                                  <a:noFill/>
                                  <a:miter lim="800000"/>
                                  <a:headEnd/>
                                  <a:tailEnd/>
                                </a:ln>
                              </pic:spPr>
                            </pic:pic>
                          </a:graphicData>
                        </a:graphic>
                      </wp:anchor>
                    </w:drawing>
                  </w:r>
                  <w:r>
                    <w:rPr>
                      <w:rFonts w:eastAsiaTheme="minorEastAsia"/>
                      <w:bCs/>
                      <w:color w:val="auto"/>
                    </w:rPr>
                    <w:t>项目</w:t>
                  </w:r>
                </w:p>
                <w:p>
                  <w:pPr>
                    <w:adjustRightInd w:val="0"/>
                    <w:snapToGrid w:val="0"/>
                    <w:rPr>
                      <w:rFonts w:eastAsiaTheme="minorEastAsia"/>
                      <w:bCs/>
                      <w:color w:val="auto"/>
                      <w:szCs w:val="21"/>
                    </w:rPr>
                  </w:pPr>
                  <w:r>
                    <w:rPr>
                      <w:rFonts w:eastAsiaTheme="minorEastAsia"/>
                      <w:bCs/>
                      <w:color w:val="auto"/>
                    </w:rPr>
                    <w:t>点位</w:t>
                  </w:r>
                </w:p>
              </w:tc>
              <w:tc>
                <w:tcPr>
                  <w:tcW w:w="1051" w:type="dxa"/>
                  <w:vAlign w:val="center"/>
                </w:tcPr>
                <w:p>
                  <w:pPr>
                    <w:adjustRightInd w:val="0"/>
                    <w:snapToGrid w:val="0"/>
                    <w:jc w:val="center"/>
                    <w:rPr>
                      <w:rFonts w:eastAsiaTheme="minorEastAsia"/>
                      <w:bCs/>
                      <w:color w:val="auto"/>
                      <w:szCs w:val="21"/>
                    </w:rPr>
                  </w:pPr>
                  <w:r>
                    <w:rPr>
                      <w:rFonts w:eastAsiaTheme="minorEastAsia"/>
                      <w:bCs/>
                      <w:color w:val="auto"/>
                    </w:rPr>
                    <w:t>时间</w:t>
                  </w:r>
                </w:p>
              </w:tc>
              <w:tc>
                <w:tcPr>
                  <w:tcW w:w="1288" w:type="dxa"/>
                  <w:vAlign w:val="center"/>
                </w:tcPr>
                <w:p>
                  <w:pPr>
                    <w:adjustRightInd w:val="0"/>
                    <w:snapToGrid w:val="0"/>
                    <w:jc w:val="center"/>
                    <w:rPr>
                      <w:rFonts w:eastAsiaTheme="minorEastAsia"/>
                      <w:bCs/>
                      <w:color w:val="auto"/>
                      <w:szCs w:val="21"/>
                    </w:rPr>
                  </w:pPr>
                  <w:r>
                    <w:rPr>
                      <w:rFonts w:eastAsiaTheme="minorEastAsia"/>
                      <w:bCs/>
                      <w:color w:val="auto"/>
                    </w:rPr>
                    <w:t>现状值</w:t>
                  </w:r>
                </w:p>
              </w:tc>
              <w:tc>
                <w:tcPr>
                  <w:tcW w:w="1578" w:type="dxa"/>
                  <w:vAlign w:val="center"/>
                </w:tcPr>
                <w:p>
                  <w:pPr>
                    <w:adjustRightInd w:val="0"/>
                    <w:snapToGrid w:val="0"/>
                    <w:jc w:val="center"/>
                    <w:rPr>
                      <w:rFonts w:eastAsiaTheme="minorEastAsia"/>
                      <w:bCs/>
                      <w:color w:val="auto"/>
                      <w:szCs w:val="21"/>
                    </w:rPr>
                  </w:pPr>
                  <w:r>
                    <w:rPr>
                      <w:rFonts w:eastAsiaTheme="minorEastAsia"/>
                      <w:bCs/>
                      <w:color w:val="auto"/>
                    </w:rPr>
                    <w:t>本项目贡献值</w:t>
                  </w:r>
                </w:p>
              </w:tc>
              <w:tc>
                <w:tcPr>
                  <w:tcW w:w="1302" w:type="dxa"/>
                  <w:vAlign w:val="center"/>
                </w:tcPr>
                <w:p>
                  <w:pPr>
                    <w:adjustRightInd w:val="0"/>
                    <w:snapToGrid w:val="0"/>
                    <w:jc w:val="center"/>
                    <w:rPr>
                      <w:rFonts w:eastAsiaTheme="minorEastAsia"/>
                      <w:bCs/>
                      <w:color w:val="auto"/>
                      <w:szCs w:val="21"/>
                    </w:rPr>
                  </w:pPr>
                  <w:r>
                    <w:rPr>
                      <w:rFonts w:eastAsiaTheme="minorEastAsia"/>
                      <w:bCs/>
                      <w:color w:val="auto"/>
                    </w:rPr>
                    <w:t>预测值</w:t>
                  </w:r>
                </w:p>
              </w:tc>
              <w:tc>
                <w:tcPr>
                  <w:tcW w:w="2153" w:type="dxa"/>
                  <w:vAlign w:val="center"/>
                </w:tcPr>
                <w:p>
                  <w:pPr>
                    <w:adjustRightInd w:val="0"/>
                    <w:snapToGrid w:val="0"/>
                    <w:jc w:val="center"/>
                    <w:rPr>
                      <w:rFonts w:eastAsiaTheme="minorEastAsia"/>
                      <w:bCs/>
                      <w:color w:val="auto"/>
                      <w:szCs w:val="21"/>
                    </w:rPr>
                  </w:pPr>
                  <w:r>
                    <w:rPr>
                      <w:rFonts w:eastAsiaTheme="minorEastAsia"/>
                      <w:bCs/>
                      <w:color w:val="auto"/>
                    </w:rPr>
                    <w:t>执行标准</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51" w:type="dxa"/>
                  <w:vMerge w:val="restart"/>
                  <w:vAlign w:val="center"/>
                </w:tcPr>
                <w:p>
                  <w:pPr>
                    <w:adjustRightInd w:val="0"/>
                    <w:snapToGrid w:val="0"/>
                    <w:jc w:val="center"/>
                    <w:rPr>
                      <w:rFonts w:eastAsiaTheme="minorEastAsia"/>
                      <w:color w:val="auto"/>
                      <w:szCs w:val="21"/>
                    </w:rPr>
                  </w:pPr>
                  <w:r>
                    <w:rPr>
                      <w:rFonts w:eastAsiaTheme="minorEastAsia"/>
                      <w:color w:val="auto"/>
                    </w:rPr>
                    <w:t>东厂界</w:t>
                  </w:r>
                </w:p>
              </w:tc>
              <w:tc>
                <w:tcPr>
                  <w:tcW w:w="1051" w:type="dxa"/>
                  <w:vAlign w:val="center"/>
                </w:tcPr>
                <w:p>
                  <w:pPr>
                    <w:adjustRightInd w:val="0"/>
                    <w:snapToGrid w:val="0"/>
                    <w:jc w:val="center"/>
                    <w:rPr>
                      <w:rFonts w:eastAsiaTheme="minorEastAsia"/>
                      <w:color w:val="auto"/>
                      <w:szCs w:val="21"/>
                    </w:rPr>
                  </w:pPr>
                  <w:r>
                    <w:rPr>
                      <w:rFonts w:eastAsiaTheme="minorEastAsia"/>
                      <w:color w:val="auto"/>
                    </w:rPr>
                    <w:t>昼间</w:t>
                  </w:r>
                </w:p>
              </w:tc>
              <w:tc>
                <w:tcPr>
                  <w:tcW w:w="1288" w:type="dxa"/>
                  <w:vAlign w:val="center"/>
                </w:tcPr>
                <w:p>
                  <w:pPr>
                    <w:adjustRightInd w:val="0"/>
                    <w:snapToGrid w:val="0"/>
                    <w:jc w:val="center"/>
                    <w:rPr>
                      <w:rFonts w:eastAsiaTheme="minorEastAsia"/>
                      <w:color w:val="auto"/>
                      <w:szCs w:val="21"/>
                    </w:rPr>
                  </w:pPr>
                  <w:r>
                    <w:rPr>
                      <w:rFonts w:eastAsiaTheme="minorEastAsia"/>
                      <w:color w:val="auto"/>
                      <w:szCs w:val="21"/>
                    </w:rPr>
                    <w:t>49.6</w:t>
                  </w:r>
                </w:p>
              </w:tc>
              <w:tc>
                <w:tcPr>
                  <w:tcW w:w="1578" w:type="dxa"/>
                  <w:vAlign w:val="center"/>
                </w:tcPr>
                <w:p>
                  <w:pPr>
                    <w:adjustRightInd w:val="0"/>
                    <w:snapToGrid w:val="0"/>
                    <w:jc w:val="center"/>
                    <w:rPr>
                      <w:rFonts w:eastAsiaTheme="minorEastAsia"/>
                      <w:color w:val="auto"/>
                      <w:szCs w:val="21"/>
                    </w:rPr>
                  </w:pPr>
                  <w:r>
                    <w:rPr>
                      <w:rFonts w:eastAsiaTheme="minorEastAsia"/>
                      <w:color w:val="auto"/>
                      <w:szCs w:val="21"/>
                    </w:rPr>
                    <w:t>28.33</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49.63</w:t>
                  </w:r>
                </w:p>
              </w:tc>
              <w:tc>
                <w:tcPr>
                  <w:tcW w:w="2153" w:type="dxa"/>
                  <w:vMerge w:val="restart"/>
                  <w:vAlign w:val="center"/>
                </w:tcPr>
                <w:p>
                  <w:pPr>
                    <w:adjustRightInd w:val="0"/>
                    <w:snapToGrid w:val="0"/>
                    <w:ind w:left="315" w:leftChars="100" w:hanging="105" w:hangingChars="50"/>
                    <w:rPr>
                      <w:rFonts w:eastAsiaTheme="minorEastAsia"/>
                      <w:color w:val="auto"/>
                      <w:szCs w:val="21"/>
                    </w:rPr>
                  </w:pPr>
                  <w:r>
                    <w:rPr>
                      <w:rFonts w:eastAsiaTheme="minorEastAsia"/>
                      <w:color w:val="auto"/>
                      <w:szCs w:val="21"/>
                    </w:rPr>
                    <w:t>（GB12348-2008）中2类标准</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51" w:type="dxa"/>
                  <w:vMerge w:val="continue"/>
                  <w:vAlign w:val="center"/>
                </w:tcPr>
                <w:p>
                  <w:pPr>
                    <w:widowControl/>
                    <w:jc w:val="left"/>
                    <w:rPr>
                      <w:rFonts w:eastAsiaTheme="minorEastAsia"/>
                      <w:color w:val="auto"/>
                      <w:szCs w:val="21"/>
                    </w:rPr>
                  </w:pPr>
                </w:p>
              </w:tc>
              <w:tc>
                <w:tcPr>
                  <w:tcW w:w="1051" w:type="dxa"/>
                  <w:vAlign w:val="center"/>
                </w:tcPr>
                <w:p>
                  <w:pPr>
                    <w:adjustRightInd w:val="0"/>
                    <w:snapToGrid w:val="0"/>
                    <w:jc w:val="center"/>
                    <w:rPr>
                      <w:rFonts w:eastAsiaTheme="minorEastAsia"/>
                      <w:color w:val="auto"/>
                      <w:szCs w:val="21"/>
                    </w:rPr>
                  </w:pPr>
                  <w:r>
                    <w:rPr>
                      <w:rFonts w:eastAsiaTheme="minorEastAsia"/>
                      <w:color w:val="auto"/>
                    </w:rPr>
                    <w:t>夜间</w:t>
                  </w:r>
                </w:p>
              </w:tc>
              <w:tc>
                <w:tcPr>
                  <w:tcW w:w="1288" w:type="dxa"/>
                  <w:vAlign w:val="center"/>
                </w:tcPr>
                <w:p>
                  <w:pPr>
                    <w:adjustRightInd w:val="0"/>
                    <w:snapToGrid w:val="0"/>
                    <w:jc w:val="center"/>
                    <w:rPr>
                      <w:rFonts w:eastAsiaTheme="minorEastAsia"/>
                      <w:color w:val="auto"/>
                      <w:szCs w:val="21"/>
                    </w:rPr>
                  </w:pPr>
                  <w:r>
                    <w:rPr>
                      <w:rFonts w:eastAsiaTheme="minorEastAsia"/>
                      <w:color w:val="auto"/>
                      <w:szCs w:val="21"/>
                    </w:rPr>
                    <w:t>41.3</w:t>
                  </w:r>
                </w:p>
              </w:tc>
              <w:tc>
                <w:tcPr>
                  <w:tcW w:w="1578" w:type="dxa"/>
                  <w:vAlign w:val="center"/>
                </w:tcPr>
                <w:p>
                  <w:pPr>
                    <w:adjustRightInd w:val="0"/>
                    <w:snapToGrid w:val="0"/>
                    <w:jc w:val="center"/>
                    <w:rPr>
                      <w:rFonts w:eastAsiaTheme="minorEastAsia"/>
                      <w:color w:val="auto"/>
                      <w:szCs w:val="21"/>
                    </w:rPr>
                  </w:pPr>
                  <w:r>
                    <w:rPr>
                      <w:rFonts w:eastAsiaTheme="minorEastAsia"/>
                      <w:color w:val="auto"/>
                      <w:szCs w:val="21"/>
                    </w:rPr>
                    <w:t>28.33</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41.51</w:t>
                  </w:r>
                </w:p>
              </w:tc>
              <w:tc>
                <w:tcPr>
                  <w:tcW w:w="2153" w:type="dxa"/>
                  <w:vMerge w:val="continue"/>
                  <w:vAlign w:val="center"/>
                </w:tcPr>
                <w:p>
                  <w:pPr>
                    <w:jc w:val="center"/>
                    <w:rPr>
                      <w:rFonts w:eastAsiaTheme="min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51" w:type="dxa"/>
                  <w:vMerge w:val="restart"/>
                  <w:vAlign w:val="center"/>
                </w:tcPr>
                <w:p>
                  <w:pPr>
                    <w:adjustRightInd w:val="0"/>
                    <w:snapToGrid w:val="0"/>
                    <w:jc w:val="center"/>
                    <w:rPr>
                      <w:rFonts w:eastAsiaTheme="minorEastAsia"/>
                      <w:color w:val="auto"/>
                      <w:szCs w:val="21"/>
                    </w:rPr>
                  </w:pPr>
                  <w:r>
                    <w:rPr>
                      <w:rFonts w:eastAsiaTheme="minorEastAsia"/>
                      <w:color w:val="auto"/>
                    </w:rPr>
                    <w:t>南厂界</w:t>
                  </w:r>
                </w:p>
              </w:tc>
              <w:tc>
                <w:tcPr>
                  <w:tcW w:w="1051" w:type="dxa"/>
                  <w:vAlign w:val="center"/>
                </w:tcPr>
                <w:p>
                  <w:pPr>
                    <w:adjustRightInd w:val="0"/>
                    <w:snapToGrid w:val="0"/>
                    <w:jc w:val="center"/>
                    <w:rPr>
                      <w:rFonts w:eastAsiaTheme="minorEastAsia"/>
                      <w:color w:val="auto"/>
                      <w:szCs w:val="21"/>
                    </w:rPr>
                  </w:pPr>
                  <w:r>
                    <w:rPr>
                      <w:rFonts w:eastAsiaTheme="minorEastAsia"/>
                      <w:color w:val="auto"/>
                    </w:rPr>
                    <w:t>昼间</w:t>
                  </w:r>
                </w:p>
              </w:tc>
              <w:tc>
                <w:tcPr>
                  <w:tcW w:w="1288" w:type="dxa"/>
                  <w:vAlign w:val="center"/>
                </w:tcPr>
                <w:p>
                  <w:pPr>
                    <w:adjustRightInd w:val="0"/>
                    <w:snapToGrid w:val="0"/>
                    <w:jc w:val="center"/>
                    <w:rPr>
                      <w:rFonts w:eastAsiaTheme="minorEastAsia"/>
                      <w:color w:val="auto"/>
                      <w:szCs w:val="21"/>
                    </w:rPr>
                  </w:pPr>
                  <w:r>
                    <w:rPr>
                      <w:rFonts w:eastAsiaTheme="minorEastAsia"/>
                      <w:color w:val="auto"/>
                      <w:szCs w:val="21"/>
                    </w:rPr>
                    <w:t>50.3</w:t>
                  </w:r>
                </w:p>
              </w:tc>
              <w:tc>
                <w:tcPr>
                  <w:tcW w:w="1578" w:type="dxa"/>
                  <w:vAlign w:val="center"/>
                </w:tcPr>
                <w:p>
                  <w:pPr>
                    <w:adjustRightInd w:val="0"/>
                    <w:snapToGrid w:val="0"/>
                    <w:jc w:val="center"/>
                    <w:rPr>
                      <w:rFonts w:eastAsiaTheme="minorEastAsia"/>
                      <w:color w:val="auto"/>
                      <w:szCs w:val="21"/>
                    </w:rPr>
                  </w:pPr>
                  <w:r>
                    <w:rPr>
                      <w:rFonts w:eastAsiaTheme="minorEastAsia"/>
                      <w:color w:val="auto"/>
                      <w:szCs w:val="21"/>
                    </w:rPr>
                    <w:t>24.29</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50.31</w:t>
                  </w:r>
                </w:p>
              </w:tc>
              <w:tc>
                <w:tcPr>
                  <w:tcW w:w="2153" w:type="dxa"/>
                  <w:vMerge w:val="continue"/>
                  <w:vAlign w:val="center"/>
                </w:tcPr>
                <w:p>
                  <w:pPr>
                    <w:widowControl/>
                    <w:jc w:val="center"/>
                    <w:rPr>
                      <w:rFonts w:eastAsiaTheme="min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51" w:type="dxa"/>
                  <w:vMerge w:val="continue"/>
                  <w:vAlign w:val="center"/>
                </w:tcPr>
                <w:p>
                  <w:pPr>
                    <w:widowControl/>
                    <w:jc w:val="left"/>
                    <w:rPr>
                      <w:rFonts w:eastAsiaTheme="minorEastAsia"/>
                      <w:color w:val="auto"/>
                      <w:szCs w:val="21"/>
                    </w:rPr>
                  </w:pPr>
                </w:p>
              </w:tc>
              <w:tc>
                <w:tcPr>
                  <w:tcW w:w="1051" w:type="dxa"/>
                  <w:vAlign w:val="center"/>
                </w:tcPr>
                <w:p>
                  <w:pPr>
                    <w:adjustRightInd w:val="0"/>
                    <w:snapToGrid w:val="0"/>
                    <w:jc w:val="center"/>
                    <w:rPr>
                      <w:rFonts w:eastAsiaTheme="minorEastAsia"/>
                      <w:color w:val="auto"/>
                      <w:szCs w:val="21"/>
                    </w:rPr>
                  </w:pPr>
                  <w:r>
                    <w:rPr>
                      <w:rFonts w:eastAsiaTheme="minorEastAsia"/>
                      <w:color w:val="auto"/>
                    </w:rPr>
                    <w:t>夜间</w:t>
                  </w:r>
                </w:p>
              </w:tc>
              <w:tc>
                <w:tcPr>
                  <w:tcW w:w="1288" w:type="dxa"/>
                  <w:vAlign w:val="center"/>
                </w:tcPr>
                <w:p>
                  <w:pPr>
                    <w:adjustRightInd w:val="0"/>
                    <w:snapToGrid w:val="0"/>
                    <w:jc w:val="center"/>
                    <w:rPr>
                      <w:rFonts w:eastAsiaTheme="minorEastAsia"/>
                      <w:color w:val="auto"/>
                      <w:szCs w:val="21"/>
                    </w:rPr>
                  </w:pPr>
                  <w:r>
                    <w:rPr>
                      <w:rFonts w:eastAsiaTheme="minorEastAsia"/>
                      <w:color w:val="auto"/>
                      <w:szCs w:val="21"/>
                    </w:rPr>
                    <w:t>42.3</w:t>
                  </w:r>
                </w:p>
              </w:tc>
              <w:tc>
                <w:tcPr>
                  <w:tcW w:w="1578" w:type="dxa"/>
                  <w:vAlign w:val="center"/>
                </w:tcPr>
                <w:p>
                  <w:pPr>
                    <w:adjustRightInd w:val="0"/>
                    <w:snapToGrid w:val="0"/>
                    <w:jc w:val="center"/>
                    <w:rPr>
                      <w:rFonts w:eastAsiaTheme="minorEastAsia"/>
                      <w:color w:val="auto"/>
                      <w:szCs w:val="21"/>
                    </w:rPr>
                  </w:pPr>
                  <w:r>
                    <w:rPr>
                      <w:rFonts w:eastAsiaTheme="minorEastAsia"/>
                      <w:color w:val="auto"/>
                      <w:szCs w:val="21"/>
                    </w:rPr>
                    <w:t>24.29</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42.37</w:t>
                  </w:r>
                </w:p>
              </w:tc>
              <w:tc>
                <w:tcPr>
                  <w:tcW w:w="2153" w:type="dxa"/>
                  <w:vMerge w:val="continue"/>
                  <w:vAlign w:val="center"/>
                </w:tcPr>
                <w:p>
                  <w:pPr>
                    <w:widowControl/>
                    <w:jc w:val="left"/>
                    <w:rPr>
                      <w:rFonts w:eastAsiaTheme="min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51" w:type="dxa"/>
                  <w:vMerge w:val="restart"/>
                  <w:vAlign w:val="center"/>
                </w:tcPr>
                <w:p>
                  <w:pPr>
                    <w:adjustRightInd w:val="0"/>
                    <w:snapToGrid w:val="0"/>
                    <w:jc w:val="center"/>
                    <w:rPr>
                      <w:rFonts w:eastAsiaTheme="minorEastAsia"/>
                      <w:color w:val="auto"/>
                      <w:szCs w:val="21"/>
                    </w:rPr>
                  </w:pPr>
                  <w:r>
                    <w:rPr>
                      <w:rFonts w:eastAsiaTheme="minorEastAsia"/>
                      <w:color w:val="auto"/>
                    </w:rPr>
                    <w:t>西厂界</w:t>
                  </w:r>
                </w:p>
              </w:tc>
              <w:tc>
                <w:tcPr>
                  <w:tcW w:w="1051" w:type="dxa"/>
                  <w:vAlign w:val="center"/>
                </w:tcPr>
                <w:p>
                  <w:pPr>
                    <w:adjustRightInd w:val="0"/>
                    <w:snapToGrid w:val="0"/>
                    <w:jc w:val="center"/>
                    <w:rPr>
                      <w:rFonts w:eastAsiaTheme="minorEastAsia"/>
                      <w:color w:val="auto"/>
                      <w:szCs w:val="21"/>
                    </w:rPr>
                  </w:pPr>
                  <w:r>
                    <w:rPr>
                      <w:rFonts w:eastAsiaTheme="minorEastAsia"/>
                      <w:color w:val="auto"/>
                    </w:rPr>
                    <w:t>昼间</w:t>
                  </w:r>
                </w:p>
              </w:tc>
              <w:tc>
                <w:tcPr>
                  <w:tcW w:w="1288" w:type="dxa"/>
                  <w:vAlign w:val="center"/>
                </w:tcPr>
                <w:p>
                  <w:pPr>
                    <w:adjustRightInd w:val="0"/>
                    <w:snapToGrid w:val="0"/>
                    <w:jc w:val="center"/>
                    <w:rPr>
                      <w:rFonts w:eastAsiaTheme="minorEastAsia"/>
                      <w:color w:val="auto"/>
                      <w:szCs w:val="21"/>
                    </w:rPr>
                  </w:pPr>
                  <w:r>
                    <w:rPr>
                      <w:rFonts w:eastAsiaTheme="minorEastAsia"/>
                      <w:color w:val="auto"/>
                      <w:szCs w:val="21"/>
                    </w:rPr>
                    <w:t>50.4</w:t>
                  </w:r>
                </w:p>
              </w:tc>
              <w:tc>
                <w:tcPr>
                  <w:tcW w:w="1578" w:type="dxa"/>
                  <w:vAlign w:val="center"/>
                </w:tcPr>
                <w:p>
                  <w:pPr>
                    <w:adjustRightInd w:val="0"/>
                    <w:snapToGrid w:val="0"/>
                    <w:jc w:val="center"/>
                    <w:rPr>
                      <w:rFonts w:eastAsiaTheme="minorEastAsia"/>
                      <w:color w:val="auto"/>
                      <w:szCs w:val="21"/>
                    </w:rPr>
                  </w:pPr>
                  <w:r>
                    <w:rPr>
                      <w:rFonts w:eastAsiaTheme="minorEastAsia"/>
                      <w:color w:val="auto"/>
                      <w:szCs w:val="21"/>
                    </w:rPr>
                    <w:t>34.83</w:t>
                  </w:r>
                </w:p>
              </w:tc>
              <w:tc>
                <w:tcPr>
                  <w:tcW w:w="1302" w:type="dxa"/>
                  <w:tcBorders>
                    <w:bottom w:val="single" w:color="auto" w:sz="6" w:space="0"/>
                  </w:tcBorders>
                  <w:vAlign w:val="center"/>
                </w:tcPr>
                <w:p>
                  <w:pPr>
                    <w:adjustRightInd w:val="0"/>
                    <w:snapToGrid w:val="0"/>
                    <w:jc w:val="center"/>
                    <w:rPr>
                      <w:rFonts w:eastAsiaTheme="minorEastAsia"/>
                      <w:color w:val="auto"/>
                      <w:szCs w:val="21"/>
                    </w:rPr>
                  </w:pPr>
                  <w:r>
                    <w:rPr>
                      <w:rFonts w:eastAsiaTheme="minorEastAsia"/>
                      <w:color w:val="auto"/>
                      <w:szCs w:val="21"/>
                    </w:rPr>
                    <w:t>50.52</w:t>
                  </w:r>
                </w:p>
              </w:tc>
              <w:tc>
                <w:tcPr>
                  <w:tcW w:w="2153" w:type="dxa"/>
                  <w:vMerge w:val="continue"/>
                  <w:vAlign w:val="center"/>
                </w:tcPr>
                <w:p>
                  <w:pPr>
                    <w:widowControl/>
                    <w:jc w:val="left"/>
                    <w:rPr>
                      <w:rFonts w:eastAsiaTheme="min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51" w:type="dxa"/>
                  <w:vMerge w:val="continue"/>
                  <w:vAlign w:val="center"/>
                </w:tcPr>
                <w:p>
                  <w:pPr>
                    <w:widowControl/>
                    <w:jc w:val="left"/>
                    <w:rPr>
                      <w:rFonts w:eastAsiaTheme="minorEastAsia"/>
                      <w:color w:val="auto"/>
                      <w:szCs w:val="21"/>
                    </w:rPr>
                  </w:pPr>
                </w:p>
              </w:tc>
              <w:tc>
                <w:tcPr>
                  <w:tcW w:w="1051" w:type="dxa"/>
                  <w:vAlign w:val="center"/>
                </w:tcPr>
                <w:p>
                  <w:pPr>
                    <w:adjustRightInd w:val="0"/>
                    <w:snapToGrid w:val="0"/>
                    <w:jc w:val="center"/>
                    <w:rPr>
                      <w:rFonts w:eastAsiaTheme="minorEastAsia"/>
                      <w:color w:val="auto"/>
                      <w:szCs w:val="21"/>
                    </w:rPr>
                  </w:pPr>
                  <w:r>
                    <w:rPr>
                      <w:rFonts w:eastAsiaTheme="minorEastAsia"/>
                      <w:color w:val="auto"/>
                    </w:rPr>
                    <w:t>夜间</w:t>
                  </w:r>
                </w:p>
              </w:tc>
              <w:tc>
                <w:tcPr>
                  <w:tcW w:w="1288" w:type="dxa"/>
                  <w:vAlign w:val="center"/>
                </w:tcPr>
                <w:p>
                  <w:pPr>
                    <w:adjustRightInd w:val="0"/>
                    <w:snapToGrid w:val="0"/>
                    <w:jc w:val="center"/>
                    <w:rPr>
                      <w:rFonts w:eastAsiaTheme="minorEastAsia"/>
                      <w:color w:val="auto"/>
                      <w:szCs w:val="21"/>
                    </w:rPr>
                  </w:pPr>
                  <w:r>
                    <w:rPr>
                      <w:rFonts w:eastAsiaTheme="minorEastAsia"/>
                      <w:color w:val="auto"/>
                      <w:szCs w:val="21"/>
                    </w:rPr>
                    <w:t>43.3</w:t>
                  </w:r>
                </w:p>
              </w:tc>
              <w:tc>
                <w:tcPr>
                  <w:tcW w:w="1578" w:type="dxa"/>
                  <w:vAlign w:val="center"/>
                </w:tcPr>
                <w:p>
                  <w:pPr>
                    <w:adjustRightInd w:val="0"/>
                    <w:snapToGrid w:val="0"/>
                    <w:jc w:val="center"/>
                    <w:rPr>
                      <w:rFonts w:eastAsiaTheme="minorEastAsia"/>
                      <w:color w:val="auto"/>
                      <w:szCs w:val="21"/>
                    </w:rPr>
                  </w:pPr>
                  <w:r>
                    <w:rPr>
                      <w:rFonts w:eastAsiaTheme="minorEastAsia"/>
                      <w:color w:val="auto"/>
                      <w:szCs w:val="21"/>
                    </w:rPr>
                    <w:t>34.83</w:t>
                  </w:r>
                </w:p>
              </w:tc>
              <w:tc>
                <w:tcPr>
                  <w:tcW w:w="1302" w:type="dxa"/>
                  <w:tcBorders>
                    <w:top w:val="single" w:color="auto" w:sz="6" w:space="0"/>
                    <w:bottom w:val="single" w:color="auto" w:sz="6" w:space="0"/>
                  </w:tcBorders>
                  <w:shd w:val="clear" w:color="auto" w:fill="auto"/>
                  <w:vAlign w:val="center"/>
                </w:tcPr>
                <w:p>
                  <w:pPr>
                    <w:adjustRightInd w:val="0"/>
                    <w:snapToGrid w:val="0"/>
                    <w:jc w:val="center"/>
                    <w:rPr>
                      <w:rFonts w:eastAsiaTheme="minorEastAsia"/>
                      <w:color w:val="auto"/>
                      <w:szCs w:val="21"/>
                    </w:rPr>
                  </w:pPr>
                  <w:r>
                    <w:rPr>
                      <w:rFonts w:eastAsiaTheme="minorEastAsia"/>
                      <w:color w:val="auto"/>
                      <w:szCs w:val="21"/>
                    </w:rPr>
                    <w:t>43.87</w:t>
                  </w:r>
                </w:p>
              </w:tc>
              <w:tc>
                <w:tcPr>
                  <w:tcW w:w="2153" w:type="dxa"/>
                  <w:vMerge w:val="continue"/>
                  <w:vAlign w:val="center"/>
                </w:tcPr>
                <w:p>
                  <w:pPr>
                    <w:widowControl/>
                    <w:jc w:val="left"/>
                    <w:rPr>
                      <w:rFonts w:eastAsiaTheme="min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51" w:type="dxa"/>
                  <w:vMerge w:val="restart"/>
                  <w:vAlign w:val="center"/>
                </w:tcPr>
                <w:p>
                  <w:pPr>
                    <w:adjustRightInd w:val="0"/>
                    <w:snapToGrid w:val="0"/>
                    <w:jc w:val="center"/>
                    <w:rPr>
                      <w:rFonts w:eastAsiaTheme="minorEastAsia"/>
                      <w:color w:val="auto"/>
                      <w:szCs w:val="21"/>
                    </w:rPr>
                  </w:pPr>
                  <w:r>
                    <w:rPr>
                      <w:rFonts w:eastAsiaTheme="minorEastAsia"/>
                      <w:color w:val="auto"/>
                    </w:rPr>
                    <w:t>北厂界</w:t>
                  </w:r>
                </w:p>
              </w:tc>
              <w:tc>
                <w:tcPr>
                  <w:tcW w:w="1051" w:type="dxa"/>
                  <w:vAlign w:val="center"/>
                </w:tcPr>
                <w:p>
                  <w:pPr>
                    <w:adjustRightInd w:val="0"/>
                    <w:snapToGrid w:val="0"/>
                    <w:jc w:val="center"/>
                    <w:rPr>
                      <w:rFonts w:eastAsiaTheme="minorEastAsia"/>
                      <w:color w:val="auto"/>
                      <w:szCs w:val="21"/>
                    </w:rPr>
                  </w:pPr>
                  <w:r>
                    <w:rPr>
                      <w:rFonts w:eastAsiaTheme="minorEastAsia"/>
                      <w:color w:val="auto"/>
                    </w:rPr>
                    <w:t>昼间</w:t>
                  </w:r>
                </w:p>
              </w:tc>
              <w:tc>
                <w:tcPr>
                  <w:tcW w:w="1288" w:type="dxa"/>
                  <w:vAlign w:val="center"/>
                </w:tcPr>
                <w:p>
                  <w:pPr>
                    <w:adjustRightInd w:val="0"/>
                    <w:snapToGrid w:val="0"/>
                    <w:jc w:val="center"/>
                    <w:rPr>
                      <w:rFonts w:eastAsiaTheme="minorEastAsia"/>
                      <w:color w:val="auto"/>
                      <w:szCs w:val="21"/>
                    </w:rPr>
                  </w:pPr>
                  <w:r>
                    <w:rPr>
                      <w:rFonts w:eastAsiaTheme="minorEastAsia"/>
                      <w:color w:val="auto"/>
                      <w:szCs w:val="21"/>
                    </w:rPr>
                    <w:t>50.6</w:t>
                  </w:r>
                </w:p>
              </w:tc>
              <w:tc>
                <w:tcPr>
                  <w:tcW w:w="1578" w:type="dxa"/>
                  <w:vAlign w:val="center"/>
                </w:tcPr>
                <w:p>
                  <w:pPr>
                    <w:adjustRightInd w:val="0"/>
                    <w:snapToGrid w:val="0"/>
                    <w:jc w:val="center"/>
                    <w:rPr>
                      <w:rFonts w:eastAsiaTheme="minorEastAsia"/>
                      <w:color w:val="auto"/>
                      <w:szCs w:val="21"/>
                    </w:rPr>
                  </w:pPr>
                  <w:r>
                    <w:rPr>
                      <w:rFonts w:eastAsiaTheme="minorEastAsia"/>
                      <w:color w:val="auto"/>
                      <w:szCs w:val="21"/>
                    </w:rPr>
                    <w:t>31.60</w:t>
                  </w:r>
                </w:p>
              </w:tc>
              <w:tc>
                <w:tcPr>
                  <w:tcW w:w="1302" w:type="dxa"/>
                  <w:tcBorders>
                    <w:top w:val="single" w:color="auto" w:sz="6" w:space="0"/>
                  </w:tcBorders>
                  <w:vAlign w:val="center"/>
                </w:tcPr>
                <w:p>
                  <w:pPr>
                    <w:adjustRightInd w:val="0"/>
                    <w:snapToGrid w:val="0"/>
                    <w:jc w:val="center"/>
                    <w:rPr>
                      <w:rFonts w:eastAsiaTheme="minorEastAsia"/>
                      <w:color w:val="auto"/>
                      <w:szCs w:val="21"/>
                    </w:rPr>
                  </w:pPr>
                  <w:r>
                    <w:rPr>
                      <w:rFonts w:eastAsiaTheme="minorEastAsia"/>
                      <w:color w:val="auto"/>
                      <w:szCs w:val="21"/>
                    </w:rPr>
                    <w:t>50.65</w:t>
                  </w:r>
                </w:p>
              </w:tc>
              <w:tc>
                <w:tcPr>
                  <w:tcW w:w="2153" w:type="dxa"/>
                  <w:vMerge w:val="continue"/>
                  <w:vAlign w:val="center"/>
                </w:tcPr>
                <w:p>
                  <w:pPr>
                    <w:widowControl/>
                    <w:jc w:val="left"/>
                    <w:rPr>
                      <w:rFonts w:eastAsiaTheme="min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51" w:type="dxa"/>
                  <w:vMerge w:val="continue"/>
                  <w:vAlign w:val="center"/>
                </w:tcPr>
                <w:p>
                  <w:pPr>
                    <w:widowControl/>
                    <w:jc w:val="left"/>
                    <w:rPr>
                      <w:rFonts w:eastAsiaTheme="minorEastAsia"/>
                      <w:color w:val="auto"/>
                      <w:szCs w:val="21"/>
                    </w:rPr>
                  </w:pPr>
                </w:p>
              </w:tc>
              <w:tc>
                <w:tcPr>
                  <w:tcW w:w="1051" w:type="dxa"/>
                  <w:vAlign w:val="center"/>
                </w:tcPr>
                <w:p>
                  <w:pPr>
                    <w:adjustRightInd w:val="0"/>
                    <w:snapToGrid w:val="0"/>
                    <w:jc w:val="center"/>
                    <w:rPr>
                      <w:rFonts w:eastAsiaTheme="minorEastAsia"/>
                      <w:color w:val="auto"/>
                      <w:szCs w:val="21"/>
                    </w:rPr>
                  </w:pPr>
                  <w:r>
                    <w:rPr>
                      <w:rFonts w:eastAsiaTheme="minorEastAsia"/>
                      <w:color w:val="auto"/>
                    </w:rPr>
                    <w:t>夜间</w:t>
                  </w:r>
                </w:p>
              </w:tc>
              <w:tc>
                <w:tcPr>
                  <w:tcW w:w="1288" w:type="dxa"/>
                  <w:vAlign w:val="center"/>
                </w:tcPr>
                <w:p>
                  <w:pPr>
                    <w:adjustRightInd w:val="0"/>
                    <w:snapToGrid w:val="0"/>
                    <w:jc w:val="center"/>
                    <w:rPr>
                      <w:rFonts w:eastAsiaTheme="minorEastAsia"/>
                      <w:color w:val="auto"/>
                      <w:szCs w:val="21"/>
                    </w:rPr>
                  </w:pPr>
                  <w:r>
                    <w:rPr>
                      <w:rFonts w:eastAsiaTheme="minorEastAsia"/>
                      <w:color w:val="auto"/>
                      <w:szCs w:val="21"/>
                    </w:rPr>
                    <w:t>44.3</w:t>
                  </w:r>
                </w:p>
              </w:tc>
              <w:tc>
                <w:tcPr>
                  <w:tcW w:w="1578" w:type="dxa"/>
                  <w:vAlign w:val="center"/>
                </w:tcPr>
                <w:p>
                  <w:pPr>
                    <w:adjustRightInd w:val="0"/>
                    <w:snapToGrid w:val="0"/>
                    <w:jc w:val="center"/>
                    <w:rPr>
                      <w:rFonts w:eastAsiaTheme="minorEastAsia"/>
                      <w:color w:val="auto"/>
                      <w:szCs w:val="21"/>
                    </w:rPr>
                  </w:pPr>
                  <w:r>
                    <w:rPr>
                      <w:rFonts w:eastAsiaTheme="minorEastAsia"/>
                      <w:color w:val="auto"/>
                      <w:szCs w:val="21"/>
                    </w:rPr>
                    <w:t>31.60</w:t>
                  </w:r>
                </w:p>
              </w:tc>
              <w:tc>
                <w:tcPr>
                  <w:tcW w:w="1302" w:type="dxa"/>
                  <w:vAlign w:val="center"/>
                </w:tcPr>
                <w:p>
                  <w:pPr>
                    <w:adjustRightInd w:val="0"/>
                    <w:snapToGrid w:val="0"/>
                    <w:jc w:val="center"/>
                    <w:rPr>
                      <w:rFonts w:eastAsiaTheme="minorEastAsia"/>
                      <w:color w:val="auto"/>
                      <w:szCs w:val="21"/>
                    </w:rPr>
                  </w:pPr>
                  <w:r>
                    <w:rPr>
                      <w:rFonts w:eastAsiaTheme="minorEastAsia"/>
                      <w:color w:val="auto"/>
                      <w:szCs w:val="21"/>
                    </w:rPr>
                    <w:t>44.53</w:t>
                  </w:r>
                </w:p>
              </w:tc>
              <w:tc>
                <w:tcPr>
                  <w:tcW w:w="2153" w:type="dxa"/>
                  <w:vMerge w:val="continue"/>
                  <w:vAlign w:val="center"/>
                </w:tcPr>
                <w:p>
                  <w:pPr>
                    <w:widowControl/>
                    <w:jc w:val="left"/>
                    <w:rPr>
                      <w:rFonts w:eastAsiaTheme="minorEastAsia"/>
                      <w:color w:val="auto"/>
                      <w:szCs w:val="21"/>
                    </w:rPr>
                  </w:pPr>
                </w:p>
              </w:tc>
            </w:tr>
          </w:tbl>
          <w:p>
            <w:pPr>
              <w:widowControl/>
              <w:spacing w:line="360" w:lineRule="auto"/>
              <w:ind w:firstLine="480" w:firstLineChars="200"/>
              <w:rPr>
                <w:rFonts w:eastAsiaTheme="minorEastAsia"/>
                <w:bCs/>
                <w:color w:val="auto"/>
                <w:sz w:val="24"/>
              </w:rPr>
            </w:pPr>
            <w:r>
              <w:rPr>
                <w:rFonts w:eastAsiaTheme="minorEastAsia"/>
                <w:bCs/>
                <w:color w:val="auto"/>
                <w:sz w:val="24"/>
              </w:rPr>
              <w:t>由预测结果可知，本项目建成运行后，在各项噪声治理措施落实情况下，预测噪声对厂区的贡献值均较小，厂界东、南、北侧噪声昼间夜间均可以达到《工业企业厂界环境噪声排放标准》（GB12348-2008）1类标准的要求，即昼间60dB（A）、夜间50dB（A）。据调查了解，评价范围 200m 内无环境敏感目标，项目运营期产生的噪声对周围声环境影响较小。但为了减轻项目噪声对厂区职工的影响，建议建设单位选取低噪声设备，并采取消声、避震、隔音、封闭等措施。</w:t>
            </w:r>
          </w:p>
          <w:p>
            <w:pPr>
              <w:widowControl/>
              <w:spacing w:line="360" w:lineRule="auto"/>
              <w:ind w:firstLine="482" w:firstLineChars="200"/>
              <w:rPr>
                <w:rFonts w:eastAsiaTheme="minorEastAsia"/>
                <w:b/>
                <w:color w:val="auto"/>
                <w:sz w:val="24"/>
              </w:rPr>
            </w:pPr>
            <w:r>
              <w:rPr>
                <w:rFonts w:eastAsiaTheme="minorEastAsia"/>
                <w:b/>
                <w:color w:val="auto"/>
                <w:sz w:val="24"/>
              </w:rPr>
              <w:t>2.3地表水环境影响分析</w:t>
            </w:r>
          </w:p>
          <w:p>
            <w:pPr>
              <w:widowControl/>
              <w:spacing w:line="360" w:lineRule="auto"/>
              <w:ind w:firstLine="480" w:firstLineChars="200"/>
              <w:rPr>
                <w:rFonts w:eastAsiaTheme="minorEastAsia"/>
                <w:color w:val="auto"/>
                <w:sz w:val="24"/>
              </w:rPr>
            </w:pPr>
            <w:r>
              <w:rPr>
                <w:rFonts w:eastAsiaTheme="minorEastAsia"/>
                <w:color w:val="auto"/>
                <w:sz w:val="24"/>
              </w:rPr>
              <w:t>营运期废水主要为污水处理厂处理后排放的污水，在满负荷运行的情况下，本工程日处理污水量200m</w:t>
            </w:r>
            <w:r>
              <w:rPr>
                <w:rFonts w:eastAsiaTheme="minorEastAsia"/>
                <w:color w:val="auto"/>
                <w:sz w:val="24"/>
                <w:vertAlign w:val="superscript"/>
              </w:rPr>
              <w:t>3</w:t>
            </w:r>
            <w:r>
              <w:rPr>
                <w:rFonts w:eastAsiaTheme="minorEastAsia"/>
                <w:color w:val="auto"/>
                <w:sz w:val="24"/>
              </w:rPr>
              <w:t>/d，</w:t>
            </w:r>
            <w:r>
              <w:rPr>
                <w:rFonts w:eastAsiaTheme="minorEastAsia"/>
                <w:bCs/>
                <w:color w:val="auto"/>
                <w:sz w:val="24"/>
              </w:rPr>
              <w:t>主要污染物排放浓度</w:t>
            </w:r>
            <w:r>
              <w:rPr>
                <w:rFonts w:eastAsiaTheme="minorEastAsia"/>
                <w:color w:val="auto"/>
                <w:sz w:val="24"/>
              </w:rPr>
              <w:t>达到《城镇污水处理厂污染物排放标准》（GB18918-2002）一级A标准后排放，出水水质虽然较为洁净，但其可能对排放口下游水环境造成一定的影响，故本环评分别就项目对污水处理厂现有工程的影响和污水处理厂全厂尾水排放对柏树底河的影响进行分析评价。</w:t>
            </w:r>
          </w:p>
          <w:p>
            <w:pPr>
              <w:widowControl/>
              <w:spacing w:line="360" w:lineRule="auto"/>
              <w:ind w:firstLine="482" w:firstLineChars="200"/>
              <w:rPr>
                <w:rFonts w:eastAsiaTheme="minorEastAsia"/>
                <w:color w:val="auto"/>
                <w:sz w:val="24"/>
              </w:rPr>
            </w:pPr>
            <w:r>
              <w:rPr>
                <w:rFonts w:eastAsiaTheme="minorEastAsia"/>
                <w:b/>
                <w:color w:val="auto"/>
                <w:sz w:val="24"/>
              </w:rPr>
              <w:t>2.3.1</w:t>
            </w:r>
          </w:p>
          <w:p>
            <w:pPr>
              <w:widowControl/>
              <w:spacing w:line="360" w:lineRule="auto"/>
              <w:ind w:firstLine="480" w:firstLineChars="200"/>
              <w:rPr>
                <w:rFonts w:eastAsiaTheme="minorEastAsia"/>
                <w:color w:val="auto"/>
                <w:sz w:val="24"/>
              </w:rPr>
            </w:pPr>
            <w:r>
              <w:rPr>
                <w:rFonts w:eastAsiaTheme="minorEastAsia"/>
                <w:color w:val="auto"/>
                <w:sz w:val="24"/>
              </w:rPr>
              <w:t>据《环境影响评价技术导则地表水环境》（HJ2.3-2018）判定，本项目评价等级为三级A，预测时期为枯水期，</w:t>
            </w:r>
            <w:r>
              <w:rPr>
                <w:rFonts w:eastAsiaTheme="minorEastAsia"/>
                <w:snapToGrid w:val="0"/>
                <w:color w:val="auto"/>
                <w:sz w:val="24"/>
              </w:rPr>
              <w:t>经核算，</w:t>
            </w:r>
            <w:r>
              <w:rPr>
                <w:rFonts w:eastAsiaTheme="minorEastAsia"/>
                <w:color w:val="auto"/>
                <w:sz w:val="24"/>
              </w:rPr>
              <w:t>最终排放污水7.3万t/a、COD</w:t>
            </w:r>
            <w:r>
              <w:rPr>
                <w:rFonts w:eastAsiaTheme="minorEastAsia"/>
                <w:color w:val="auto"/>
                <w:szCs w:val="21"/>
              </w:rPr>
              <w:t>cr</w:t>
            </w:r>
            <w:r>
              <w:rPr>
                <w:rFonts w:eastAsiaTheme="minorEastAsia"/>
                <w:color w:val="auto"/>
                <w:sz w:val="24"/>
              </w:rPr>
              <w:t>3.65t/a、BOD</w:t>
            </w:r>
            <w:r>
              <w:rPr>
                <w:rFonts w:eastAsiaTheme="minorEastAsia"/>
                <w:color w:val="auto"/>
                <w:sz w:val="24"/>
                <w:vertAlign w:val="subscript"/>
              </w:rPr>
              <w:t>5</w:t>
            </w:r>
            <w:r>
              <w:rPr>
                <w:rFonts w:eastAsiaTheme="minorEastAsia"/>
                <w:color w:val="auto"/>
                <w:sz w:val="24"/>
              </w:rPr>
              <w:t>0.73t/a 、SS0.73t/a、NH</w:t>
            </w:r>
            <w:r>
              <w:rPr>
                <w:rFonts w:eastAsiaTheme="minorEastAsia"/>
                <w:color w:val="auto"/>
                <w:sz w:val="24"/>
                <w:vertAlign w:val="subscript"/>
              </w:rPr>
              <w:t>3</w:t>
            </w:r>
            <w:r>
              <w:rPr>
                <w:rFonts w:eastAsiaTheme="minorEastAsia"/>
                <w:color w:val="auto"/>
                <w:sz w:val="24"/>
              </w:rPr>
              <w:t>-N0.365t/a、TP 0.039t/a。</w:t>
            </w:r>
          </w:p>
          <w:p>
            <w:pPr>
              <w:adjustRightInd w:val="0"/>
              <w:snapToGrid w:val="0"/>
              <w:spacing w:line="360" w:lineRule="auto"/>
              <w:ind w:firstLine="482" w:firstLineChars="200"/>
              <w:rPr>
                <w:rFonts w:eastAsiaTheme="minorEastAsia"/>
                <w:b/>
                <w:color w:val="auto"/>
                <w:sz w:val="24"/>
              </w:rPr>
            </w:pPr>
            <w:r>
              <w:rPr>
                <w:rFonts w:eastAsiaTheme="minorEastAsia"/>
                <w:b/>
                <w:color w:val="auto"/>
                <w:sz w:val="24"/>
              </w:rPr>
              <w:t>2.3.1污水排放对柏树底河水质影响</w:t>
            </w:r>
          </w:p>
          <w:p>
            <w:pPr>
              <w:adjustRightInd w:val="0"/>
              <w:snapToGrid w:val="0"/>
              <w:spacing w:line="360" w:lineRule="auto"/>
              <w:ind w:firstLine="480" w:firstLineChars="200"/>
              <w:rPr>
                <w:rFonts w:eastAsiaTheme="minorEastAsia"/>
                <w:color w:val="auto"/>
                <w:sz w:val="24"/>
                <w:szCs w:val="28"/>
              </w:rPr>
            </w:pPr>
            <w:r>
              <w:rPr>
                <w:rFonts w:hint="eastAsia" w:ascii="宋体" w:hAnsi="宋体" w:cs="宋体"/>
                <w:color w:val="auto"/>
                <w:sz w:val="24"/>
                <w:szCs w:val="28"/>
              </w:rPr>
              <w:t>⑴</w:t>
            </w:r>
            <w:r>
              <w:rPr>
                <w:rFonts w:eastAsiaTheme="minorEastAsia"/>
                <w:color w:val="auto"/>
                <w:sz w:val="24"/>
                <w:szCs w:val="28"/>
              </w:rPr>
              <w:t>预测因子</w:t>
            </w:r>
          </w:p>
          <w:p>
            <w:pPr>
              <w:adjustRightInd w:val="0"/>
              <w:snapToGrid w:val="0"/>
              <w:spacing w:line="360" w:lineRule="auto"/>
              <w:ind w:firstLine="480" w:firstLineChars="200"/>
              <w:rPr>
                <w:rFonts w:eastAsiaTheme="minorEastAsia"/>
                <w:color w:val="auto"/>
                <w:sz w:val="24"/>
                <w:szCs w:val="28"/>
              </w:rPr>
            </w:pPr>
            <w:r>
              <w:rPr>
                <w:rFonts w:eastAsiaTheme="minorEastAsia"/>
                <w:color w:val="auto"/>
                <w:sz w:val="24"/>
                <w:szCs w:val="28"/>
              </w:rPr>
              <w:t>根据污水处理厂水质指标以及柏树底河水质现状监测结果，综合分析考虑，确定预测评价因子为COD</w:t>
            </w:r>
            <w:r>
              <w:rPr>
                <w:rFonts w:eastAsiaTheme="minorEastAsia"/>
                <w:color w:val="auto"/>
                <w:sz w:val="24"/>
                <w:szCs w:val="28"/>
                <w:vertAlign w:val="subscript"/>
              </w:rPr>
              <w:t>Cr</w:t>
            </w:r>
            <w:r>
              <w:rPr>
                <w:rFonts w:eastAsiaTheme="minorEastAsia"/>
                <w:color w:val="auto"/>
                <w:sz w:val="24"/>
                <w:szCs w:val="28"/>
              </w:rPr>
              <w:t>、NH</w:t>
            </w:r>
            <w:r>
              <w:rPr>
                <w:rFonts w:eastAsiaTheme="minorEastAsia"/>
                <w:color w:val="auto"/>
                <w:sz w:val="24"/>
                <w:szCs w:val="28"/>
                <w:vertAlign w:val="subscript"/>
              </w:rPr>
              <w:t>3</w:t>
            </w:r>
            <w:r>
              <w:rPr>
                <w:rFonts w:eastAsiaTheme="minorEastAsia"/>
                <w:color w:val="auto"/>
                <w:sz w:val="24"/>
                <w:szCs w:val="28"/>
              </w:rPr>
              <w:t>-N、TP。</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⑵</w:t>
            </w:r>
            <w:r>
              <w:rPr>
                <w:rFonts w:eastAsiaTheme="minorEastAsia"/>
                <w:color w:val="auto"/>
                <w:sz w:val="24"/>
              </w:rPr>
              <w:t>预测范围及预测点</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根据污水处理厂排污口和尾水排放去向，确定预测范围为项目排污口上游0.5km，下游20km，全长20.5km。</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⑶</w:t>
            </w:r>
            <w:r>
              <w:rPr>
                <w:rFonts w:eastAsiaTheme="minorEastAsia"/>
                <w:color w:val="auto"/>
                <w:sz w:val="24"/>
              </w:rPr>
              <w:t>源强确定</w:t>
            </w:r>
          </w:p>
          <w:p>
            <w:pPr>
              <w:adjustRightInd w:val="0"/>
              <w:snapToGrid w:val="0"/>
              <w:spacing w:line="360" w:lineRule="auto"/>
              <w:ind w:firstLine="480" w:firstLineChars="200"/>
              <w:rPr>
                <w:rFonts w:eastAsiaTheme="minorEastAsia"/>
                <w:color w:val="auto"/>
                <w:sz w:val="24"/>
              </w:rPr>
            </w:pPr>
            <w:r>
              <w:rPr>
                <w:rFonts w:eastAsiaTheme="minorEastAsia"/>
                <w:color w:val="auto"/>
                <w:sz w:val="24"/>
                <w:szCs w:val="28"/>
              </w:rPr>
              <w:t>预测源强按照污水处理厂设计规模确定，即尾水排放量为200m</w:t>
            </w:r>
            <w:r>
              <w:rPr>
                <w:rFonts w:eastAsiaTheme="minorEastAsia"/>
                <w:color w:val="auto"/>
                <w:sz w:val="24"/>
                <w:szCs w:val="28"/>
                <w:vertAlign w:val="superscript"/>
              </w:rPr>
              <w:t>3</w:t>
            </w:r>
            <w:r>
              <w:rPr>
                <w:rFonts w:eastAsiaTheme="minorEastAsia"/>
                <w:color w:val="auto"/>
                <w:sz w:val="24"/>
                <w:szCs w:val="28"/>
              </w:rPr>
              <w:t>/d。预测时考虑污水处理厂正常排放和事故排放两种情况，其中正常排放是指尾水达标排放，事故排放是指污水厂停止运行，污水去除率为0，直接外排。两种情况下</w:t>
            </w:r>
            <w:r>
              <w:rPr>
                <w:rFonts w:eastAsiaTheme="minorEastAsia"/>
                <w:color w:val="auto"/>
                <w:sz w:val="24"/>
              </w:rPr>
              <w:t>废水排放量及污染物浓度见表65。</w:t>
            </w:r>
          </w:p>
          <w:p>
            <w:pPr>
              <w:adjustRightInd w:val="0"/>
              <w:snapToGrid w:val="0"/>
              <w:spacing w:line="360" w:lineRule="auto"/>
              <w:ind w:firstLine="482" w:firstLineChars="200"/>
              <w:jc w:val="center"/>
              <w:rPr>
                <w:rFonts w:eastAsiaTheme="minorEastAsia"/>
                <w:b/>
                <w:color w:val="auto"/>
                <w:sz w:val="24"/>
              </w:rPr>
            </w:pPr>
            <w:r>
              <w:rPr>
                <w:rFonts w:eastAsiaTheme="minorEastAsia"/>
                <w:b/>
                <w:color w:val="auto"/>
                <w:sz w:val="24"/>
              </w:rPr>
              <w:t>表65废水排放量及污染物浓度</w:t>
            </w:r>
          </w:p>
          <w:tbl>
            <w:tblPr>
              <w:tblStyle w:val="38"/>
              <w:tblW w:w="8681" w:type="dxa"/>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43"/>
              <w:gridCol w:w="1736"/>
              <w:gridCol w:w="1835"/>
              <w:gridCol w:w="1983"/>
              <w:gridCol w:w="1984"/>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3" w:hRule="atLeast"/>
              </w:trPr>
              <w:tc>
                <w:tcPr>
                  <w:tcW w:w="1143" w:type="dxa"/>
                  <w:vAlign w:val="center"/>
                </w:tcPr>
                <w:p>
                  <w:pPr>
                    <w:jc w:val="center"/>
                    <w:rPr>
                      <w:rFonts w:eastAsiaTheme="minorEastAsia"/>
                      <w:color w:val="auto"/>
                      <w:szCs w:val="21"/>
                    </w:rPr>
                  </w:pPr>
                  <w:r>
                    <w:rPr>
                      <w:rFonts w:eastAsiaTheme="minorEastAsia"/>
                      <w:color w:val="auto"/>
                      <w:szCs w:val="21"/>
                    </w:rPr>
                    <w:t>污染因子</w:t>
                  </w:r>
                </w:p>
              </w:tc>
              <w:tc>
                <w:tcPr>
                  <w:tcW w:w="1736" w:type="dxa"/>
                  <w:vAlign w:val="center"/>
                </w:tcPr>
                <w:p>
                  <w:pPr>
                    <w:jc w:val="center"/>
                    <w:rPr>
                      <w:rFonts w:eastAsiaTheme="minorEastAsia"/>
                      <w:color w:val="auto"/>
                      <w:szCs w:val="21"/>
                    </w:rPr>
                  </w:pPr>
                  <w:r>
                    <w:rPr>
                      <w:rFonts w:eastAsiaTheme="minorEastAsia"/>
                      <w:color w:val="auto"/>
                      <w:szCs w:val="21"/>
                    </w:rPr>
                    <w:t>排放量（m</w:t>
                  </w:r>
                  <w:r>
                    <w:rPr>
                      <w:rFonts w:eastAsiaTheme="minorEastAsia"/>
                      <w:color w:val="auto"/>
                      <w:szCs w:val="21"/>
                      <w:vertAlign w:val="superscript"/>
                    </w:rPr>
                    <w:t>3</w:t>
                  </w:r>
                  <w:r>
                    <w:rPr>
                      <w:rFonts w:eastAsiaTheme="minorEastAsia"/>
                      <w:color w:val="auto"/>
                      <w:szCs w:val="21"/>
                    </w:rPr>
                    <w:t>/d）</w:t>
                  </w:r>
                </w:p>
              </w:tc>
              <w:tc>
                <w:tcPr>
                  <w:tcW w:w="1835" w:type="dxa"/>
                  <w:vAlign w:val="center"/>
                </w:tcPr>
                <w:p>
                  <w:pPr>
                    <w:jc w:val="center"/>
                    <w:rPr>
                      <w:rFonts w:eastAsiaTheme="minorEastAsia"/>
                      <w:color w:val="auto"/>
                      <w:szCs w:val="21"/>
                    </w:rPr>
                  </w:pPr>
                  <w:r>
                    <w:rPr>
                      <w:rFonts w:eastAsiaTheme="minorEastAsia"/>
                      <w:color w:val="auto"/>
                      <w:szCs w:val="21"/>
                    </w:rPr>
                    <w:t>COD（mg/L）</w:t>
                  </w:r>
                </w:p>
              </w:tc>
              <w:tc>
                <w:tcPr>
                  <w:tcW w:w="1983" w:type="dxa"/>
                  <w:vAlign w:val="center"/>
                </w:tcPr>
                <w:p>
                  <w:pPr>
                    <w:jc w:val="center"/>
                    <w:rPr>
                      <w:rFonts w:eastAsiaTheme="minorEastAsia"/>
                      <w:color w:val="auto"/>
                      <w:szCs w:val="21"/>
                    </w:rPr>
                  </w:pPr>
                  <w:r>
                    <w:rPr>
                      <w:rFonts w:eastAsiaTheme="minorEastAsia"/>
                      <w:color w:val="auto"/>
                      <w:szCs w:val="21"/>
                    </w:rPr>
                    <w:t>NH</w:t>
                  </w:r>
                  <w:r>
                    <w:rPr>
                      <w:rFonts w:eastAsiaTheme="minorEastAsia"/>
                      <w:color w:val="auto"/>
                      <w:szCs w:val="21"/>
                      <w:vertAlign w:val="subscript"/>
                    </w:rPr>
                    <w:t>3</w:t>
                  </w:r>
                  <w:r>
                    <w:rPr>
                      <w:rFonts w:eastAsiaTheme="minorEastAsia"/>
                      <w:color w:val="auto"/>
                      <w:szCs w:val="21"/>
                    </w:rPr>
                    <w:t>-N（mg/L）</w:t>
                  </w:r>
                </w:p>
              </w:tc>
              <w:tc>
                <w:tcPr>
                  <w:tcW w:w="1984" w:type="dxa"/>
                  <w:vAlign w:val="center"/>
                </w:tcPr>
                <w:p>
                  <w:pPr>
                    <w:jc w:val="center"/>
                    <w:rPr>
                      <w:rFonts w:eastAsiaTheme="minorEastAsia"/>
                      <w:color w:val="auto"/>
                      <w:szCs w:val="21"/>
                    </w:rPr>
                  </w:pPr>
                  <w:r>
                    <w:rPr>
                      <w:rFonts w:eastAsiaTheme="minorEastAsia"/>
                      <w:color w:val="auto"/>
                      <w:szCs w:val="21"/>
                    </w:rPr>
                    <w:t>TP（mg/L）</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3" w:hRule="atLeast"/>
              </w:trPr>
              <w:tc>
                <w:tcPr>
                  <w:tcW w:w="1143" w:type="dxa"/>
                  <w:vAlign w:val="center"/>
                </w:tcPr>
                <w:p>
                  <w:pPr>
                    <w:jc w:val="center"/>
                    <w:rPr>
                      <w:rFonts w:eastAsiaTheme="minorEastAsia"/>
                      <w:color w:val="auto"/>
                      <w:szCs w:val="21"/>
                    </w:rPr>
                  </w:pPr>
                  <w:r>
                    <w:rPr>
                      <w:rFonts w:eastAsiaTheme="minorEastAsia"/>
                      <w:color w:val="auto"/>
                      <w:szCs w:val="21"/>
                    </w:rPr>
                    <w:t>正常排放</w:t>
                  </w:r>
                </w:p>
              </w:tc>
              <w:tc>
                <w:tcPr>
                  <w:tcW w:w="1736" w:type="dxa"/>
                  <w:vAlign w:val="center"/>
                </w:tcPr>
                <w:p>
                  <w:pPr>
                    <w:jc w:val="center"/>
                    <w:rPr>
                      <w:rFonts w:eastAsiaTheme="minorEastAsia"/>
                      <w:color w:val="auto"/>
                      <w:szCs w:val="21"/>
                    </w:rPr>
                  </w:pPr>
                  <w:r>
                    <w:rPr>
                      <w:rFonts w:eastAsiaTheme="minorEastAsia"/>
                      <w:color w:val="auto"/>
                      <w:szCs w:val="21"/>
                    </w:rPr>
                    <w:t>200</w:t>
                  </w:r>
                </w:p>
              </w:tc>
              <w:tc>
                <w:tcPr>
                  <w:tcW w:w="1835" w:type="dxa"/>
                  <w:vAlign w:val="center"/>
                </w:tcPr>
                <w:p>
                  <w:pPr>
                    <w:jc w:val="center"/>
                    <w:rPr>
                      <w:rFonts w:eastAsiaTheme="minorEastAsia"/>
                      <w:color w:val="auto"/>
                      <w:szCs w:val="21"/>
                    </w:rPr>
                  </w:pPr>
                  <w:r>
                    <w:rPr>
                      <w:rFonts w:eastAsiaTheme="minorEastAsia"/>
                      <w:color w:val="auto"/>
                      <w:szCs w:val="21"/>
                    </w:rPr>
                    <w:t>50</w:t>
                  </w:r>
                </w:p>
              </w:tc>
              <w:tc>
                <w:tcPr>
                  <w:tcW w:w="1983" w:type="dxa"/>
                  <w:vAlign w:val="center"/>
                </w:tcPr>
                <w:p>
                  <w:pPr>
                    <w:jc w:val="center"/>
                    <w:rPr>
                      <w:rFonts w:eastAsiaTheme="minorEastAsia"/>
                      <w:color w:val="auto"/>
                      <w:szCs w:val="21"/>
                    </w:rPr>
                  </w:pPr>
                  <w:r>
                    <w:rPr>
                      <w:rFonts w:eastAsiaTheme="minorEastAsia"/>
                      <w:color w:val="auto"/>
                      <w:szCs w:val="21"/>
                    </w:rPr>
                    <w:t>5</w:t>
                  </w:r>
                </w:p>
              </w:tc>
              <w:tc>
                <w:tcPr>
                  <w:tcW w:w="1984" w:type="dxa"/>
                  <w:vAlign w:val="center"/>
                </w:tcPr>
                <w:p>
                  <w:pPr>
                    <w:jc w:val="center"/>
                    <w:rPr>
                      <w:rFonts w:eastAsiaTheme="minorEastAsia"/>
                      <w:color w:val="auto"/>
                      <w:szCs w:val="21"/>
                    </w:rPr>
                  </w:pPr>
                  <w:r>
                    <w:rPr>
                      <w:rFonts w:eastAsiaTheme="minorEastAsia"/>
                      <w:color w:val="auto"/>
                      <w:szCs w:val="21"/>
                    </w:rPr>
                    <w:t>0.5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3" w:hRule="atLeast"/>
              </w:trPr>
              <w:tc>
                <w:tcPr>
                  <w:tcW w:w="1143" w:type="dxa"/>
                  <w:vAlign w:val="center"/>
                </w:tcPr>
                <w:p>
                  <w:pPr>
                    <w:jc w:val="center"/>
                    <w:rPr>
                      <w:rFonts w:eastAsiaTheme="minorEastAsia"/>
                      <w:color w:val="auto"/>
                      <w:szCs w:val="21"/>
                    </w:rPr>
                  </w:pPr>
                  <w:r>
                    <w:rPr>
                      <w:rFonts w:eastAsiaTheme="minorEastAsia"/>
                      <w:color w:val="auto"/>
                      <w:szCs w:val="21"/>
                    </w:rPr>
                    <w:t>事故排放</w:t>
                  </w:r>
                </w:p>
              </w:tc>
              <w:tc>
                <w:tcPr>
                  <w:tcW w:w="1736" w:type="dxa"/>
                  <w:vAlign w:val="center"/>
                </w:tcPr>
                <w:p>
                  <w:pPr>
                    <w:jc w:val="center"/>
                    <w:rPr>
                      <w:rFonts w:eastAsiaTheme="minorEastAsia"/>
                      <w:color w:val="auto"/>
                      <w:szCs w:val="21"/>
                    </w:rPr>
                  </w:pPr>
                  <w:r>
                    <w:rPr>
                      <w:rFonts w:eastAsiaTheme="minorEastAsia"/>
                      <w:color w:val="auto"/>
                      <w:szCs w:val="21"/>
                    </w:rPr>
                    <w:t>200</w:t>
                  </w:r>
                </w:p>
              </w:tc>
              <w:tc>
                <w:tcPr>
                  <w:tcW w:w="1835" w:type="dxa"/>
                  <w:vAlign w:val="center"/>
                </w:tcPr>
                <w:p>
                  <w:pPr>
                    <w:jc w:val="center"/>
                    <w:rPr>
                      <w:rFonts w:eastAsiaTheme="minorEastAsia"/>
                      <w:color w:val="auto"/>
                      <w:szCs w:val="21"/>
                    </w:rPr>
                  </w:pPr>
                  <w:r>
                    <w:rPr>
                      <w:rFonts w:eastAsiaTheme="minorEastAsia"/>
                      <w:color w:val="auto"/>
                      <w:szCs w:val="21"/>
                    </w:rPr>
                    <w:t>500</w:t>
                  </w:r>
                </w:p>
              </w:tc>
              <w:tc>
                <w:tcPr>
                  <w:tcW w:w="1983" w:type="dxa"/>
                  <w:vAlign w:val="center"/>
                </w:tcPr>
                <w:p>
                  <w:pPr>
                    <w:jc w:val="center"/>
                    <w:rPr>
                      <w:rFonts w:eastAsiaTheme="minorEastAsia"/>
                      <w:color w:val="auto"/>
                      <w:szCs w:val="21"/>
                    </w:rPr>
                  </w:pPr>
                  <w:r>
                    <w:rPr>
                      <w:rFonts w:eastAsiaTheme="minorEastAsia"/>
                      <w:color w:val="auto"/>
                      <w:szCs w:val="21"/>
                    </w:rPr>
                    <w:t>35</w:t>
                  </w:r>
                </w:p>
              </w:tc>
              <w:tc>
                <w:tcPr>
                  <w:tcW w:w="1984" w:type="dxa"/>
                  <w:vAlign w:val="center"/>
                </w:tcPr>
                <w:p>
                  <w:pPr>
                    <w:jc w:val="center"/>
                    <w:rPr>
                      <w:rFonts w:eastAsiaTheme="minorEastAsia"/>
                      <w:color w:val="auto"/>
                      <w:szCs w:val="21"/>
                    </w:rPr>
                  </w:pPr>
                  <w:r>
                    <w:rPr>
                      <w:rFonts w:eastAsiaTheme="minorEastAsia"/>
                      <w:color w:val="auto"/>
                      <w:szCs w:val="21"/>
                    </w:rPr>
                    <w:t>3</w:t>
                  </w:r>
                </w:p>
              </w:tc>
            </w:tr>
          </w:tbl>
          <w:p>
            <w:pPr>
              <w:widowControl/>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⑷</w:t>
            </w:r>
            <w:r>
              <w:rPr>
                <w:rFonts w:eastAsiaTheme="minorEastAsia"/>
                <w:color w:val="auto"/>
                <w:sz w:val="24"/>
              </w:rPr>
              <w:t>预测模型</w:t>
            </w:r>
          </w:p>
          <w:p>
            <w:pPr>
              <w:widowControl/>
              <w:adjustRightInd w:val="0"/>
              <w:snapToGrid w:val="0"/>
              <w:spacing w:line="360" w:lineRule="auto"/>
              <w:ind w:firstLine="480" w:firstLineChars="200"/>
              <w:rPr>
                <w:rFonts w:eastAsiaTheme="minorEastAsia"/>
                <w:color w:val="auto"/>
                <w:sz w:val="28"/>
                <w:szCs w:val="28"/>
              </w:rPr>
            </w:pPr>
            <w:r>
              <w:rPr>
                <w:rFonts w:eastAsiaTheme="minorEastAsia"/>
                <w:color w:val="auto"/>
                <w:sz w:val="24"/>
              </w:rPr>
              <w:t>预测因子为非持久性污染物，采用如下预测模式。</w:t>
            </w:r>
          </w:p>
          <w:p>
            <w:pPr>
              <w:adjustRightInd w:val="0"/>
              <w:snapToGrid w:val="0"/>
              <w:spacing w:line="360" w:lineRule="auto"/>
              <w:ind w:firstLine="570"/>
              <w:rPr>
                <w:rFonts w:eastAsiaTheme="minorEastAsia"/>
                <w:color w:val="auto"/>
                <w:sz w:val="24"/>
              </w:rPr>
            </w:pPr>
            <w:r>
              <w:rPr>
                <w:rFonts w:eastAsiaTheme="minorEastAsia"/>
                <w:color w:val="auto"/>
                <w:sz w:val="24"/>
              </w:rPr>
              <w:t>完全混合模式：</w:t>
            </w:r>
          </w:p>
          <w:p>
            <w:pPr>
              <w:adjustRightInd w:val="0"/>
              <w:snapToGrid w:val="0"/>
              <w:spacing w:line="360" w:lineRule="auto"/>
              <w:ind w:firstLine="1768" w:firstLineChars="737"/>
              <w:rPr>
                <w:rFonts w:eastAsiaTheme="minorEastAsia"/>
                <w:color w:val="auto"/>
                <w:sz w:val="24"/>
              </w:rPr>
            </w:pPr>
            <w:r>
              <w:rPr>
                <w:rFonts w:eastAsiaTheme="minorEastAsia"/>
                <w:color w:val="auto"/>
                <w:position w:val="-14"/>
                <w:sz w:val="24"/>
              </w:rPr>
              <w:drawing>
                <wp:inline distT="0" distB="0" distL="0" distR="0">
                  <wp:extent cx="1752600" cy="238125"/>
                  <wp:effectExtent l="0" t="0" r="0" b="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noChangeArrowheads="1"/>
                          </pic:cNvPicPr>
                        </pic:nvPicPr>
                        <pic:blipFill>
                          <a:blip r:embed="rId30" cstate="print"/>
                          <a:srcRect/>
                          <a:stretch>
                            <a:fillRect/>
                          </a:stretch>
                        </pic:blipFill>
                        <pic:spPr>
                          <a:xfrm>
                            <a:off x="0" y="0"/>
                            <a:ext cx="1752600" cy="238125"/>
                          </a:xfrm>
                          <a:prstGeom prst="rect">
                            <a:avLst/>
                          </a:prstGeom>
                          <a:noFill/>
                          <a:ln w="9525">
                            <a:noFill/>
                            <a:miter lim="800000"/>
                            <a:headEnd/>
                            <a:tailEnd/>
                          </a:ln>
                        </pic:spPr>
                      </pic:pic>
                    </a:graphicData>
                  </a:graphic>
                </wp:inline>
              </w:drawing>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式中：c-为污染物断面平均浓度（mg/L）；</w:t>
            </w:r>
          </w:p>
          <w:p>
            <w:pPr>
              <w:adjustRightInd w:val="0"/>
              <w:snapToGrid w:val="0"/>
              <w:spacing w:line="360" w:lineRule="auto"/>
              <w:ind w:firstLine="1200" w:firstLineChars="500"/>
              <w:rPr>
                <w:rFonts w:eastAsiaTheme="minorEastAsia"/>
                <w:color w:val="auto"/>
                <w:sz w:val="24"/>
              </w:rPr>
            </w:pPr>
            <w:r>
              <w:rPr>
                <w:rFonts w:eastAsiaTheme="minorEastAsia"/>
                <w:color w:val="auto"/>
                <w:position w:val="-12"/>
                <w:sz w:val="24"/>
              </w:rPr>
              <w:object>
                <v:shape id="_x0000_i1030" o:spt="75" type="#_x0000_t75" style="height:15.6pt;width:14.95pt;" o:ole="t" filled="f" o:preferrelative="t" stroked="f" coordsize="21600,21600">
                  <v:path/>
                  <v:fill on="f" focussize="0,0"/>
                  <v:stroke on="f" joinstyle="miter"/>
                  <v:imagedata r:id="rId32" o:title=""/>
                  <o:lock v:ext="edit" aspectratio="t"/>
                  <w10:wrap type="none"/>
                  <w10:anchorlock/>
                </v:shape>
                <o:OLEObject Type="Embed" ProgID="Equation.3" ShapeID="_x0000_i1030" DrawAspect="Content" ObjectID="_1468075730" r:id="rId31">
                  <o:LockedField>false</o:LockedField>
                </o:OLEObject>
              </w:object>
            </w:r>
            <w:r>
              <w:rPr>
                <w:rFonts w:eastAsiaTheme="minorEastAsia"/>
                <w:color w:val="auto"/>
                <w:sz w:val="24"/>
              </w:rPr>
              <w:t>-为污染物排放浓度（mg/L）；</w:t>
            </w:r>
          </w:p>
          <w:p>
            <w:pPr>
              <w:adjustRightInd w:val="0"/>
              <w:snapToGrid w:val="0"/>
              <w:spacing w:line="360" w:lineRule="auto"/>
              <w:ind w:firstLine="1200" w:firstLineChars="500"/>
              <w:rPr>
                <w:rFonts w:eastAsiaTheme="minorEastAsia"/>
                <w:color w:val="auto"/>
                <w:sz w:val="24"/>
              </w:rPr>
            </w:pPr>
            <w:r>
              <w:rPr>
                <w:rFonts w:eastAsiaTheme="minorEastAsia"/>
                <w:color w:val="auto"/>
                <w:position w:val="-12"/>
                <w:sz w:val="24"/>
              </w:rPr>
              <w:object>
                <v:shape id="_x0000_i1031" o:spt="75" type="#_x0000_t75" style="height:15.6pt;width:15.6pt;" o:ole="t" filled="f" o:preferrelative="t" stroked="f" coordsize="21600,21600">
                  <v:path/>
                  <v:fill on="f" focussize="0,0"/>
                  <v:stroke on="f" joinstyle="miter"/>
                  <v:imagedata r:id="rId34" o:title=""/>
                  <o:lock v:ext="edit" aspectratio="t"/>
                  <w10:wrap type="none"/>
                  <w10:anchorlock/>
                </v:shape>
                <o:OLEObject Type="Embed" ProgID="Equation.3" ShapeID="_x0000_i1031" DrawAspect="Content" ObjectID="_1468075731" r:id="rId33">
                  <o:LockedField>false</o:LockedField>
                </o:OLEObject>
              </w:object>
            </w:r>
            <w:r>
              <w:rPr>
                <w:rFonts w:eastAsiaTheme="minorEastAsia"/>
                <w:color w:val="auto"/>
                <w:sz w:val="24"/>
              </w:rPr>
              <w:t>-为废水排放量（m</w:t>
            </w:r>
            <w:r>
              <w:rPr>
                <w:rFonts w:eastAsiaTheme="minorEastAsia"/>
                <w:color w:val="auto"/>
                <w:sz w:val="24"/>
                <w:vertAlign w:val="superscript"/>
              </w:rPr>
              <w:t>3</w:t>
            </w:r>
            <w:r>
              <w:rPr>
                <w:rFonts w:eastAsiaTheme="minorEastAsia"/>
                <w:color w:val="auto"/>
                <w:sz w:val="24"/>
              </w:rPr>
              <w:t>/s）；</w:t>
            </w:r>
          </w:p>
          <w:p>
            <w:pPr>
              <w:adjustRightInd w:val="0"/>
              <w:snapToGrid w:val="0"/>
              <w:spacing w:line="360" w:lineRule="auto"/>
              <w:ind w:firstLine="1200" w:firstLineChars="500"/>
              <w:rPr>
                <w:rFonts w:eastAsiaTheme="minorEastAsia"/>
                <w:color w:val="auto"/>
                <w:sz w:val="24"/>
              </w:rPr>
            </w:pPr>
            <w:r>
              <w:rPr>
                <w:rFonts w:eastAsiaTheme="minorEastAsia"/>
                <w:color w:val="auto"/>
                <w:position w:val="-10"/>
                <w:sz w:val="24"/>
              </w:rPr>
              <w:object>
                <v:shape id="_x0000_i1032" o:spt="75" type="#_x0000_t75" style="height:14.95pt;width:14.95pt;" o:ole="t" filled="f" o:preferrelative="t" stroked="f" coordsize="21600,21600">
                  <v:path/>
                  <v:fill on="f" focussize="0,0"/>
                  <v:stroke on="f" joinstyle="miter"/>
                  <v:imagedata r:id="rId36" o:title=""/>
                  <o:lock v:ext="edit" aspectratio="t"/>
                  <w10:wrap type="none"/>
                  <w10:anchorlock/>
                </v:shape>
                <o:OLEObject Type="Embed" ProgID="Equation.3" ShapeID="_x0000_i1032" DrawAspect="Content" ObjectID="_1468075732" r:id="rId35">
                  <o:LockedField>false</o:LockedField>
                </o:OLEObject>
              </w:object>
            </w:r>
            <w:r>
              <w:rPr>
                <w:rFonts w:eastAsiaTheme="minorEastAsia"/>
                <w:color w:val="auto"/>
                <w:sz w:val="24"/>
              </w:rPr>
              <w:t>-为河流现状污染物浓度（指未混合前）（mg/L）；</w:t>
            </w:r>
          </w:p>
          <w:p>
            <w:pPr>
              <w:adjustRightInd w:val="0"/>
              <w:snapToGrid w:val="0"/>
              <w:spacing w:line="360" w:lineRule="auto"/>
              <w:ind w:firstLine="1200" w:firstLineChars="500"/>
              <w:rPr>
                <w:rFonts w:eastAsiaTheme="minorEastAsia"/>
                <w:color w:val="auto"/>
                <w:sz w:val="24"/>
              </w:rPr>
            </w:pPr>
            <w:r>
              <w:rPr>
                <w:rFonts w:eastAsiaTheme="minorEastAsia"/>
                <w:color w:val="auto"/>
                <w:position w:val="-10"/>
                <w:sz w:val="24"/>
              </w:rPr>
              <w:object>
                <v:shape id="_x0000_i1033" o:spt="75" type="#_x0000_t75" style="height:14.95pt;width:14.95pt;" o:ole="t" filled="f" o:preferrelative="t" stroked="f" coordsize="21600,21600">
                  <v:path/>
                  <v:fill on="f" focussize="0,0"/>
                  <v:stroke on="f" joinstyle="miter"/>
                  <v:imagedata r:id="rId38" o:title=""/>
                  <o:lock v:ext="edit" aspectratio="t"/>
                  <w10:wrap type="none"/>
                  <w10:anchorlock/>
                </v:shape>
                <o:OLEObject Type="Embed" ProgID="Equation.3" ShapeID="_x0000_i1033" DrawAspect="Content" ObjectID="_1468075733" r:id="rId37">
                  <o:LockedField>false</o:LockedField>
                </o:OLEObject>
              </w:object>
            </w:r>
            <w:r>
              <w:rPr>
                <w:rFonts w:eastAsiaTheme="minorEastAsia"/>
                <w:color w:val="auto"/>
                <w:sz w:val="24"/>
              </w:rPr>
              <w:t>-为河流流量（m</w:t>
            </w:r>
            <w:r>
              <w:rPr>
                <w:rFonts w:eastAsiaTheme="minorEastAsia"/>
                <w:color w:val="auto"/>
                <w:sz w:val="24"/>
                <w:vertAlign w:val="superscript"/>
              </w:rPr>
              <w:t>3</w:t>
            </w:r>
            <w:r>
              <w:rPr>
                <w:rFonts w:eastAsiaTheme="minorEastAsia"/>
                <w:color w:val="auto"/>
                <w:sz w:val="24"/>
              </w:rPr>
              <w:t>/s）。</w:t>
            </w:r>
          </w:p>
          <w:p>
            <w:pPr>
              <w:adjustRightInd w:val="0"/>
              <w:snapToGrid w:val="0"/>
              <w:spacing w:line="360" w:lineRule="auto"/>
              <w:ind w:firstLine="570"/>
              <w:rPr>
                <w:rFonts w:eastAsiaTheme="minorEastAsia"/>
                <w:color w:val="auto"/>
                <w:sz w:val="24"/>
              </w:rPr>
            </w:pPr>
            <w:r>
              <w:rPr>
                <w:rFonts w:eastAsiaTheme="minorEastAsia"/>
                <w:color w:val="auto"/>
                <w:sz w:val="24"/>
              </w:rPr>
              <w:t>一维稳态S-P混合衰减模式：</w:t>
            </w:r>
          </w:p>
          <w:p>
            <w:pPr>
              <w:adjustRightInd w:val="0"/>
              <w:snapToGrid w:val="0"/>
              <w:spacing w:line="360" w:lineRule="auto"/>
              <w:ind w:firstLine="2848" w:firstLineChars="1187"/>
              <w:rPr>
                <w:rFonts w:eastAsiaTheme="minorEastAsia"/>
                <w:color w:val="auto"/>
                <w:sz w:val="24"/>
              </w:rPr>
            </w:pPr>
            <w:r>
              <w:rPr>
                <w:rFonts w:eastAsiaTheme="minorEastAsia"/>
                <w:color w:val="auto"/>
                <w:position w:val="-18"/>
                <w:sz w:val="24"/>
              </w:rPr>
              <w:object>
                <v:shape id="_x0000_i1034" o:spt="75" type="#_x0000_t75" style="height:24.45pt;width:139.9pt;" o:ole="t" filled="f" o:preferrelative="t" stroked="f" coordsize="21600,21600">
                  <v:path/>
                  <v:fill on="f" focussize="0,0"/>
                  <v:stroke on="f" joinstyle="miter"/>
                  <v:imagedata r:id="rId40" o:title=""/>
                  <o:lock v:ext="edit" aspectratio="t"/>
                  <w10:wrap type="none"/>
                  <w10:anchorlock/>
                </v:shape>
                <o:OLEObject Type="Embed" ProgID="Equation.3" ShapeID="_x0000_i1034" DrawAspect="Content" ObjectID="_1468075734" r:id="rId39">
                  <o:LockedField>false</o:LockedField>
                </o:OLEObject>
              </w:objec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式中：</w:t>
            </w:r>
            <w:r>
              <w:rPr>
                <w:rFonts w:eastAsiaTheme="minorEastAsia"/>
                <w:color w:val="auto"/>
                <w:position w:val="-4"/>
                <w:sz w:val="24"/>
              </w:rPr>
              <w:object>
                <v:shape id="_x0000_i1035" o:spt="75" type="#_x0000_t75" style="height:12.25pt;width:10.2pt;" o:ole="t" filled="f" o:preferrelative="t" stroked="f" coordsize="21600,21600">
                  <v:path/>
                  <v:fill on="f" focussize="0,0"/>
                  <v:stroke on="f" joinstyle="miter"/>
                  <v:imagedata r:id="rId42" o:title=""/>
                  <o:lock v:ext="edit" aspectratio="t"/>
                  <w10:wrap type="none"/>
                  <w10:anchorlock/>
                </v:shape>
                <o:OLEObject Type="Embed" ProgID="Equation.3" ShapeID="_x0000_i1035" DrawAspect="Content" ObjectID="_1468075735" r:id="rId41">
                  <o:LockedField>false</o:LockedField>
                </o:OLEObject>
              </w:object>
            </w:r>
            <w:r>
              <w:rPr>
                <w:rFonts w:eastAsiaTheme="minorEastAsia"/>
                <w:color w:val="auto"/>
                <w:sz w:val="24"/>
              </w:rPr>
              <w:t>-为预测断面浓度（mg/L）；</w:t>
            </w:r>
          </w:p>
          <w:p>
            <w:pPr>
              <w:adjustRightInd w:val="0"/>
              <w:snapToGrid w:val="0"/>
              <w:spacing w:line="360" w:lineRule="auto"/>
              <w:ind w:firstLine="1204" w:firstLineChars="502"/>
              <w:rPr>
                <w:rFonts w:eastAsiaTheme="minorEastAsia"/>
                <w:color w:val="auto"/>
                <w:sz w:val="24"/>
              </w:rPr>
            </w:pPr>
            <w:r>
              <w:rPr>
                <w:rFonts w:eastAsiaTheme="minorEastAsia"/>
                <w:color w:val="auto"/>
                <w:position w:val="-10"/>
                <w:sz w:val="24"/>
              </w:rPr>
              <w:object>
                <v:shape id="_x0000_i1036" o:spt="75" type="#_x0000_t75" style="height:14.95pt;width:14.25pt;" o:ole="t" filled="f" o:preferrelative="t" stroked="f" coordsize="21600,21600">
                  <v:path/>
                  <v:fill on="f" focussize="0,0"/>
                  <v:stroke on="f" joinstyle="miter"/>
                  <v:imagedata r:id="rId44" o:title=""/>
                  <o:lock v:ext="edit" aspectratio="t"/>
                  <w10:wrap type="none"/>
                  <w10:anchorlock/>
                </v:shape>
                <o:OLEObject Type="Embed" ProgID="Equation.3" ShapeID="_x0000_i1036" DrawAspect="Content" ObjectID="_1468075736" r:id="rId43">
                  <o:LockedField>false</o:LockedField>
                </o:OLEObject>
              </w:object>
            </w:r>
            <w:r>
              <w:rPr>
                <w:rFonts w:eastAsiaTheme="minorEastAsia"/>
                <w:color w:val="auto"/>
                <w:sz w:val="24"/>
              </w:rPr>
              <w:t>-为计算初始点断面污染物平均浓度（mg/L），可由完全混合模式公式计算得出；</w:t>
            </w:r>
          </w:p>
          <w:p>
            <w:pPr>
              <w:adjustRightInd w:val="0"/>
              <w:snapToGrid w:val="0"/>
              <w:spacing w:line="360" w:lineRule="auto"/>
              <w:ind w:firstLine="1204" w:firstLineChars="502"/>
              <w:rPr>
                <w:rFonts w:eastAsiaTheme="minorEastAsia"/>
                <w:color w:val="auto"/>
                <w:sz w:val="24"/>
              </w:rPr>
            </w:pPr>
            <w:r>
              <w:rPr>
                <w:rFonts w:eastAsiaTheme="minorEastAsia"/>
                <w:color w:val="auto"/>
                <w:position w:val="-10"/>
                <w:sz w:val="24"/>
              </w:rPr>
              <w:object>
                <v:shape id="_x0000_i1037" o:spt="75" type="#_x0000_t75" style="height:14.95pt;width:14.25pt;" o:ole="t" filled="f" o:preferrelative="t" stroked="f" coordsize="21600,21600">
                  <v:path/>
                  <v:fill on="f" focussize="0,0"/>
                  <v:stroke on="f" joinstyle="miter"/>
                  <v:imagedata r:id="rId46" o:title=""/>
                  <o:lock v:ext="edit" aspectratio="t"/>
                  <w10:wrap type="none"/>
                  <w10:anchorlock/>
                </v:shape>
                <o:OLEObject Type="Embed" ProgID="Equation.3" ShapeID="_x0000_i1037" DrawAspect="Content" ObjectID="_1468075737" r:id="rId45">
                  <o:LockedField>false</o:LockedField>
                </o:OLEObject>
              </w:object>
            </w:r>
            <w:r>
              <w:rPr>
                <w:rFonts w:eastAsiaTheme="minorEastAsia"/>
                <w:color w:val="auto"/>
                <w:sz w:val="24"/>
              </w:rPr>
              <w:t>-为衰减系数（d</w:t>
            </w:r>
            <w:r>
              <w:rPr>
                <w:rFonts w:eastAsiaTheme="minorEastAsia"/>
                <w:color w:val="auto"/>
                <w:sz w:val="24"/>
                <w:vertAlign w:val="superscript"/>
              </w:rPr>
              <w:t>-1</w:t>
            </w:r>
            <w:r>
              <w:rPr>
                <w:rFonts w:eastAsiaTheme="minorEastAsia"/>
                <w:color w:val="auto"/>
                <w:sz w:val="24"/>
              </w:rPr>
              <w:t>）；</w:t>
            </w:r>
          </w:p>
          <w:p>
            <w:pPr>
              <w:adjustRightInd w:val="0"/>
              <w:snapToGrid w:val="0"/>
              <w:spacing w:line="360" w:lineRule="auto"/>
              <w:ind w:firstLine="1204" w:firstLineChars="502"/>
              <w:rPr>
                <w:rFonts w:eastAsiaTheme="minorEastAsia"/>
                <w:color w:val="auto"/>
                <w:sz w:val="24"/>
              </w:rPr>
            </w:pPr>
            <w:r>
              <w:rPr>
                <w:rFonts w:eastAsiaTheme="minorEastAsia"/>
                <w:color w:val="auto"/>
                <w:position w:val="-6"/>
                <w:sz w:val="24"/>
              </w:rPr>
              <w:object>
                <v:shape id="_x0000_i1038" o:spt="75" type="#_x0000_t75" style="height:9.5pt;width:9.5pt;" o:ole="t" filled="f" o:preferrelative="t" stroked="f" coordsize="21600,21600">
                  <v:path/>
                  <v:fill on="f" focussize="0,0"/>
                  <v:stroke on="f" joinstyle="miter"/>
                  <v:imagedata r:id="rId48" o:title=""/>
                  <o:lock v:ext="edit" aspectratio="t"/>
                  <w10:wrap type="none"/>
                  <w10:anchorlock/>
                </v:shape>
                <o:OLEObject Type="Embed" ProgID="Equation.3" ShapeID="_x0000_i1038" DrawAspect="Content" ObjectID="_1468075738" r:id="rId47">
                  <o:LockedField>false</o:LockedField>
                </o:OLEObject>
              </w:object>
            </w:r>
            <w:r>
              <w:rPr>
                <w:rFonts w:eastAsiaTheme="minorEastAsia"/>
                <w:color w:val="auto"/>
                <w:sz w:val="24"/>
              </w:rPr>
              <w:t>-为衰减距离，计算点离排放口的距离（m）；</w:t>
            </w:r>
          </w:p>
          <w:p>
            <w:pPr>
              <w:adjustRightInd w:val="0"/>
              <w:snapToGrid w:val="0"/>
              <w:spacing w:line="360" w:lineRule="auto"/>
              <w:ind w:firstLine="1204" w:firstLineChars="502"/>
              <w:rPr>
                <w:rFonts w:eastAsiaTheme="minorEastAsia"/>
                <w:color w:val="auto"/>
                <w:sz w:val="24"/>
              </w:rPr>
            </w:pPr>
            <w:r>
              <w:rPr>
                <w:rFonts w:eastAsiaTheme="minorEastAsia"/>
                <w:color w:val="auto"/>
                <w:position w:val="-6"/>
                <w:sz w:val="24"/>
              </w:rPr>
              <w:object>
                <v:shape id="_x0000_i1039" o:spt="75" type="#_x0000_t75" style="height:9.5pt;width:9.5pt;" o:ole="t" filled="f" o:preferrelative="t" stroked="f" coordsize="21600,21600">
                  <v:path/>
                  <v:fill on="f" focussize="0,0"/>
                  <v:stroke on="f" joinstyle="miter"/>
                  <v:imagedata r:id="rId50" o:title=""/>
                  <o:lock v:ext="edit" aspectratio="t"/>
                  <w10:wrap type="none"/>
                  <w10:anchorlock/>
                </v:shape>
                <o:OLEObject Type="Embed" ProgID="Equation.3" ShapeID="_x0000_i1039" DrawAspect="Content" ObjectID="_1468075739" r:id="rId49">
                  <o:LockedField>false</o:LockedField>
                </o:OLEObject>
              </w:object>
            </w:r>
            <w:r>
              <w:rPr>
                <w:rFonts w:eastAsiaTheme="minorEastAsia"/>
                <w:color w:val="auto"/>
                <w:sz w:val="24"/>
              </w:rPr>
              <w:t>-为河水平均流速（m/s）。</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⑸</w:t>
            </w:r>
            <w:r>
              <w:rPr>
                <w:rFonts w:eastAsiaTheme="minorEastAsia"/>
                <w:color w:val="auto"/>
                <w:sz w:val="24"/>
              </w:rPr>
              <w:t>预测结果</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 1 \* GB3 </w:instrText>
            </w:r>
            <w:r>
              <w:rPr>
                <w:rFonts w:eastAsiaTheme="minorEastAsia"/>
                <w:color w:val="auto"/>
                <w:sz w:val="24"/>
              </w:rPr>
              <w:fldChar w:fldCharType="separate"/>
            </w:r>
            <w:r>
              <w:rPr>
                <w:rFonts w:hint="eastAsia" w:ascii="宋体" w:hAnsi="宋体" w:cs="宋体"/>
                <w:color w:val="auto"/>
                <w:sz w:val="24"/>
              </w:rPr>
              <w:t>①</w:t>
            </w:r>
            <w:r>
              <w:rPr>
                <w:rFonts w:eastAsiaTheme="minorEastAsia"/>
                <w:color w:val="auto"/>
                <w:sz w:val="24"/>
              </w:rPr>
              <w:fldChar w:fldCharType="end"/>
            </w:r>
            <w:r>
              <w:rPr>
                <w:rFonts w:eastAsiaTheme="minorEastAsia"/>
                <w:color w:val="auto"/>
                <w:sz w:val="24"/>
              </w:rPr>
              <w:t>正常运行</w:t>
            </w:r>
          </w:p>
          <w:p>
            <w:pPr>
              <w:adjustRightInd w:val="0"/>
              <w:snapToGrid w:val="0"/>
              <w:spacing w:line="360" w:lineRule="auto"/>
              <w:ind w:firstLine="560"/>
              <w:rPr>
                <w:rFonts w:eastAsiaTheme="minorEastAsia"/>
                <w:color w:val="auto"/>
                <w:sz w:val="24"/>
              </w:rPr>
            </w:pPr>
            <w:r>
              <w:rPr>
                <w:rFonts w:eastAsiaTheme="minorEastAsia"/>
                <w:color w:val="auto"/>
                <w:sz w:val="24"/>
              </w:rPr>
              <w:t>经过计算，项目运营期尾水在柏树底河排污口下游污染物增量随距离减小，详见表66。</w:t>
            </w:r>
          </w:p>
          <w:p>
            <w:pPr>
              <w:adjustRightInd w:val="0"/>
              <w:snapToGrid w:val="0"/>
              <w:spacing w:line="360" w:lineRule="auto"/>
              <w:jc w:val="center"/>
              <w:rPr>
                <w:rFonts w:eastAsiaTheme="minorEastAsia"/>
                <w:b/>
                <w:color w:val="auto"/>
                <w:sz w:val="24"/>
              </w:rPr>
            </w:pPr>
            <w:r>
              <w:rPr>
                <w:rFonts w:eastAsiaTheme="minorEastAsia"/>
                <w:b/>
                <w:color w:val="auto"/>
                <w:sz w:val="24"/>
              </w:rPr>
              <w:t>表66污水厂正常运行排污口下游污染物的增量</w:t>
            </w:r>
          </w:p>
          <w:tbl>
            <w:tblPr>
              <w:tblStyle w:val="38"/>
              <w:tblW w:w="8718"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808"/>
              <w:gridCol w:w="1986"/>
              <w:gridCol w:w="2200"/>
              <w:gridCol w:w="1724"/>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3" w:hRule="exact"/>
                <w:jc w:val="center"/>
              </w:trPr>
              <w:tc>
                <w:tcPr>
                  <w:tcW w:w="2808" w:type="dxa"/>
                  <w:vMerge w:val="restart"/>
                  <w:vAlign w:val="center"/>
                </w:tcPr>
                <w:p>
                  <w:pPr>
                    <w:snapToGrid w:val="0"/>
                    <w:jc w:val="center"/>
                    <w:rPr>
                      <w:rFonts w:eastAsiaTheme="minorEastAsia"/>
                      <w:color w:val="auto"/>
                      <w:szCs w:val="21"/>
                    </w:rPr>
                  </w:pPr>
                  <w:r>
                    <w:rPr>
                      <w:rFonts w:eastAsiaTheme="minorEastAsia"/>
                      <w:color w:val="auto"/>
                      <w:szCs w:val="21"/>
                    </w:rPr>
                    <w:t>排口下游距离(m)</w:t>
                  </w:r>
                </w:p>
              </w:tc>
              <w:tc>
                <w:tcPr>
                  <w:tcW w:w="5910" w:type="dxa"/>
                  <w:gridSpan w:val="3"/>
                  <w:vAlign w:val="center"/>
                </w:tcPr>
                <w:p>
                  <w:pPr>
                    <w:snapToGrid w:val="0"/>
                    <w:jc w:val="center"/>
                    <w:rPr>
                      <w:rFonts w:eastAsiaTheme="minorEastAsia"/>
                      <w:color w:val="auto"/>
                      <w:szCs w:val="21"/>
                    </w:rPr>
                  </w:pPr>
                  <w:r>
                    <w:rPr>
                      <w:rFonts w:eastAsiaTheme="minorEastAsia"/>
                      <w:color w:val="auto"/>
                      <w:szCs w:val="21"/>
                    </w:rPr>
                    <w:t>污染物增量(mg/L)</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808" w:type="dxa"/>
                  <w:vMerge w:val="continue"/>
                  <w:vAlign w:val="center"/>
                </w:tcPr>
                <w:p>
                  <w:pPr>
                    <w:snapToGrid w:val="0"/>
                    <w:jc w:val="center"/>
                    <w:rPr>
                      <w:rFonts w:eastAsiaTheme="minorEastAsia"/>
                      <w:color w:val="auto"/>
                      <w:szCs w:val="21"/>
                    </w:rPr>
                  </w:pPr>
                </w:p>
              </w:tc>
              <w:tc>
                <w:tcPr>
                  <w:tcW w:w="1986" w:type="dxa"/>
                  <w:vAlign w:val="center"/>
                </w:tcPr>
                <w:p>
                  <w:pPr>
                    <w:snapToGrid w:val="0"/>
                    <w:jc w:val="center"/>
                    <w:rPr>
                      <w:rFonts w:eastAsiaTheme="minorEastAsia"/>
                      <w:color w:val="auto"/>
                      <w:szCs w:val="21"/>
                    </w:rPr>
                  </w:pPr>
                  <w:r>
                    <w:rPr>
                      <w:rFonts w:eastAsiaTheme="minorEastAsia"/>
                      <w:color w:val="auto"/>
                      <w:szCs w:val="21"/>
                    </w:rPr>
                    <w:t>COD</w:t>
                  </w:r>
                  <w:r>
                    <w:rPr>
                      <w:rFonts w:eastAsiaTheme="minorEastAsia"/>
                      <w:color w:val="auto"/>
                      <w:szCs w:val="21"/>
                      <w:vertAlign w:val="subscript"/>
                    </w:rPr>
                    <w:t>cr</w:t>
                  </w:r>
                </w:p>
              </w:tc>
              <w:tc>
                <w:tcPr>
                  <w:tcW w:w="2200" w:type="dxa"/>
                  <w:vAlign w:val="center"/>
                </w:tcPr>
                <w:p>
                  <w:pPr>
                    <w:snapToGrid w:val="0"/>
                    <w:jc w:val="center"/>
                    <w:rPr>
                      <w:rFonts w:eastAsiaTheme="minorEastAsia"/>
                      <w:color w:val="auto"/>
                      <w:szCs w:val="21"/>
                    </w:rPr>
                  </w:pPr>
                  <w:r>
                    <w:rPr>
                      <w:rFonts w:eastAsiaTheme="minorEastAsia"/>
                      <w:color w:val="auto"/>
                      <w:szCs w:val="21"/>
                    </w:rPr>
                    <w:t>NH</w:t>
                  </w:r>
                  <w:r>
                    <w:rPr>
                      <w:rFonts w:eastAsiaTheme="minorEastAsia"/>
                      <w:color w:val="auto"/>
                      <w:szCs w:val="21"/>
                      <w:vertAlign w:val="subscript"/>
                    </w:rPr>
                    <w:t>3</w:t>
                  </w:r>
                  <w:r>
                    <w:rPr>
                      <w:rFonts w:eastAsiaTheme="minorEastAsia"/>
                      <w:color w:val="auto"/>
                      <w:szCs w:val="21"/>
                    </w:rPr>
                    <w:t>-N</w:t>
                  </w:r>
                </w:p>
              </w:tc>
              <w:tc>
                <w:tcPr>
                  <w:tcW w:w="1724" w:type="dxa"/>
                  <w:vAlign w:val="center"/>
                </w:tcPr>
                <w:p>
                  <w:pPr>
                    <w:snapToGrid w:val="0"/>
                    <w:jc w:val="center"/>
                    <w:rPr>
                      <w:rFonts w:eastAsiaTheme="minorEastAsia"/>
                      <w:color w:val="auto"/>
                      <w:szCs w:val="21"/>
                    </w:rPr>
                  </w:pPr>
                  <w:r>
                    <w:rPr>
                      <w:rFonts w:eastAsiaTheme="minorEastAsia"/>
                      <w:color w:val="auto"/>
                      <w:szCs w:val="21"/>
                    </w:rPr>
                    <w:t>TP</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808" w:type="dxa"/>
                  <w:vAlign w:val="center"/>
                </w:tcPr>
                <w:p>
                  <w:pPr>
                    <w:jc w:val="center"/>
                    <w:rPr>
                      <w:rFonts w:eastAsiaTheme="minorEastAsia"/>
                      <w:color w:val="auto"/>
                      <w:szCs w:val="21"/>
                    </w:rPr>
                  </w:pPr>
                  <w:r>
                    <w:rPr>
                      <w:rFonts w:eastAsiaTheme="minorEastAsia"/>
                      <w:color w:val="auto"/>
                      <w:szCs w:val="21"/>
                    </w:rPr>
                    <w:t>0</w:t>
                  </w:r>
                </w:p>
              </w:tc>
              <w:tc>
                <w:tcPr>
                  <w:tcW w:w="1986" w:type="dxa"/>
                  <w:vAlign w:val="center"/>
                </w:tcPr>
                <w:p>
                  <w:pPr>
                    <w:jc w:val="center"/>
                    <w:rPr>
                      <w:rFonts w:eastAsiaTheme="minorEastAsia"/>
                      <w:color w:val="auto"/>
                    </w:rPr>
                  </w:pPr>
                  <w:r>
                    <w:rPr>
                      <w:rFonts w:eastAsiaTheme="minorEastAsia"/>
                      <w:color w:val="auto"/>
                    </w:rPr>
                    <w:t>3.4167</w:t>
                  </w:r>
                </w:p>
              </w:tc>
              <w:tc>
                <w:tcPr>
                  <w:tcW w:w="2200" w:type="dxa"/>
                  <w:vAlign w:val="center"/>
                </w:tcPr>
                <w:p>
                  <w:pPr>
                    <w:jc w:val="center"/>
                    <w:rPr>
                      <w:rFonts w:eastAsiaTheme="minorEastAsia"/>
                      <w:color w:val="auto"/>
                    </w:rPr>
                  </w:pPr>
                  <w:r>
                    <w:rPr>
                      <w:rFonts w:eastAsiaTheme="minorEastAsia"/>
                      <w:color w:val="auto"/>
                    </w:rPr>
                    <w:t>0.2593</w:t>
                  </w:r>
                </w:p>
              </w:tc>
              <w:tc>
                <w:tcPr>
                  <w:tcW w:w="1724" w:type="dxa"/>
                  <w:vAlign w:val="center"/>
                </w:tcPr>
                <w:p>
                  <w:pPr>
                    <w:jc w:val="center"/>
                    <w:rPr>
                      <w:rFonts w:eastAsiaTheme="minorEastAsia"/>
                      <w:color w:val="auto"/>
                    </w:rPr>
                  </w:pPr>
                  <w:r>
                    <w:rPr>
                      <w:rFonts w:eastAsiaTheme="minorEastAsia"/>
                      <w:color w:val="auto"/>
                    </w:rPr>
                    <w:t>0.0370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808" w:type="dxa"/>
                  <w:vAlign w:val="center"/>
                </w:tcPr>
                <w:p>
                  <w:pPr>
                    <w:jc w:val="center"/>
                    <w:rPr>
                      <w:rFonts w:eastAsiaTheme="minorEastAsia"/>
                      <w:color w:val="auto"/>
                      <w:szCs w:val="21"/>
                    </w:rPr>
                  </w:pPr>
                  <w:r>
                    <w:rPr>
                      <w:rFonts w:eastAsiaTheme="minorEastAsia"/>
                      <w:color w:val="auto"/>
                      <w:szCs w:val="21"/>
                    </w:rPr>
                    <w:t>500</w:t>
                  </w:r>
                </w:p>
              </w:tc>
              <w:tc>
                <w:tcPr>
                  <w:tcW w:w="1986" w:type="dxa"/>
                  <w:vAlign w:val="center"/>
                </w:tcPr>
                <w:p>
                  <w:pPr>
                    <w:jc w:val="center"/>
                    <w:rPr>
                      <w:rFonts w:eastAsiaTheme="minorEastAsia"/>
                      <w:color w:val="auto"/>
                    </w:rPr>
                  </w:pPr>
                  <w:r>
                    <w:rPr>
                      <w:rFonts w:eastAsiaTheme="minorEastAsia"/>
                      <w:color w:val="auto"/>
                    </w:rPr>
                    <w:t>3.1518</w:t>
                  </w:r>
                </w:p>
              </w:tc>
              <w:tc>
                <w:tcPr>
                  <w:tcW w:w="2200" w:type="dxa"/>
                  <w:vAlign w:val="center"/>
                </w:tcPr>
                <w:p>
                  <w:pPr>
                    <w:jc w:val="center"/>
                    <w:rPr>
                      <w:rFonts w:eastAsiaTheme="minorEastAsia"/>
                      <w:color w:val="auto"/>
                    </w:rPr>
                  </w:pPr>
                  <w:r>
                    <w:rPr>
                      <w:rFonts w:eastAsiaTheme="minorEastAsia"/>
                      <w:color w:val="auto"/>
                    </w:rPr>
                    <w:t>0.1805</w:t>
                  </w:r>
                </w:p>
              </w:tc>
              <w:tc>
                <w:tcPr>
                  <w:tcW w:w="1724" w:type="dxa"/>
                  <w:vAlign w:val="center"/>
                </w:tcPr>
                <w:p>
                  <w:pPr>
                    <w:jc w:val="center"/>
                    <w:rPr>
                      <w:rFonts w:eastAsiaTheme="minorEastAsia"/>
                      <w:color w:val="auto"/>
                    </w:rPr>
                  </w:pPr>
                  <w:r>
                    <w:rPr>
                      <w:rFonts w:eastAsiaTheme="minorEastAsia"/>
                      <w:color w:val="auto"/>
                    </w:rPr>
                    <w:t>0.0342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808" w:type="dxa"/>
                  <w:vAlign w:val="center"/>
                </w:tcPr>
                <w:p>
                  <w:pPr>
                    <w:jc w:val="center"/>
                    <w:rPr>
                      <w:rFonts w:eastAsiaTheme="minorEastAsia"/>
                      <w:color w:val="auto"/>
                      <w:szCs w:val="21"/>
                    </w:rPr>
                  </w:pPr>
                  <w:r>
                    <w:rPr>
                      <w:rFonts w:eastAsiaTheme="minorEastAsia"/>
                      <w:color w:val="auto"/>
                      <w:szCs w:val="21"/>
                    </w:rPr>
                    <w:t>1000</w:t>
                  </w:r>
                </w:p>
              </w:tc>
              <w:tc>
                <w:tcPr>
                  <w:tcW w:w="1986" w:type="dxa"/>
                  <w:vAlign w:val="center"/>
                </w:tcPr>
                <w:p>
                  <w:pPr>
                    <w:jc w:val="center"/>
                    <w:rPr>
                      <w:rFonts w:eastAsiaTheme="minorEastAsia"/>
                      <w:color w:val="auto"/>
                    </w:rPr>
                  </w:pPr>
                  <w:r>
                    <w:rPr>
                      <w:rFonts w:eastAsiaTheme="minorEastAsia"/>
                      <w:color w:val="auto"/>
                    </w:rPr>
                    <w:t>2.9075</w:t>
                  </w:r>
                </w:p>
              </w:tc>
              <w:tc>
                <w:tcPr>
                  <w:tcW w:w="2200" w:type="dxa"/>
                  <w:vAlign w:val="center"/>
                </w:tcPr>
                <w:p>
                  <w:pPr>
                    <w:jc w:val="center"/>
                    <w:rPr>
                      <w:rFonts w:eastAsiaTheme="minorEastAsia"/>
                      <w:color w:val="auto"/>
                    </w:rPr>
                  </w:pPr>
                  <w:r>
                    <w:rPr>
                      <w:rFonts w:eastAsiaTheme="minorEastAsia"/>
                      <w:color w:val="auto"/>
                    </w:rPr>
                    <w:t>0.1257</w:t>
                  </w:r>
                </w:p>
              </w:tc>
              <w:tc>
                <w:tcPr>
                  <w:tcW w:w="1724" w:type="dxa"/>
                  <w:vAlign w:val="center"/>
                </w:tcPr>
                <w:p>
                  <w:pPr>
                    <w:jc w:val="center"/>
                    <w:rPr>
                      <w:rFonts w:eastAsiaTheme="minorEastAsia"/>
                      <w:color w:val="auto"/>
                    </w:rPr>
                  </w:pPr>
                  <w:r>
                    <w:rPr>
                      <w:rFonts w:eastAsiaTheme="minorEastAsia"/>
                      <w:color w:val="auto"/>
                    </w:rPr>
                    <w:t>0.0315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808" w:type="dxa"/>
                  <w:vAlign w:val="center"/>
                </w:tcPr>
                <w:p>
                  <w:pPr>
                    <w:jc w:val="center"/>
                    <w:rPr>
                      <w:rFonts w:eastAsiaTheme="minorEastAsia"/>
                      <w:color w:val="auto"/>
                      <w:szCs w:val="21"/>
                    </w:rPr>
                  </w:pPr>
                  <w:r>
                    <w:rPr>
                      <w:rFonts w:eastAsiaTheme="minorEastAsia"/>
                      <w:color w:val="auto"/>
                      <w:szCs w:val="21"/>
                    </w:rPr>
                    <w:t>1500</w:t>
                  </w:r>
                </w:p>
              </w:tc>
              <w:tc>
                <w:tcPr>
                  <w:tcW w:w="1986" w:type="dxa"/>
                  <w:vAlign w:val="center"/>
                </w:tcPr>
                <w:p>
                  <w:pPr>
                    <w:jc w:val="center"/>
                    <w:rPr>
                      <w:rFonts w:eastAsiaTheme="minorEastAsia"/>
                      <w:color w:val="auto"/>
                    </w:rPr>
                  </w:pPr>
                  <w:r>
                    <w:rPr>
                      <w:rFonts w:eastAsiaTheme="minorEastAsia"/>
                      <w:color w:val="auto"/>
                    </w:rPr>
                    <w:t>2.6821</w:t>
                  </w:r>
                </w:p>
              </w:tc>
              <w:tc>
                <w:tcPr>
                  <w:tcW w:w="2200" w:type="dxa"/>
                  <w:vAlign w:val="center"/>
                </w:tcPr>
                <w:p>
                  <w:pPr>
                    <w:jc w:val="center"/>
                    <w:rPr>
                      <w:rFonts w:eastAsiaTheme="minorEastAsia"/>
                      <w:color w:val="auto"/>
                    </w:rPr>
                  </w:pPr>
                  <w:r>
                    <w:rPr>
                      <w:rFonts w:eastAsiaTheme="minorEastAsia"/>
                      <w:color w:val="auto"/>
                    </w:rPr>
                    <w:t>0.0875</w:t>
                  </w:r>
                </w:p>
              </w:tc>
              <w:tc>
                <w:tcPr>
                  <w:tcW w:w="1724" w:type="dxa"/>
                  <w:vAlign w:val="center"/>
                </w:tcPr>
                <w:p>
                  <w:pPr>
                    <w:jc w:val="center"/>
                    <w:rPr>
                      <w:rFonts w:eastAsiaTheme="minorEastAsia"/>
                      <w:color w:val="auto"/>
                    </w:rPr>
                  </w:pPr>
                  <w:r>
                    <w:rPr>
                      <w:rFonts w:eastAsiaTheme="minorEastAsia"/>
                      <w:color w:val="auto"/>
                    </w:rPr>
                    <w:t>0.0291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808" w:type="dxa"/>
                  <w:vAlign w:val="center"/>
                </w:tcPr>
                <w:p>
                  <w:pPr>
                    <w:jc w:val="center"/>
                    <w:rPr>
                      <w:rFonts w:eastAsiaTheme="minorEastAsia"/>
                      <w:color w:val="auto"/>
                      <w:szCs w:val="21"/>
                    </w:rPr>
                  </w:pPr>
                  <w:r>
                    <w:rPr>
                      <w:rFonts w:eastAsiaTheme="minorEastAsia"/>
                      <w:color w:val="auto"/>
                      <w:szCs w:val="21"/>
                    </w:rPr>
                    <w:t>2000</w:t>
                  </w:r>
                </w:p>
              </w:tc>
              <w:tc>
                <w:tcPr>
                  <w:tcW w:w="1986" w:type="dxa"/>
                  <w:vAlign w:val="center"/>
                </w:tcPr>
                <w:p>
                  <w:pPr>
                    <w:jc w:val="center"/>
                    <w:rPr>
                      <w:rFonts w:eastAsiaTheme="minorEastAsia"/>
                      <w:color w:val="auto"/>
                    </w:rPr>
                  </w:pPr>
                  <w:r>
                    <w:rPr>
                      <w:rFonts w:eastAsiaTheme="minorEastAsia"/>
                      <w:color w:val="auto"/>
                    </w:rPr>
                    <w:t>2.4742</w:t>
                  </w:r>
                </w:p>
              </w:tc>
              <w:tc>
                <w:tcPr>
                  <w:tcW w:w="2200" w:type="dxa"/>
                  <w:vAlign w:val="center"/>
                </w:tcPr>
                <w:p>
                  <w:pPr>
                    <w:jc w:val="center"/>
                    <w:rPr>
                      <w:rFonts w:eastAsiaTheme="minorEastAsia"/>
                      <w:color w:val="auto"/>
                    </w:rPr>
                  </w:pPr>
                  <w:r>
                    <w:rPr>
                      <w:rFonts w:eastAsiaTheme="minorEastAsia"/>
                      <w:color w:val="auto"/>
                    </w:rPr>
                    <w:t>0.0609</w:t>
                  </w:r>
                </w:p>
              </w:tc>
              <w:tc>
                <w:tcPr>
                  <w:tcW w:w="1724" w:type="dxa"/>
                  <w:vAlign w:val="center"/>
                </w:tcPr>
                <w:p>
                  <w:pPr>
                    <w:jc w:val="center"/>
                    <w:rPr>
                      <w:rFonts w:eastAsiaTheme="minorEastAsia"/>
                      <w:color w:val="auto"/>
                    </w:rPr>
                  </w:pPr>
                  <w:r>
                    <w:rPr>
                      <w:rFonts w:eastAsiaTheme="minorEastAsia"/>
                      <w:color w:val="auto"/>
                    </w:rPr>
                    <w:t>0.0268</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808" w:type="dxa"/>
                  <w:vAlign w:val="center"/>
                </w:tcPr>
                <w:p>
                  <w:pPr>
                    <w:jc w:val="center"/>
                    <w:rPr>
                      <w:rFonts w:eastAsiaTheme="minorEastAsia"/>
                      <w:color w:val="auto"/>
                      <w:szCs w:val="21"/>
                    </w:rPr>
                  </w:pPr>
                  <w:r>
                    <w:rPr>
                      <w:rFonts w:eastAsiaTheme="minorEastAsia"/>
                      <w:color w:val="auto"/>
                      <w:szCs w:val="21"/>
                    </w:rPr>
                    <w:t>2500</w:t>
                  </w:r>
                </w:p>
              </w:tc>
              <w:tc>
                <w:tcPr>
                  <w:tcW w:w="1986" w:type="dxa"/>
                  <w:vAlign w:val="center"/>
                </w:tcPr>
                <w:p>
                  <w:pPr>
                    <w:jc w:val="center"/>
                    <w:rPr>
                      <w:rFonts w:eastAsiaTheme="minorEastAsia"/>
                      <w:color w:val="auto"/>
                    </w:rPr>
                  </w:pPr>
                  <w:r>
                    <w:rPr>
                      <w:rFonts w:eastAsiaTheme="minorEastAsia"/>
                      <w:color w:val="auto"/>
                    </w:rPr>
                    <w:t>2.2824</w:t>
                  </w:r>
                </w:p>
              </w:tc>
              <w:tc>
                <w:tcPr>
                  <w:tcW w:w="2200" w:type="dxa"/>
                  <w:vAlign w:val="center"/>
                </w:tcPr>
                <w:p>
                  <w:pPr>
                    <w:jc w:val="center"/>
                    <w:rPr>
                      <w:rFonts w:eastAsiaTheme="minorEastAsia"/>
                      <w:color w:val="auto"/>
                    </w:rPr>
                  </w:pPr>
                  <w:r>
                    <w:rPr>
                      <w:rFonts w:eastAsiaTheme="minorEastAsia"/>
                      <w:color w:val="auto"/>
                    </w:rPr>
                    <w:t>0.0424</w:t>
                  </w:r>
                </w:p>
              </w:tc>
              <w:tc>
                <w:tcPr>
                  <w:tcW w:w="1724" w:type="dxa"/>
                  <w:vAlign w:val="center"/>
                </w:tcPr>
                <w:p>
                  <w:pPr>
                    <w:jc w:val="center"/>
                    <w:rPr>
                      <w:rFonts w:eastAsiaTheme="minorEastAsia"/>
                      <w:color w:val="auto"/>
                    </w:rPr>
                  </w:pPr>
                  <w:r>
                    <w:rPr>
                      <w:rFonts w:eastAsiaTheme="minorEastAsia"/>
                      <w:color w:val="auto"/>
                    </w:rPr>
                    <w:t>0.0247</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808" w:type="dxa"/>
                  <w:vAlign w:val="center"/>
                </w:tcPr>
                <w:p>
                  <w:pPr>
                    <w:jc w:val="center"/>
                    <w:rPr>
                      <w:rFonts w:eastAsiaTheme="minorEastAsia"/>
                      <w:color w:val="auto"/>
                      <w:szCs w:val="21"/>
                      <w:highlight w:val="yellow"/>
                    </w:rPr>
                  </w:pPr>
                  <w:r>
                    <w:rPr>
                      <w:rFonts w:eastAsiaTheme="minorEastAsia"/>
                      <w:color w:val="auto"/>
                      <w:szCs w:val="21"/>
                    </w:rPr>
                    <w:t>3000</w:t>
                  </w:r>
                </w:p>
              </w:tc>
              <w:tc>
                <w:tcPr>
                  <w:tcW w:w="1986" w:type="dxa"/>
                  <w:vAlign w:val="center"/>
                </w:tcPr>
                <w:p>
                  <w:pPr>
                    <w:jc w:val="center"/>
                    <w:rPr>
                      <w:rFonts w:eastAsiaTheme="minorEastAsia"/>
                      <w:color w:val="auto"/>
                    </w:rPr>
                  </w:pPr>
                  <w:r>
                    <w:rPr>
                      <w:rFonts w:eastAsiaTheme="minorEastAsia"/>
                      <w:color w:val="auto"/>
                    </w:rPr>
                    <w:t>2.1055</w:t>
                  </w:r>
                </w:p>
              </w:tc>
              <w:tc>
                <w:tcPr>
                  <w:tcW w:w="2200" w:type="dxa"/>
                  <w:vAlign w:val="center"/>
                </w:tcPr>
                <w:p>
                  <w:pPr>
                    <w:jc w:val="center"/>
                    <w:rPr>
                      <w:rFonts w:eastAsiaTheme="minorEastAsia"/>
                      <w:color w:val="auto"/>
                    </w:rPr>
                  </w:pPr>
                  <w:r>
                    <w:rPr>
                      <w:rFonts w:eastAsiaTheme="minorEastAsia"/>
                      <w:color w:val="auto"/>
                    </w:rPr>
                    <w:t>0.0295</w:t>
                  </w:r>
                </w:p>
              </w:tc>
              <w:tc>
                <w:tcPr>
                  <w:tcW w:w="1724" w:type="dxa"/>
                  <w:vAlign w:val="center"/>
                </w:tcPr>
                <w:p>
                  <w:pPr>
                    <w:jc w:val="center"/>
                    <w:rPr>
                      <w:rFonts w:eastAsiaTheme="minorEastAsia"/>
                      <w:color w:val="auto"/>
                    </w:rPr>
                  </w:pPr>
                  <w:r>
                    <w:rPr>
                      <w:rFonts w:eastAsiaTheme="minorEastAsia"/>
                      <w:color w:val="auto"/>
                    </w:rPr>
                    <w:t>0.0228</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808" w:type="dxa"/>
                  <w:vAlign w:val="center"/>
                </w:tcPr>
                <w:p>
                  <w:pPr>
                    <w:jc w:val="center"/>
                    <w:rPr>
                      <w:rFonts w:eastAsiaTheme="minorEastAsia"/>
                      <w:color w:val="auto"/>
                      <w:szCs w:val="21"/>
                    </w:rPr>
                  </w:pPr>
                  <w:r>
                    <w:rPr>
                      <w:rFonts w:eastAsiaTheme="minorEastAsia"/>
                      <w:color w:val="auto"/>
                      <w:szCs w:val="21"/>
                    </w:rPr>
                    <w:t>3500</w:t>
                  </w:r>
                </w:p>
              </w:tc>
              <w:tc>
                <w:tcPr>
                  <w:tcW w:w="1986" w:type="dxa"/>
                  <w:vAlign w:val="center"/>
                </w:tcPr>
                <w:p>
                  <w:pPr>
                    <w:jc w:val="center"/>
                    <w:rPr>
                      <w:rFonts w:eastAsiaTheme="minorEastAsia"/>
                      <w:color w:val="auto"/>
                    </w:rPr>
                  </w:pPr>
                  <w:r>
                    <w:rPr>
                      <w:rFonts w:eastAsiaTheme="minorEastAsia"/>
                      <w:color w:val="auto"/>
                    </w:rPr>
                    <w:t>1.9423</w:t>
                  </w:r>
                </w:p>
              </w:tc>
              <w:tc>
                <w:tcPr>
                  <w:tcW w:w="2200" w:type="dxa"/>
                  <w:vAlign w:val="center"/>
                </w:tcPr>
                <w:p>
                  <w:pPr>
                    <w:jc w:val="center"/>
                    <w:rPr>
                      <w:rFonts w:eastAsiaTheme="minorEastAsia"/>
                      <w:color w:val="auto"/>
                    </w:rPr>
                  </w:pPr>
                  <w:r>
                    <w:rPr>
                      <w:rFonts w:eastAsiaTheme="minorEastAsia"/>
                      <w:color w:val="auto"/>
                    </w:rPr>
                    <w:t>0.0206</w:t>
                  </w:r>
                </w:p>
              </w:tc>
              <w:tc>
                <w:tcPr>
                  <w:tcW w:w="1724" w:type="dxa"/>
                  <w:vAlign w:val="center"/>
                </w:tcPr>
                <w:p>
                  <w:pPr>
                    <w:jc w:val="center"/>
                    <w:rPr>
                      <w:rFonts w:eastAsiaTheme="minorEastAsia"/>
                      <w:color w:val="auto"/>
                    </w:rPr>
                  </w:pPr>
                  <w:r>
                    <w:rPr>
                      <w:rFonts w:eastAsiaTheme="minorEastAsia"/>
                      <w:color w:val="auto"/>
                    </w:rPr>
                    <w:t>0.0211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808" w:type="dxa"/>
                  <w:vAlign w:val="center"/>
                </w:tcPr>
                <w:p>
                  <w:pPr>
                    <w:jc w:val="center"/>
                    <w:rPr>
                      <w:rFonts w:eastAsiaTheme="minorEastAsia"/>
                      <w:color w:val="auto"/>
                      <w:szCs w:val="21"/>
                    </w:rPr>
                  </w:pPr>
                  <w:r>
                    <w:rPr>
                      <w:rFonts w:eastAsiaTheme="minorEastAsia"/>
                      <w:color w:val="auto"/>
                      <w:szCs w:val="21"/>
                    </w:rPr>
                    <w:t>4000</w:t>
                  </w:r>
                </w:p>
              </w:tc>
              <w:tc>
                <w:tcPr>
                  <w:tcW w:w="1986" w:type="dxa"/>
                  <w:vAlign w:val="center"/>
                </w:tcPr>
                <w:p>
                  <w:pPr>
                    <w:jc w:val="center"/>
                    <w:rPr>
                      <w:rFonts w:eastAsiaTheme="minorEastAsia"/>
                      <w:color w:val="auto"/>
                    </w:rPr>
                  </w:pPr>
                  <w:r>
                    <w:rPr>
                      <w:rFonts w:eastAsiaTheme="minorEastAsia"/>
                      <w:color w:val="auto"/>
                    </w:rPr>
                    <w:t>1.7918</w:t>
                  </w:r>
                </w:p>
              </w:tc>
              <w:tc>
                <w:tcPr>
                  <w:tcW w:w="2200" w:type="dxa"/>
                  <w:vAlign w:val="center"/>
                </w:tcPr>
                <w:p>
                  <w:pPr>
                    <w:jc w:val="center"/>
                    <w:rPr>
                      <w:rFonts w:eastAsiaTheme="minorEastAsia"/>
                      <w:color w:val="auto"/>
                    </w:rPr>
                  </w:pPr>
                  <w:r>
                    <w:rPr>
                      <w:rFonts w:eastAsiaTheme="minorEastAsia"/>
                      <w:color w:val="auto"/>
                    </w:rPr>
                    <w:t>0.0143</w:t>
                  </w:r>
                </w:p>
              </w:tc>
              <w:tc>
                <w:tcPr>
                  <w:tcW w:w="1724" w:type="dxa"/>
                  <w:vAlign w:val="center"/>
                </w:tcPr>
                <w:p>
                  <w:pPr>
                    <w:jc w:val="center"/>
                    <w:rPr>
                      <w:rFonts w:eastAsiaTheme="minorEastAsia"/>
                      <w:color w:val="auto"/>
                    </w:rPr>
                  </w:pPr>
                  <w:r>
                    <w:rPr>
                      <w:rFonts w:eastAsiaTheme="minorEastAsia"/>
                      <w:color w:val="auto"/>
                    </w:rPr>
                    <w:t>0.0194</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808" w:type="dxa"/>
                  <w:vAlign w:val="center"/>
                </w:tcPr>
                <w:p>
                  <w:pPr>
                    <w:jc w:val="center"/>
                    <w:rPr>
                      <w:rFonts w:eastAsiaTheme="minorEastAsia"/>
                      <w:color w:val="auto"/>
                      <w:szCs w:val="21"/>
                    </w:rPr>
                  </w:pPr>
                  <w:r>
                    <w:rPr>
                      <w:rFonts w:eastAsiaTheme="minorEastAsia"/>
                      <w:color w:val="auto"/>
                      <w:szCs w:val="21"/>
                    </w:rPr>
                    <w:t>4500</w:t>
                  </w:r>
                </w:p>
              </w:tc>
              <w:tc>
                <w:tcPr>
                  <w:tcW w:w="1986" w:type="dxa"/>
                  <w:vAlign w:val="center"/>
                </w:tcPr>
                <w:p>
                  <w:pPr>
                    <w:jc w:val="center"/>
                    <w:rPr>
                      <w:rFonts w:eastAsiaTheme="minorEastAsia"/>
                      <w:color w:val="auto"/>
                    </w:rPr>
                  </w:pPr>
                  <w:r>
                    <w:rPr>
                      <w:rFonts w:eastAsiaTheme="minorEastAsia"/>
                      <w:color w:val="auto"/>
                    </w:rPr>
                    <w:t>1.6529</w:t>
                  </w:r>
                </w:p>
              </w:tc>
              <w:tc>
                <w:tcPr>
                  <w:tcW w:w="2200" w:type="dxa"/>
                  <w:vAlign w:val="center"/>
                </w:tcPr>
                <w:p>
                  <w:pPr>
                    <w:jc w:val="center"/>
                    <w:rPr>
                      <w:rFonts w:eastAsiaTheme="minorEastAsia"/>
                      <w:color w:val="auto"/>
                    </w:rPr>
                  </w:pPr>
                  <w:r>
                    <w:rPr>
                      <w:rFonts w:eastAsiaTheme="minorEastAsia"/>
                      <w:color w:val="auto"/>
                    </w:rPr>
                    <w:t>0.0100</w:t>
                  </w:r>
                </w:p>
              </w:tc>
              <w:tc>
                <w:tcPr>
                  <w:tcW w:w="1724" w:type="dxa"/>
                  <w:vAlign w:val="center"/>
                </w:tcPr>
                <w:p>
                  <w:pPr>
                    <w:jc w:val="center"/>
                    <w:rPr>
                      <w:rFonts w:eastAsiaTheme="minorEastAsia"/>
                      <w:color w:val="auto"/>
                    </w:rPr>
                  </w:pPr>
                  <w:r>
                    <w:rPr>
                      <w:rFonts w:eastAsiaTheme="minorEastAsia"/>
                      <w:color w:val="auto"/>
                    </w:rPr>
                    <w:t>0.0179</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808" w:type="dxa"/>
                  <w:vAlign w:val="center"/>
                </w:tcPr>
                <w:p>
                  <w:pPr>
                    <w:jc w:val="center"/>
                    <w:rPr>
                      <w:rFonts w:eastAsiaTheme="minorEastAsia"/>
                      <w:color w:val="auto"/>
                      <w:szCs w:val="21"/>
                    </w:rPr>
                  </w:pPr>
                  <w:r>
                    <w:rPr>
                      <w:rFonts w:eastAsiaTheme="minorEastAsia"/>
                      <w:color w:val="auto"/>
                      <w:szCs w:val="21"/>
                    </w:rPr>
                    <w:t>5000</w:t>
                  </w:r>
                </w:p>
              </w:tc>
              <w:tc>
                <w:tcPr>
                  <w:tcW w:w="1986" w:type="dxa"/>
                  <w:vAlign w:val="center"/>
                </w:tcPr>
                <w:p>
                  <w:pPr>
                    <w:jc w:val="center"/>
                    <w:rPr>
                      <w:rFonts w:eastAsiaTheme="minorEastAsia"/>
                      <w:color w:val="auto"/>
                    </w:rPr>
                  </w:pPr>
                  <w:r>
                    <w:rPr>
                      <w:rFonts w:eastAsiaTheme="minorEastAsia"/>
                      <w:color w:val="auto"/>
                    </w:rPr>
                    <w:t>1.5248</w:t>
                  </w:r>
                </w:p>
              </w:tc>
              <w:tc>
                <w:tcPr>
                  <w:tcW w:w="2200" w:type="dxa"/>
                  <w:vAlign w:val="center"/>
                </w:tcPr>
                <w:p>
                  <w:pPr>
                    <w:jc w:val="center"/>
                    <w:rPr>
                      <w:rFonts w:eastAsiaTheme="minorEastAsia"/>
                      <w:color w:val="auto"/>
                    </w:rPr>
                  </w:pPr>
                  <w:r>
                    <w:rPr>
                      <w:rFonts w:eastAsiaTheme="minorEastAsia"/>
                      <w:color w:val="auto"/>
                    </w:rPr>
                    <w:t>0.0069</w:t>
                  </w:r>
                </w:p>
              </w:tc>
              <w:tc>
                <w:tcPr>
                  <w:tcW w:w="1724" w:type="dxa"/>
                  <w:vAlign w:val="center"/>
                </w:tcPr>
                <w:p>
                  <w:pPr>
                    <w:jc w:val="center"/>
                    <w:rPr>
                      <w:rFonts w:eastAsiaTheme="minorEastAsia"/>
                      <w:color w:val="auto"/>
                    </w:rPr>
                  </w:pPr>
                  <w:r>
                    <w:rPr>
                      <w:rFonts w:eastAsiaTheme="minorEastAsia"/>
                      <w:color w:val="auto"/>
                    </w:rPr>
                    <w:t>0.0165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808" w:type="dxa"/>
                  <w:vAlign w:val="center"/>
                </w:tcPr>
                <w:p>
                  <w:pPr>
                    <w:jc w:val="center"/>
                    <w:rPr>
                      <w:rFonts w:eastAsiaTheme="minorEastAsia"/>
                      <w:color w:val="auto"/>
                      <w:szCs w:val="21"/>
                    </w:rPr>
                  </w:pPr>
                  <w:r>
                    <w:rPr>
                      <w:rFonts w:eastAsiaTheme="minorEastAsia"/>
                      <w:color w:val="auto"/>
                      <w:szCs w:val="21"/>
                    </w:rPr>
                    <w:t>10000</w:t>
                  </w:r>
                </w:p>
              </w:tc>
              <w:tc>
                <w:tcPr>
                  <w:tcW w:w="1986" w:type="dxa"/>
                  <w:vAlign w:val="center"/>
                </w:tcPr>
                <w:p>
                  <w:pPr>
                    <w:jc w:val="center"/>
                    <w:rPr>
                      <w:rFonts w:eastAsiaTheme="minorEastAsia"/>
                      <w:color w:val="auto"/>
                    </w:rPr>
                  </w:pPr>
                  <w:r>
                    <w:rPr>
                      <w:rFonts w:eastAsiaTheme="minorEastAsia"/>
                      <w:color w:val="auto"/>
                    </w:rPr>
                    <w:t>0.6804</w:t>
                  </w:r>
                </w:p>
              </w:tc>
              <w:tc>
                <w:tcPr>
                  <w:tcW w:w="2200" w:type="dxa"/>
                  <w:vAlign w:val="center"/>
                </w:tcPr>
                <w:p>
                  <w:pPr>
                    <w:jc w:val="center"/>
                    <w:rPr>
                      <w:rFonts w:eastAsiaTheme="minorEastAsia"/>
                      <w:color w:val="auto"/>
                    </w:rPr>
                  </w:pPr>
                  <w:r>
                    <w:rPr>
                      <w:rFonts w:eastAsiaTheme="minorEastAsia"/>
                      <w:color w:val="auto"/>
                    </w:rPr>
                    <w:t>0.0008</w:t>
                  </w:r>
                </w:p>
              </w:tc>
              <w:tc>
                <w:tcPr>
                  <w:tcW w:w="1724" w:type="dxa"/>
                  <w:vAlign w:val="center"/>
                </w:tcPr>
                <w:p>
                  <w:pPr>
                    <w:jc w:val="center"/>
                    <w:rPr>
                      <w:rFonts w:eastAsiaTheme="minorEastAsia"/>
                      <w:color w:val="auto"/>
                    </w:rPr>
                  </w:pPr>
                  <w:r>
                    <w:rPr>
                      <w:rFonts w:eastAsiaTheme="minorEastAsia"/>
                      <w:color w:val="auto"/>
                    </w:rPr>
                    <w:t>0.0074</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808" w:type="dxa"/>
                  <w:vAlign w:val="center"/>
                </w:tcPr>
                <w:p>
                  <w:pPr>
                    <w:jc w:val="center"/>
                    <w:rPr>
                      <w:rFonts w:eastAsiaTheme="minorEastAsia"/>
                      <w:color w:val="auto"/>
                      <w:szCs w:val="21"/>
                    </w:rPr>
                  </w:pPr>
                  <w:r>
                    <w:rPr>
                      <w:rFonts w:eastAsiaTheme="minorEastAsia"/>
                      <w:color w:val="auto"/>
                      <w:szCs w:val="21"/>
                    </w:rPr>
                    <w:t>15000</w:t>
                  </w:r>
                </w:p>
              </w:tc>
              <w:tc>
                <w:tcPr>
                  <w:tcW w:w="1986" w:type="dxa"/>
                  <w:vAlign w:val="center"/>
                </w:tcPr>
                <w:p>
                  <w:pPr>
                    <w:jc w:val="center"/>
                    <w:rPr>
                      <w:rFonts w:eastAsiaTheme="minorEastAsia"/>
                      <w:color w:val="auto"/>
                    </w:rPr>
                  </w:pPr>
                  <w:r>
                    <w:rPr>
                      <w:rFonts w:eastAsiaTheme="minorEastAsia"/>
                      <w:color w:val="auto"/>
                    </w:rPr>
                    <w:t>0.3037</w:t>
                  </w:r>
                </w:p>
              </w:tc>
              <w:tc>
                <w:tcPr>
                  <w:tcW w:w="2200" w:type="dxa"/>
                  <w:vAlign w:val="center"/>
                </w:tcPr>
                <w:p>
                  <w:pPr>
                    <w:jc w:val="center"/>
                    <w:rPr>
                      <w:rFonts w:eastAsiaTheme="minorEastAsia"/>
                      <w:color w:val="auto"/>
                    </w:rPr>
                  </w:pPr>
                  <w:r>
                    <w:rPr>
                      <w:rFonts w:eastAsiaTheme="minorEastAsia"/>
                      <w:color w:val="auto"/>
                    </w:rPr>
                    <w:t>0.0000</w:t>
                  </w:r>
                </w:p>
              </w:tc>
              <w:tc>
                <w:tcPr>
                  <w:tcW w:w="1724" w:type="dxa"/>
                  <w:vAlign w:val="center"/>
                </w:tcPr>
                <w:p>
                  <w:pPr>
                    <w:jc w:val="center"/>
                    <w:rPr>
                      <w:rFonts w:eastAsiaTheme="minorEastAsia"/>
                      <w:color w:val="auto"/>
                    </w:rPr>
                  </w:pPr>
                  <w:r>
                    <w:rPr>
                      <w:rFonts w:eastAsiaTheme="minorEastAsia"/>
                      <w:color w:val="auto"/>
                    </w:rPr>
                    <w:t>0.0033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808" w:type="dxa"/>
                  <w:vAlign w:val="center"/>
                </w:tcPr>
                <w:p>
                  <w:pPr>
                    <w:jc w:val="center"/>
                    <w:rPr>
                      <w:rFonts w:eastAsiaTheme="minorEastAsia"/>
                      <w:color w:val="auto"/>
                      <w:szCs w:val="21"/>
                    </w:rPr>
                  </w:pPr>
                  <w:r>
                    <w:rPr>
                      <w:rFonts w:eastAsiaTheme="minorEastAsia"/>
                      <w:color w:val="auto"/>
                      <w:szCs w:val="21"/>
                    </w:rPr>
                    <w:t>20000</w:t>
                  </w:r>
                </w:p>
              </w:tc>
              <w:tc>
                <w:tcPr>
                  <w:tcW w:w="1986" w:type="dxa"/>
                  <w:vAlign w:val="center"/>
                </w:tcPr>
                <w:p>
                  <w:pPr>
                    <w:jc w:val="center"/>
                    <w:rPr>
                      <w:rFonts w:eastAsiaTheme="minorEastAsia"/>
                      <w:color w:val="auto"/>
                    </w:rPr>
                  </w:pPr>
                  <w:r>
                    <w:rPr>
                      <w:rFonts w:eastAsiaTheme="minorEastAsia"/>
                      <w:color w:val="auto"/>
                    </w:rPr>
                    <w:t>0.1355</w:t>
                  </w:r>
                </w:p>
              </w:tc>
              <w:tc>
                <w:tcPr>
                  <w:tcW w:w="2200" w:type="dxa"/>
                  <w:vAlign w:val="center"/>
                </w:tcPr>
                <w:p>
                  <w:pPr>
                    <w:jc w:val="center"/>
                    <w:rPr>
                      <w:rFonts w:eastAsiaTheme="minorEastAsia"/>
                      <w:color w:val="auto"/>
                    </w:rPr>
                  </w:pPr>
                  <w:r>
                    <w:rPr>
                      <w:rFonts w:eastAsiaTheme="minorEastAsia"/>
                      <w:color w:val="auto"/>
                    </w:rPr>
                    <w:t>0.0000</w:t>
                  </w:r>
                </w:p>
              </w:tc>
              <w:tc>
                <w:tcPr>
                  <w:tcW w:w="1724" w:type="dxa"/>
                  <w:vAlign w:val="center"/>
                </w:tcPr>
                <w:p>
                  <w:pPr>
                    <w:jc w:val="center"/>
                    <w:rPr>
                      <w:rFonts w:eastAsiaTheme="minorEastAsia"/>
                      <w:color w:val="auto"/>
                    </w:rPr>
                  </w:pPr>
                  <w:r>
                    <w:rPr>
                      <w:rFonts w:eastAsiaTheme="minorEastAsia"/>
                      <w:color w:val="auto"/>
                    </w:rPr>
                    <w:t>0.0015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808" w:type="dxa"/>
                  <w:vAlign w:val="center"/>
                </w:tcPr>
                <w:p>
                  <w:pPr>
                    <w:jc w:val="center"/>
                    <w:rPr>
                      <w:rFonts w:eastAsiaTheme="minorEastAsia"/>
                      <w:b/>
                      <w:color w:val="auto"/>
                      <w:szCs w:val="21"/>
                    </w:rPr>
                  </w:pPr>
                  <w:r>
                    <w:rPr>
                      <w:rFonts w:eastAsiaTheme="minorEastAsia"/>
                      <w:b/>
                      <w:color w:val="auto"/>
                      <w:szCs w:val="21"/>
                    </w:rPr>
                    <w:t>20500</w:t>
                  </w:r>
                </w:p>
              </w:tc>
              <w:tc>
                <w:tcPr>
                  <w:tcW w:w="1986" w:type="dxa"/>
                  <w:vAlign w:val="center"/>
                </w:tcPr>
                <w:p>
                  <w:pPr>
                    <w:jc w:val="center"/>
                    <w:rPr>
                      <w:rFonts w:eastAsiaTheme="minorEastAsia"/>
                      <w:color w:val="auto"/>
                    </w:rPr>
                  </w:pPr>
                  <w:r>
                    <w:rPr>
                      <w:rFonts w:eastAsiaTheme="minorEastAsia"/>
                      <w:color w:val="auto"/>
                    </w:rPr>
                    <w:t>0.1250</w:t>
                  </w:r>
                </w:p>
              </w:tc>
              <w:tc>
                <w:tcPr>
                  <w:tcW w:w="2200" w:type="dxa"/>
                  <w:vAlign w:val="center"/>
                </w:tcPr>
                <w:p>
                  <w:pPr>
                    <w:jc w:val="center"/>
                    <w:rPr>
                      <w:rFonts w:eastAsiaTheme="minorEastAsia"/>
                      <w:color w:val="auto"/>
                    </w:rPr>
                  </w:pPr>
                  <w:r>
                    <w:rPr>
                      <w:rFonts w:eastAsiaTheme="minorEastAsia"/>
                      <w:color w:val="auto"/>
                    </w:rPr>
                    <w:t>0.0000</w:t>
                  </w:r>
                </w:p>
              </w:tc>
              <w:tc>
                <w:tcPr>
                  <w:tcW w:w="1724" w:type="dxa"/>
                  <w:vAlign w:val="center"/>
                </w:tcPr>
                <w:p>
                  <w:pPr>
                    <w:jc w:val="center"/>
                    <w:rPr>
                      <w:rFonts w:eastAsiaTheme="minorEastAsia"/>
                      <w:color w:val="auto"/>
                      <w:szCs w:val="21"/>
                    </w:rPr>
                  </w:pPr>
                  <w:r>
                    <w:rPr>
                      <w:rFonts w:eastAsiaTheme="minorEastAsia"/>
                      <w:color w:val="auto"/>
                      <w:szCs w:val="21"/>
                    </w:rPr>
                    <w:t>0.0014</w:t>
                  </w:r>
                </w:p>
                <w:p>
                  <w:pPr>
                    <w:jc w:val="center"/>
                    <w:rPr>
                      <w:rFonts w:eastAsiaTheme="minorEastAsia"/>
                      <w:b/>
                      <w:color w:val="auto"/>
                      <w:szCs w:val="21"/>
                    </w:rPr>
                  </w:pPr>
                  <w:r>
                    <w:rPr>
                      <w:rFonts w:eastAsiaTheme="minorEastAsia"/>
                      <w:b/>
                      <w:color w:val="auto"/>
                      <w:szCs w:val="21"/>
                    </w:rPr>
                    <w:t>0.0041</w:t>
                  </w:r>
                </w:p>
              </w:tc>
            </w:tr>
          </w:tbl>
          <w:p>
            <w:pPr>
              <w:pStyle w:val="178"/>
              <w:adjustRightInd w:val="0"/>
              <w:snapToGrid w:val="0"/>
              <w:spacing w:line="480" w:lineRule="exact"/>
              <w:ind w:firstLine="555"/>
              <w:rPr>
                <w:rFonts w:ascii="Times New Roman" w:eastAsiaTheme="minorEastAsia"/>
                <w:color w:val="auto"/>
                <w:kern w:val="0"/>
                <w:sz w:val="24"/>
                <w:szCs w:val="24"/>
              </w:rPr>
            </w:pPr>
            <w:r>
              <w:rPr>
                <w:rFonts w:ascii="Times New Roman" w:eastAsiaTheme="minorEastAsia"/>
                <w:color w:val="auto"/>
                <w:sz w:val="24"/>
                <w:szCs w:val="24"/>
              </w:rPr>
              <w:t>由表65可知，污水厂正常运行时，柏树底河在排口下游20.5km处的COD</w:t>
            </w:r>
            <w:r>
              <w:rPr>
                <w:rFonts w:ascii="Times New Roman" w:eastAsiaTheme="minorEastAsia"/>
                <w:color w:val="auto"/>
                <w:sz w:val="24"/>
                <w:szCs w:val="24"/>
                <w:vertAlign w:val="subscript"/>
              </w:rPr>
              <w:t>cr</w:t>
            </w:r>
            <w:r>
              <w:rPr>
                <w:rFonts w:ascii="Times New Roman" w:eastAsiaTheme="minorEastAsia"/>
                <w:color w:val="auto"/>
                <w:sz w:val="24"/>
                <w:szCs w:val="24"/>
              </w:rPr>
              <w:t>、NH</w:t>
            </w:r>
            <w:r>
              <w:rPr>
                <w:rFonts w:ascii="Times New Roman" w:eastAsiaTheme="minorEastAsia"/>
                <w:color w:val="auto"/>
                <w:sz w:val="24"/>
                <w:szCs w:val="24"/>
                <w:vertAlign w:val="subscript"/>
              </w:rPr>
              <w:t>3</w:t>
            </w:r>
            <w:r>
              <w:rPr>
                <w:rFonts w:ascii="Times New Roman" w:eastAsiaTheme="minorEastAsia"/>
                <w:color w:val="auto"/>
                <w:sz w:val="24"/>
                <w:szCs w:val="24"/>
              </w:rPr>
              <w:t>-N、TP的增量分别为0.125mg/L、0.00mg/L、0.0014mg/L，分别占《地表水环境质量标准》（GB3838-2002）中</w:t>
            </w:r>
            <w:r>
              <w:rPr>
                <w:rFonts w:ascii="Times New Roman" w:eastAsiaTheme="minorEastAsia"/>
                <w:color w:val="auto"/>
                <w:sz w:val="24"/>
                <w:szCs w:val="24"/>
              </w:rPr>
              <w:fldChar w:fldCharType="begin"/>
            </w:r>
            <w:r>
              <w:rPr>
                <w:rFonts w:ascii="Times New Roman" w:eastAsiaTheme="minorEastAsia"/>
                <w:color w:val="auto"/>
                <w:sz w:val="24"/>
                <w:szCs w:val="24"/>
              </w:rPr>
              <w:instrText xml:space="preserve"> = 3 \* ROMAN </w:instrText>
            </w:r>
            <w:r>
              <w:rPr>
                <w:rFonts w:ascii="Times New Roman" w:eastAsiaTheme="minorEastAsia"/>
                <w:color w:val="auto"/>
                <w:sz w:val="24"/>
                <w:szCs w:val="24"/>
              </w:rPr>
              <w:fldChar w:fldCharType="separate"/>
            </w:r>
            <w:r>
              <w:rPr>
                <w:rFonts w:ascii="Times New Roman" w:eastAsiaTheme="minorEastAsia"/>
                <w:color w:val="auto"/>
                <w:sz w:val="24"/>
                <w:szCs w:val="24"/>
              </w:rPr>
              <w:t>IV</w:t>
            </w:r>
            <w:r>
              <w:rPr>
                <w:rFonts w:ascii="Times New Roman" w:eastAsiaTheme="minorEastAsia"/>
                <w:color w:val="auto"/>
                <w:sz w:val="24"/>
                <w:szCs w:val="24"/>
              </w:rPr>
              <w:fldChar w:fldCharType="end"/>
            </w:r>
            <w:r>
              <w:rPr>
                <w:rFonts w:ascii="Times New Roman" w:eastAsiaTheme="minorEastAsia"/>
                <w:color w:val="auto"/>
                <w:sz w:val="24"/>
                <w:szCs w:val="24"/>
              </w:rPr>
              <w:t>类标准的0.416%、0%、0.467%，对柏树底河现水质状影响较小。</w:t>
            </w:r>
          </w:p>
          <w:p>
            <w:pPr>
              <w:spacing w:line="480" w:lineRule="exact"/>
              <w:ind w:firstLine="480" w:firstLineChars="20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 2 \* GB3 </w:instrText>
            </w:r>
            <w:r>
              <w:rPr>
                <w:rFonts w:eastAsiaTheme="minorEastAsia"/>
                <w:color w:val="auto"/>
                <w:sz w:val="24"/>
              </w:rPr>
              <w:fldChar w:fldCharType="separate"/>
            </w:r>
            <w:r>
              <w:rPr>
                <w:rFonts w:hint="eastAsia" w:ascii="宋体" w:hAnsi="宋体" w:cs="宋体"/>
                <w:color w:val="auto"/>
                <w:sz w:val="24"/>
              </w:rPr>
              <w:t>②</w:t>
            </w:r>
            <w:r>
              <w:rPr>
                <w:rFonts w:eastAsiaTheme="minorEastAsia"/>
                <w:color w:val="auto"/>
                <w:sz w:val="24"/>
              </w:rPr>
              <w:fldChar w:fldCharType="end"/>
            </w:r>
            <w:r>
              <w:rPr>
                <w:rFonts w:eastAsiaTheme="minorEastAsia"/>
                <w:color w:val="auto"/>
                <w:sz w:val="24"/>
              </w:rPr>
              <w:t>事故状况</w:t>
            </w:r>
          </w:p>
          <w:p>
            <w:pPr>
              <w:spacing w:line="480" w:lineRule="exact"/>
              <w:ind w:firstLine="525"/>
              <w:rPr>
                <w:rFonts w:eastAsiaTheme="minorEastAsia"/>
                <w:color w:val="auto"/>
                <w:sz w:val="24"/>
              </w:rPr>
            </w:pPr>
            <w:r>
              <w:rPr>
                <w:rFonts w:eastAsiaTheme="minorEastAsia"/>
                <w:color w:val="auto"/>
                <w:sz w:val="24"/>
              </w:rPr>
              <w:t>事故发生后预测污水厂排污口下游20.5km内污染物的增量见表67。</w:t>
            </w:r>
          </w:p>
          <w:p>
            <w:pPr>
              <w:spacing w:line="480" w:lineRule="exact"/>
              <w:jc w:val="center"/>
              <w:rPr>
                <w:rFonts w:eastAsiaTheme="minorEastAsia"/>
                <w:b/>
                <w:color w:val="auto"/>
                <w:sz w:val="24"/>
              </w:rPr>
            </w:pPr>
            <w:r>
              <w:rPr>
                <w:rFonts w:eastAsiaTheme="minorEastAsia"/>
                <w:b/>
                <w:color w:val="auto"/>
                <w:sz w:val="24"/>
              </w:rPr>
              <w:t>表67污水厂事故排污口下游污染物的增量</w:t>
            </w:r>
          </w:p>
          <w:tbl>
            <w:tblPr>
              <w:tblStyle w:val="38"/>
              <w:tblW w:w="8583"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11"/>
              <w:gridCol w:w="1766"/>
              <w:gridCol w:w="2302"/>
              <w:gridCol w:w="2304"/>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jc w:val="center"/>
              </w:trPr>
              <w:tc>
                <w:tcPr>
                  <w:tcW w:w="2211" w:type="dxa"/>
                  <w:vMerge w:val="restart"/>
                  <w:vAlign w:val="center"/>
                </w:tcPr>
                <w:p>
                  <w:pPr>
                    <w:snapToGrid w:val="0"/>
                    <w:jc w:val="center"/>
                    <w:rPr>
                      <w:rFonts w:eastAsiaTheme="minorEastAsia"/>
                      <w:color w:val="auto"/>
                      <w:szCs w:val="21"/>
                    </w:rPr>
                  </w:pPr>
                  <w:r>
                    <w:rPr>
                      <w:rFonts w:eastAsiaTheme="minorEastAsia"/>
                      <w:color w:val="auto"/>
                      <w:szCs w:val="21"/>
                    </w:rPr>
                    <w:t>排污口下游距离(m)</w:t>
                  </w:r>
                </w:p>
              </w:tc>
              <w:tc>
                <w:tcPr>
                  <w:tcW w:w="6372" w:type="dxa"/>
                  <w:gridSpan w:val="3"/>
                  <w:vAlign w:val="center"/>
                </w:tcPr>
                <w:p>
                  <w:pPr>
                    <w:adjustRightInd w:val="0"/>
                    <w:snapToGrid w:val="0"/>
                    <w:jc w:val="center"/>
                    <w:rPr>
                      <w:rFonts w:eastAsiaTheme="minorEastAsia"/>
                      <w:color w:val="auto"/>
                      <w:szCs w:val="21"/>
                    </w:rPr>
                  </w:pPr>
                  <w:r>
                    <w:rPr>
                      <w:rFonts w:eastAsiaTheme="minorEastAsia"/>
                      <w:color w:val="auto"/>
                      <w:szCs w:val="21"/>
                    </w:rPr>
                    <w:t>近期增量(mg/L)</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1" w:type="dxa"/>
                  <w:vMerge w:val="continue"/>
                  <w:vAlign w:val="center"/>
                </w:tcPr>
                <w:p>
                  <w:pPr>
                    <w:snapToGrid w:val="0"/>
                    <w:jc w:val="center"/>
                    <w:rPr>
                      <w:rFonts w:eastAsiaTheme="minorEastAsia"/>
                      <w:color w:val="auto"/>
                      <w:szCs w:val="21"/>
                    </w:rPr>
                  </w:pPr>
                </w:p>
              </w:tc>
              <w:tc>
                <w:tcPr>
                  <w:tcW w:w="1766" w:type="dxa"/>
                  <w:vAlign w:val="center"/>
                </w:tcPr>
                <w:p>
                  <w:pPr>
                    <w:adjustRightInd w:val="0"/>
                    <w:snapToGrid w:val="0"/>
                    <w:jc w:val="center"/>
                    <w:rPr>
                      <w:rFonts w:eastAsiaTheme="minorEastAsia"/>
                      <w:color w:val="auto"/>
                      <w:szCs w:val="21"/>
                    </w:rPr>
                  </w:pPr>
                  <w:r>
                    <w:rPr>
                      <w:rFonts w:eastAsiaTheme="minorEastAsia"/>
                      <w:color w:val="auto"/>
                      <w:szCs w:val="21"/>
                    </w:rPr>
                    <w:t>COD</w:t>
                  </w:r>
                  <w:r>
                    <w:rPr>
                      <w:rFonts w:eastAsiaTheme="minorEastAsia"/>
                      <w:color w:val="auto"/>
                      <w:szCs w:val="21"/>
                      <w:vertAlign w:val="subscript"/>
                    </w:rPr>
                    <w:t>cr</w:t>
                  </w:r>
                </w:p>
              </w:tc>
              <w:tc>
                <w:tcPr>
                  <w:tcW w:w="2302" w:type="dxa"/>
                  <w:vAlign w:val="center"/>
                </w:tcPr>
                <w:p>
                  <w:pPr>
                    <w:adjustRightInd w:val="0"/>
                    <w:snapToGrid w:val="0"/>
                    <w:jc w:val="center"/>
                    <w:rPr>
                      <w:rFonts w:eastAsiaTheme="minorEastAsia"/>
                      <w:color w:val="auto"/>
                      <w:szCs w:val="21"/>
                    </w:rPr>
                  </w:pPr>
                  <w:r>
                    <w:rPr>
                      <w:rFonts w:eastAsiaTheme="minorEastAsia"/>
                      <w:color w:val="auto"/>
                      <w:szCs w:val="21"/>
                    </w:rPr>
                    <w:t>NH</w:t>
                  </w:r>
                  <w:r>
                    <w:rPr>
                      <w:rFonts w:eastAsiaTheme="minorEastAsia"/>
                      <w:color w:val="auto"/>
                      <w:szCs w:val="21"/>
                      <w:vertAlign w:val="subscript"/>
                    </w:rPr>
                    <w:t>3</w:t>
                  </w:r>
                  <w:r>
                    <w:rPr>
                      <w:rFonts w:eastAsiaTheme="minorEastAsia"/>
                      <w:color w:val="auto"/>
                      <w:szCs w:val="21"/>
                    </w:rPr>
                    <w:t>-N</w:t>
                  </w:r>
                </w:p>
              </w:tc>
              <w:tc>
                <w:tcPr>
                  <w:tcW w:w="2304" w:type="dxa"/>
                  <w:vAlign w:val="center"/>
                </w:tcPr>
                <w:p>
                  <w:pPr>
                    <w:adjustRightInd w:val="0"/>
                    <w:snapToGrid w:val="0"/>
                    <w:jc w:val="center"/>
                    <w:rPr>
                      <w:rFonts w:eastAsiaTheme="minorEastAsia"/>
                      <w:color w:val="auto"/>
                      <w:szCs w:val="21"/>
                    </w:rPr>
                  </w:pPr>
                  <w:r>
                    <w:rPr>
                      <w:rFonts w:eastAsiaTheme="minorEastAsia"/>
                      <w:color w:val="auto"/>
                      <w:szCs w:val="21"/>
                    </w:rPr>
                    <w:t>TP</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1" w:type="dxa"/>
                  <w:vAlign w:val="center"/>
                </w:tcPr>
                <w:p>
                  <w:pPr>
                    <w:snapToGrid w:val="0"/>
                    <w:jc w:val="center"/>
                    <w:rPr>
                      <w:rFonts w:eastAsiaTheme="minorEastAsia"/>
                      <w:color w:val="auto"/>
                      <w:szCs w:val="21"/>
                    </w:rPr>
                  </w:pPr>
                  <w:r>
                    <w:rPr>
                      <w:rFonts w:eastAsiaTheme="minorEastAsia"/>
                      <w:color w:val="auto"/>
                      <w:szCs w:val="21"/>
                    </w:rPr>
                    <w:t>0</w:t>
                  </w:r>
                </w:p>
              </w:tc>
              <w:tc>
                <w:tcPr>
                  <w:tcW w:w="1766" w:type="dxa"/>
                  <w:vAlign w:val="center"/>
                </w:tcPr>
                <w:p>
                  <w:pPr>
                    <w:adjustRightInd w:val="0"/>
                    <w:snapToGrid w:val="0"/>
                    <w:jc w:val="center"/>
                    <w:rPr>
                      <w:rFonts w:eastAsiaTheme="minorEastAsia"/>
                      <w:color w:val="auto"/>
                      <w:szCs w:val="21"/>
                    </w:rPr>
                  </w:pPr>
                  <w:r>
                    <w:rPr>
                      <w:rFonts w:eastAsiaTheme="minorEastAsia"/>
                      <w:color w:val="auto"/>
                      <w:szCs w:val="21"/>
                    </w:rPr>
                    <w:t>9.3426</w:t>
                  </w:r>
                </w:p>
              </w:tc>
              <w:tc>
                <w:tcPr>
                  <w:tcW w:w="2302" w:type="dxa"/>
                  <w:vAlign w:val="center"/>
                </w:tcPr>
                <w:p>
                  <w:pPr>
                    <w:jc w:val="center"/>
                    <w:rPr>
                      <w:rFonts w:eastAsiaTheme="minorEastAsia"/>
                      <w:color w:val="auto"/>
                    </w:rPr>
                  </w:pPr>
                  <w:r>
                    <w:rPr>
                      <w:rFonts w:eastAsiaTheme="minorEastAsia"/>
                      <w:color w:val="auto"/>
                      <w:szCs w:val="21"/>
                    </w:rPr>
                    <w:t>1.1728</w:t>
                  </w:r>
                </w:p>
              </w:tc>
              <w:tc>
                <w:tcPr>
                  <w:tcW w:w="2304" w:type="dxa"/>
                  <w:vAlign w:val="center"/>
                </w:tcPr>
                <w:p>
                  <w:pPr>
                    <w:jc w:val="center"/>
                    <w:rPr>
                      <w:rFonts w:eastAsiaTheme="minorEastAsia"/>
                      <w:color w:val="auto"/>
                    </w:rPr>
                  </w:pPr>
                  <w:r>
                    <w:rPr>
                      <w:rFonts w:eastAsiaTheme="minorEastAsia"/>
                      <w:color w:val="auto"/>
                      <w:szCs w:val="21"/>
                    </w:rPr>
                    <w:t>0.2099</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1" w:type="dxa"/>
                  <w:vAlign w:val="center"/>
                </w:tcPr>
                <w:p>
                  <w:pPr>
                    <w:snapToGrid w:val="0"/>
                    <w:jc w:val="center"/>
                    <w:rPr>
                      <w:rFonts w:eastAsiaTheme="minorEastAsia"/>
                      <w:color w:val="auto"/>
                      <w:szCs w:val="21"/>
                    </w:rPr>
                  </w:pPr>
                  <w:r>
                    <w:rPr>
                      <w:rFonts w:eastAsiaTheme="minorEastAsia"/>
                      <w:color w:val="auto"/>
                      <w:szCs w:val="21"/>
                    </w:rPr>
                    <w:t>500</w:t>
                  </w:r>
                </w:p>
              </w:tc>
              <w:tc>
                <w:tcPr>
                  <w:tcW w:w="1766" w:type="dxa"/>
                  <w:vAlign w:val="center"/>
                </w:tcPr>
                <w:p>
                  <w:pPr>
                    <w:snapToGrid w:val="0"/>
                    <w:jc w:val="center"/>
                    <w:rPr>
                      <w:rFonts w:eastAsiaTheme="minorEastAsia"/>
                      <w:color w:val="auto"/>
                      <w:szCs w:val="21"/>
                    </w:rPr>
                  </w:pPr>
                  <w:r>
                    <w:rPr>
                      <w:rFonts w:eastAsiaTheme="minorEastAsia"/>
                      <w:color w:val="auto"/>
                      <w:szCs w:val="21"/>
                    </w:rPr>
                    <w:t>8.6184</w:t>
                  </w:r>
                </w:p>
              </w:tc>
              <w:tc>
                <w:tcPr>
                  <w:tcW w:w="2302" w:type="dxa"/>
                  <w:vAlign w:val="center"/>
                </w:tcPr>
                <w:p>
                  <w:pPr>
                    <w:jc w:val="center"/>
                    <w:rPr>
                      <w:rFonts w:eastAsiaTheme="minorEastAsia"/>
                      <w:color w:val="auto"/>
                    </w:rPr>
                  </w:pPr>
                  <w:r>
                    <w:rPr>
                      <w:rFonts w:eastAsiaTheme="minorEastAsia"/>
                      <w:color w:val="auto"/>
                      <w:szCs w:val="21"/>
                    </w:rPr>
                    <w:t>0.8165</w:t>
                  </w:r>
                </w:p>
              </w:tc>
              <w:tc>
                <w:tcPr>
                  <w:tcW w:w="2304" w:type="dxa"/>
                  <w:vAlign w:val="center"/>
                </w:tcPr>
                <w:p>
                  <w:pPr>
                    <w:jc w:val="center"/>
                    <w:rPr>
                      <w:rFonts w:eastAsiaTheme="minorEastAsia"/>
                      <w:color w:val="auto"/>
                    </w:rPr>
                  </w:pPr>
                  <w:r>
                    <w:rPr>
                      <w:rFonts w:eastAsiaTheme="minorEastAsia"/>
                      <w:color w:val="auto"/>
                      <w:szCs w:val="21"/>
                    </w:rPr>
                    <w:t>0.1936</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1" w:type="dxa"/>
                  <w:vAlign w:val="center"/>
                </w:tcPr>
                <w:p>
                  <w:pPr>
                    <w:snapToGrid w:val="0"/>
                    <w:jc w:val="center"/>
                    <w:rPr>
                      <w:rFonts w:eastAsiaTheme="minorEastAsia"/>
                      <w:color w:val="auto"/>
                      <w:szCs w:val="21"/>
                    </w:rPr>
                  </w:pPr>
                  <w:r>
                    <w:rPr>
                      <w:rFonts w:eastAsiaTheme="minorEastAsia"/>
                      <w:color w:val="auto"/>
                      <w:szCs w:val="21"/>
                    </w:rPr>
                    <w:t>1000</w:t>
                  </w:r>
                </w:p>
              </w:tc>
              <w:tc>
                <w:tcPr>
                  <w:tcW w:w="1766" w:type="dxa"/>
                  <w:vAlign w:val="center"/>
                </w:tcPr>
                <w:p>
                  <w:pPr>
                    <w:jc w:val="center"/>
                    <w:rPr>
                      <w:rFonts w:eastAsiaTheme="minorEastAsia"/>
                      <w:color w:val="auto"/>
                    </w:rPr>
                  </w:pPr>
                  <w:r>
                    <w:rPr>
                      <w:rFonts w:eastAsiaTheme="minorEastAsia"/>
                      <w:color w:val="auto"/>
                      <w:szCs w:val="21"/>
                    </w:rPr>
                    <w:t>7.9504</w:t>
                  </w:r>
                </w:p>
              </w:tc>
              <w:tc>
                <w:tcPr>
                  <w:tcW w:w="2302" w:type="dxa"/>
                  <w:vAlign w:val="center"/>
                </w:tcPr>
                <w:p>
                  <w:pPr>
                    <w:jc w:val="center"/>
                    <w:rPr>
                      <w:rFonts w:eastAsiaTheme="minorEastAsia"/>
                      <w:color w:val="auto"/>
                    </w:rPr>
                  </w:pPr>
                  <w:r>
                    <w:rPr>
                      <w:rFonts w:eastAsiaTheme="minorEastAsia"/>
                      <w:color w:val="auto"/>
                      <w:szCs w:val="21"/>
                    </w:rPr>
                    <w:t>0.5685</w:t>
                  </w:r>
                </w:p>
              </w:tc>
              <w:tc>
                <w:tcPr>
                  <w:tcW w:w="2304" w:type="dxa"/>
                  <w:vAlign w:val="center"/>
                </w:tcPr>
                <w:p>
                  <w:pPr>
                    <w:jc w:val="center"/>
                    <w:rPr>
                      <w:rFonts w:eastAsiaTheme="minorEastAsia"/>
                      <w:color w:val="auto"/>
                    </w:rPr>
                  </w:pPr>
                  <w:r>
                    <w:rPr>
                      <w:rFonts w:eastAsiaTheme="minorEastAsia"/>
                      <w:color w:val="auto"/>
                      <w:szCs w:val="21"/>
                    </w:rPr>
                    <w:t>0.1786</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1" w:type="dxa"/>
                  <w:vAlign w:val="center"/>
                </w:tcPr>
                <w:p>
                  <w:pPr>
                    <w:snapToGrid w:val="0"/>
                    <w:jc w:val="center"/>
                    <w:rPr>
                      <w:rFonts w:eastAsiaTheme="minorEastAsia"/>
                      <w:color w:val="auto"/>
                      <w:szCs w:val="21"/>
                    </w:rPr>
                  </w:pPr>
                  <w:r>
                    <w:rPr>
                      <w:rFonts w:eastAsiaTheme="minorEastAsia"/>
                      <w:color w:val="auto"/>
                      <w:szCs w:val="21"/>
                    </w:rPr>
                    <w:t>1500</w:t>
                  </w:r>
                </w:p>
              </w:tc>
              <w:tc>
                <w:tcPr>
                  <w:tcW w:w="1766" w:type="dxa"/>
                  <w:vAlign w:val="center"/>
                </w:tcPr>
                <w:p>
                  <w:pPr>
                    <w:jc w:val="center"/>
                    <w:rPr>
                      <w:rFonts w:eastAsiaTheme="minorEastAsia"/>
                      <w:color w:val="auto"/>
                    </w:rPr>
                  </w:pPr>
                  <w:r>
                    <w:rPr>
                      <w:rFonts w:eastAsiaTheme="minorEastAsia"/>
                      <w:color w:val="auto"/>
                      <w:szCs w:val="21"/>
                    </w:rPr>
                    <w:t>7.3341</w:t>
                  </w:r>
                </w:p>
              </w:tc>
              <w:tc>
                <w:tcPr>
                  <w:tcW w:w="2302" w:type="dxa"/>
                  <w:vAlign w:val="center"/>
                </w:tcPr>
                <w:p>
                  <w:pPr>
                    <w:jc w:val="center"/>
                    <w:rPr>
                      <w:rFonts w:eastAsiaTheme="minorEastAsia"/>
                      <w:color w:val="auto"/>
                    </w:rPr>
                  </w:pPr>
                  <w:r>
                    <w:rPr>
                      <w:rFonts w:eastAsiaTheme="minorEastAsia"/>
                      <w:color w:val="auto"/>
                      <w:szCs w:val="21"/>
                    </w:rPr>
                    <w:t>0.3958</w:t>
                  </w:r>
                </w:p>
              </w:tc>
              <w:tc>
                <w:tcPr>
                  <w:tcW w:w="2304" w:type="dxa"/>
                  <w:vAlign w:val="center"/>
                </w:tcPr>
                <w:p>
                  <w:pPr>
                    <w:jc w:val="center"/>
                    <w:rPr>
                      <w:rFonts w:eastAsiaTheme="minorEastAsia"/>
                      <w:color w:val="auto"/>
                    </w:rPr>
                  </w:pPr>
                  <w:r>
                    <w:rPr>
                      <w:rFonts w:eastAsiaTheme="minorEastAsia"/>
                      <w:color w:val="auto"/>
                      <w:szCs w:val="21"/>
                    </w:rPr>
                    <w:t>0.1648</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1" w:type="dxa"/>
                  <w:vAlign w:val="center"/>
                </w:tcPr>
                <w:p>
                  <w:pPr>
                    <w:snapToGrid w:val="0"/>
                    <w:jc w:val="center"/>
                    <w:rPr>
                      <w:rFonts w:eastAsiaTheme="minorEastAsia"/>
                      <w:color w:val="auto"/>
                      <w:szCs w:val="21"/>
                    </w:rPr>
                  </w:pPr>
                  <w:r>
                    <w:rPr>
                      <w:rFonts w:eastAsiaTheme="minorEastAsia"/>
                      <w:color w:val="auto"/>
                      <w:szCs w:val="21"/>
                    </w:rPr>
                    <w:t>2000</w:t>
                  </w:r>
                </w:p>
              </w:tc>
              <w:tc>
                <w:tcPr>
                  <w:tcW w:w="1766" w:type="dxa"/>
                  <w:vAlign w:val="center"/>
                </w:tcPr>
                <w:p>
                  <w:pPr>
                    <w:jc w:val="center"/>
                    <w:rPr>
                      <w:rFonts w:eastAsiaTheme="minorEastAsia"/>
                      <w:color w:val="auto"/>
                    </w:rPr>
                  </w:pPr>
                  <w:r>
                    <w:rPr>
                      <w:rFonts w:eastAsiaTheme="minorEastAsia"/>
                      <w:color w:val="auto"/>
                      <w:szCs w:val="21"/>
                    </w:rPr>
                    <w:t>6.7656</w:t>
                  </w:r>
                </w:p>
              </w:tc>
              <w:tc>
                <w:tcPr>
                  <w:tcW w:w="2302" w:type="dxa"/>
                  <w:vAlign w:val="center"/>
                </w:tcPr>
                <w:p>
                  <w:pPr>
                    <w:jc w:val="center"/>
                    <w:rPr>
                      <w:rFonts w:eastAsiaTheme="minorEastAsia"/>
                      <w:color w:val="auto"/>
                    </w:rPr>
                  </w:pPr>
                  <w:r>
                    <w:rPr>
                      <w:rFonts w:eastAsiaTheme="minorEastAsia"/>
                      <w:color w:val="auto"/>
                      <w:szCs w:val="21"/>
                    </w:rPr>
                    <w:t>0.2755</w:t>
                  </w:r>
                </w:p>
              </w:tc>
              <w:tc>
                <w:tcPr>
                  <w:tcW w:w="2304" w:type="dxa"/>
                  <w:vAlign w:val="center"/>
                </w:tcPr>
                <w:p>
                  <w:pPr>
                    <w:jc w:val="center"/>
                    <w:rPr>
                      <w:rFonts w:eastAsiaTheme="minorEastAsia"/>
                      <w:color w:val="auto"/>
                    </w:rPr>
                  </w:pPr>
                  <w:r>
                    <w:rPr>
                      <w:rFonts w:eastAsiaTheme="minorEastAsia"/>
                      <w:color w:val="auto"/>
                      <w:szCs w:val="21"/>
                    </w:rPr>
                    <w:t>0.1520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1" w:type="dxa"/>
                  <w:vAlign w:val="center"/>
                </w:tcPr>
                <w:p>
                  <w:pPr>
                    <w:snapToGrid w:val="0"/>
                    <w:jc w:val="center"/>
                    <w:rPr>
                      <w:rFonts w:eastAsiaTheme="minorEastAsia"/>
                      <w:color w:val="auto"/>
                      <w:szCs w:val="21"/>
                    </w:rPr>
                  </w:pPr>
                  <w:r>
                    <w:rPr>
                      <w:rFonts w:eastAsiaTheme="minorEastAsia"/>
                      <w:color w:val="auto"/>
                      <w:szCs w:val="21"/>
                    </w:rPr>
                    <w:t>2500</w:t>
                  </w:r>
                </w:p>
              </w:tc>
              <w:tc>
                <w:tcPr>
                  <w:tcW w:w="1766" w:type="dxa"/>
                  <w:vAlign w:val="center"/>
                </w:tcPr>
                <w:p>
                  <w:pPr>
                    <w:jc w:val="center"/>
                    <w:rPr>
                      <w:rFonts w:eastAsiaTheme="minorEastAsia"/>
                      <w:color w:val="auto"/>
                    </w:rPr>
                  </w:pPr>
                  <w:r>
                    <w:rPr>
                      <w:rFonts w:eastAsiaTheme="minorEastAsia"/>
                      <w:color w:val="auto"/>
                      <w:szCs w:val="21"/>
                    </w:rPr>
                    <w:t>6.2412</w:t>
                  </w:r>
                </w:p>
              </w:tc>
              <w:tc>
                <w:tcPr>
                  <w:tcW w:w="2302" w:type="dxa"/>
                  <w:vAlign w:val="center"/>
                </w:tcPr>
                <w:p>
                  <w:pPr>
                    <w:jc w:val="center"/>
                    <w:rPr>
                      <w:rFonts w:eastAsiaTheme="minorEastAsia"/>
                      <w:color w:val="auto"/>
                    </w:rPr>
                  </w:pPr>
                  <w:r>
                    <w:rPr>
                      <w:rFonts w:eastAsiaTheme="minorEastAsia"/>
                      <w:color w:val="auto"/>
                      <w:szCs w:val="21"/>
                    </w:rPr>
                    <w:t>0.1918</w:t>
                  </w:r>
                </w:p>
              </w:tc>
              <w:tc>
                <w:tcPr>
                  <w:tcW w:w="2304" w:type="dxa"/>
                  <w:vAlign w:val="center"/>
                </w:tcPr>
                <w:p>
                  <w:pPr>
                    <w:jc w:val="center"/>
                    <w:rPr>
                      <w:rFonts w:eastAsiaTheme="minorEastAsia"/>
                      <w:color w:val="auto"/>
                    </w:rPr>
                  </w:pPr>
                  <w:r>
                    <w:rPr>
                      <w:rFonts w:eastAsiaTheme="minorEastAsia"/>
                      <w:color w:val="auto"/>
                      <w:szCs w:val="21"/>
                    </w:rPr>
                    <w:t>0.1402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1" w:type="dxa"/>
                  <w:vAlign w:val="center"/>
                </w:tcPr>
                <w:p>
                  <w:pPr>
                    <w:snapToGrid w:val="0"/>
                    <w:jc w:val="center"/>
                    <w:rPr>
                      <w:rFonts w:eastAsiaTheme="minorEastAsia"/>
                      <w:color w:val="auto"/>
                      <w:szCs w:val="21"/>
                    </w:rPr>
                  </w:pPr>
                  <w:r>
                    <w:rPr>
                      <w:rFonts w:eastAsiaTheme="minorEastAsia"/>
                      <w:color w:val="auto"/>
                      <w:szCs w:val="21"/>
                    </w:rPr>
                    <w:t>3000</w:t>
                  </w:r>
                </w:p>
              </w:tc>
              <w:tc>
                <w:tcPr>
                  <w:tcW w:w="1766" w:type="dxa"/>
                  <w:vAlign w:val="center"/>
                </w:tcPr>
                <w:p>
                  <w:pPr>
                    <w:jc w:val="center"/>
                    <w:rPr>
                      <w:rFonts w:eastAsiaTheme="minorEastAsia"/>
                      <w:color w:val="auto"/>
                    </w:rPr>
                  </w:pPr>
                  <w:r>
                    <w:rPr>
                      <w:rFonts w:eastAsiaTheme="minorEastAsia"/>
                      <w:color w:val="auto"/>
                      <w:szCs w:val="21"/>
                    </w:rPr>
                    <w:t>5.7574</w:t>
                  </w:r>
                </w:p>
              </w:tc>
              <w:tc>
                <w:tcPr>
                  <w:tcW w:w="2302" w:type="dxa"/>
                  <w:vAlign w:val="center"/>
                </w:tcPr>
                <w:p>
                  <w:pPr>
                    <w:jc w:val="center"/>
                    <w:rPr>
                      <w:rFonts w:eastAsiaTheme="minorEastAsia"/>
                      <w:color w:val="auto"/>
                    </w:rPr>
                  </w:pPr>
                  <w:r>
                    <w:rPr>
                      <w:rFonts w:eastAsiaTheme="minorEastAsia"/>
                      <w:color w:val="auto"/>
                      <w:szCs w:val="21"/>
                    </w:rPr>
                    <w:t>0.1336</w:t>
                  </w:r>
                </w:p>
              </w:tc>
              <w:tc>
                <w:tcPr>
                  <w:tcW w:w="2304" w:type="dxa"/>
                  <w:vAlign w:val="center"/>
                </w:tcPr>
                <w:p>
                  <w:pPr>
                    <w:jc w:val="center"/>
                    <w:rPr>
                      <w:rFonts w:eastAsiaTheme="minorEastAsia"/>
                      <w:color w:val="auto"/>
                    </w:rPr>
                  </w:pPr>
                  <w:r>
                    <w:rPr>
                      <w:rFonts w:eastAsiaTheme="minorEastAsia"/>
                      <w:color w:val="auto"/>
                      <w:szCs w:val="21"/>
                    </w:rPr>
                    <w:t>0.1293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1" w:type="dxa"/>
                  <w:vAlign w:val="center"/>
                </w:tcPr>
                <w:p>
                  <w:pPr>
                    <w:snapToGrid w:val="0"/>
                    <w:jc w:val="center"/>
                    <w:rPr>
                      <w:rFonts w:eastAsiaTheme="minorEastAsia"/>
                      <w:color w:val="auto"/>
                      <w:szCs w:val="21"/>
                    </w:rPr>
                  </w:pPr>
                  <w:r>
                    <w:rPr>
                      <w:rFonts w:eastAsiaTheme="minorEastAsia"/>
                      <w:color w:val="auto"/>
                      <w:szCs w:val="21"/>
                    </w:rPr>
                    <w:t>3500</w:t>
                  </w:r>
                </w:p>
              </w:tc>
              <w:tc>
                <w:tcPr>
                  <w:tcW w:w="1766" w:type="dxa"/>
                  <w:vAlign w:val="center"/>
                </w:tcPr>
                <w:p>
                  <w:pPr>
                    <w:jc w:val="center"/>
                    <w:rPr>
                      <w:rFonts w:eastAsiaTheme="minorEastAsia"/>
                      <w:color w:val="auto"/>
                    </w:rPr>
                  </w:pPr>
                  <w:r>
                    <w:rPr>
                      <w:rFonts w:eastAsiaTheme="minorEastAsia"/>
                      <w:color w:val="auto"/>
                      <w:szCs w:val="21"/>
                    </w:rPr>
                    <w:t>5.3111</w:t>
                  </w:r>
                </w:p>
              </w:tc>
              <w:tc>
                <w:tcPr>
                  <w:tcW w:w="2302" w:type="dxa"/>
                  <w:vAlign w:val="center"/>
                </w:tcPr>
                <w:p>
                  <w:pPr>
                    <w:jc w:val="center"/>
                    <w:rPr>
                      <w:rFonts w:eastAsiaTheme="minorEastAsia"/>
                      <w:color w:val="auto"/>
                    </w:rPr>
                  </w:pPr>
                  <w:r>
                    <w:rPr>
                      <w:rFonts w:eastAsiaTheme="minorEastAsia"/>
                      <w:color w:val="auto"/>
                      <w:szCs w:val="21"/>
                    </w:rPr>
                    <w:t>0.0930</w:t>
                  </w:r>
                </w:p>
              </w:tc>
              <w:tc>
                <w:tcPr>
                  <w:tcW w:w="2304" w:type="dxa"/>
                  <w:vAlign w:val="center"/>
                </w:tcPr>
                <w:p>
                  <w:pPr>
                    <w:jc w:val="center"/>
                    <w:rPr>
                      <w:rFonts w:eastAsiaTheme="minorEastAsia"/>
                      <w:color w:val="auto"/>
                    </w:rPr>
                  </w:pPr>
                  <w:r>
                    <w:rPr>
                      <w:rFonts w:eastAsiaTheme="minorEastAsia"/>
                      <w:color w:val="auto"/>
                      <w:szCs w:val="21"/>
                    </w:rPr>
                    <w:t>0.1193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1" w:type="dxa"/>
                  <w:vAlign w:val="center"/>
                </w:tcPr>
                <w:p>
                  <w:pPr>
                    <w:snapToGrid w:val="0"/>
                    <w:jc w:val="center"/>
                    <w:rPr>
                      <w:rFonts w:eastAsiaTheme="minorEastAsia"/>
                      <w:color w:val="auto"/>
                      <w:szCs w:val="21"/>
                    </w:rPr>
                  </w:pPr>
                  <w:r>
                    <w:rPr>
                      <w:rFonts w:eastAsiaTheme="minorEastAsia"/>
                      <w:color w:val="auto"/>
                      <w:szCs w:val="21"/>
                    </w:rPr>
                    <w:t>4000</w:t>
                  </w:r>
                </w:p>
              </w:tc>
              <w:tc>
                <w:tcPr>
                  <w:tcW w:w="1766" w:type="dxa"/>
                  <w:vAlign w:val="center"/>
                </w:tcPr>
                <w:p>
                  <w:pPr>
                    <w:jc w:val="center"/>
                    <w:rPr>
                      <w:rFonts w:eastAsiaTheme="minorEastAsia"/>
                      <w:color w:val="auto"/>
                    </w:rPr>
                  </w:pPr>
                  <w:r>
                    <w:rPr>
                      <w:rFonts w:eastAsiaTheme="minorEastAsia"/>
                      <w:color w:val="auto"/>
                      <w:szCs w:val="21"/>
                    </w:rPr>
                    <w:t>4.8994</w:t>
                  </w:r>
                </w:p>
              </w:tc>
              <w:tc>
                <w:tcPr>
                  <w:tcW w:w="2302" w:type="dxa"/>
                  <w:vAlign w:val="center"/>
                </w:tcPr>
                <w:p>
                  <w:pPr>
                    <w:jc w:val="center"/>
                    <w:rPr>
                      <w:rFonts w:eastAsiaTheme="minorEastAsia"/>
                      <w:color w:val="auto"/>
                    </w:rPr>
                  </w:pPr>
                  <w:r>
                    <w:rPr>
                      <w:rFonts w:eastAsiaTheme="minorEastAsia"/>
                      <w:color w:val="auto"/>
                      <w:szCs w:val="21"/>
                    </w:rPr>
                    <w:t>0.0647</w:t>
                  </w:r>
                </w:p>
              </w:tc>
              <w:tc>
                <w:tcPr>
                  <w:tcW w:w="2304" w:type="dxa"/>
                  <w:vAlign w:val="center"/>
                </w:tcPr>
                <w:p>
                  <w:pPr>
                    <w:jc w:val="center"/>
                    <w:rPr>
                      <w:rFonts w:eastAsiaTheme="minorEastAsia"/>
                      <w:color w:val="auto"/>
                    </w:rPr>
                  </w:pPr>
                  <w:r>
                    <w:rPr>
                      <w:rFonts w:eastAsiaTheme="minorEastAsia"/>
                      <w:color w:val="auto"/>
                      <w:szCs w:val="21"/>
                    </w:rPr>
                    <w:t>0.1101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1" w:type="dxa"/>
                  <w:vAlign w:val="center"/>
                </w:tcPr>
                <w:p>
                  <w:pPr>
                    <w:snapToGrid w:val="0"/>
                    <w:jc w:val="center"/>
                    <w:rPr>
                      <w:rFonts w:eastAsiaTheme="minorEastAsia"/>
                      <w:color w:val="auto"/>
                      <w:szCs w:val="21"/>
                    </w:rPr>
                  </w:pPr>
                  <w:r>
                    <w:rPr>
                      <w:rFonts w:eastAsiaTheme="minorEastAsia"/>
                      <w:color w:val="auto"/>
                      <w:szCs w:val="21"/>
                    </w:rPr>
                    <w:t>4500</w:t>
                  </w:r>
                </w:p>
              </w:tc>
              <w:tc>
                <w:tcPr>
                  <w:tcW w:w="1766" w:type="dxa"/>
                  <w:vAlign w:val="center"/>
                </w:tcPr>
                <w:p>
                  <w:pPr>
                    <w:jc w:val="center"/>
                    <w:rPr>
                      <w:rFonts w:eastAsiaTheme="minorEastAsia"/>
                      <w:color w:val="auto"/>
                    </w:rPr>
                  </w:pPr>
                  <w:r>
                    <w:rPr>
                      <w:rFonts w:eastAsiaTheme="minorEastAsia"/>
                      <w:color w:val="auto"/>
                      <w:szCs w:val="21"/>
                    </w:rPr>
                    <w:t>4.5196</w:t>
                  </w:r>
                </w:p>
              </w:tc>
              <w:tc>
                <w:tcPr>
                  <w:tcW w:w="2302" w:type="dxa"/>
                  <w:vAlign w:val="center"/>
                </w:tcPr>
                <w:p>
                  <w:pPr>
                    <w:jc w:val="center"/>
                    <w:rPr>
                      <w:rFonts w:eastAsiaTheme="minorEastAsia"/>
                      <w:color w:val="auto"/>
                    </w:rPr>
                  </w:pPr>
                  <w:r>
                    <w:rPr>
                      <w:rFonts w:eastAsiaTheme="minorEastAsia"/>
                      <w:color w:val="auto"/>
                      <w:szCs w:val="21"/>
                    </w:rPr>
                    <w:t>0.0451</w:t>
                  </w:r>
                </w:p>
              </w:tc>
              <w:tc>
                <w:tcPr>
                  <w:tcW w:w="2304" w:type="dxa"/>
                  <w:vAlign w:val="center"/>
                </w:tcPr>
                <w:p>
                  <w:pPr>
                    <w:jc w:val="center"/>
                    <w:rPr>
                      <w:rFonts w:eastAsiaTheme="minorEastAsia"/>
                      <w:color w:val="auto"/>
                    </w:rPr>
                  </w:pPr>
                  <w:r>
                    <w:rPr>
                      <w:rFonts w:eastAsiaTheme="minorEastAsia"/>
                      <w:color w:val="auto"/>
                      <w:szCs w:val="21"/>
                    </w:rPr>
                    <w:t>0.1015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1" w:type="dxa"/>
                  <w:vAlign w:val="center"/>
                </w:tcPr>
                <w:p>
                  <w:pPr>
                    <w:snapToGrid w:val="0"/>
                    <w:jc w:val="center"/>
                    <w:rPr>
                      <w:rFonts w:eastAsiaTheme="minorEastAsia"/>
                      <w:color w:val="auto"/>
                      <w:szCs w:val="21"/>
                    </w:rPr>
                  </w:pPr>
                  <w:r>
                    <w:rPr>
                      <w:rFonts w:eastAsiaTheme="minorEastAsia"/>
                      <w:color w:val="auto"/>
                      <w:szCs w:val="21"/>
                    </w:rPr>
                    <w:t>5000</w:t>
                  </w:r>
                </w:p>
              </w:tc>
              <w:tc>
                <w:tcPr>
                  <w:tcW w:w="1766" w:type="dxa"/>
                  <w:vAlign w:val="center"/>
                </w:tcPr>
                <w:p>
                  <w:pPr>
                    <w:jc w:val="center"/>
                    <w:rPr>
                      <w:rFonts w:eastAsiaTheme="minorEastAsia"/>
                      <w:color w:val="auto"/>
                    </w:rPr>
                  </w:pPr>
                  <w:r>
                    <w:rPr>
                      <w:rFonts w:eastAsiaTheme="minorEastAsia"/>
                      <w:color w:val="auto"/>
                      <w:szCs w:val="21"/>
                    </w:rPr>
                    <w:t>4.1693</w:t>
                  </w:r>
                </w:p>
              </w:tc>
              <w:tc>
                <w:tcPr>
                  <w:tcW w:w="2302" w:type="dxa"/>
                  <w:vAlign w:val="center"/>
                </w:tcPr>
                <w:p>
                  <w:pPr>
                    <w:jc w:val="center"/>
                    <w:rPr>
                      <w:rFonts w:eastAsiaTheme="minorEastAsia"/>
                      <w:color w:val="auto"/>
                    </w:rPr>
                  </w:pPr>
                  <w:r>
                    <w:rPr>
                      <w:rFonts w:eastAsiaTheme="minorEastAsia"/>
                      <w:color w:val="auto"/>
                      <w:szCs w:val="21"/>
                    </w:rPr>
                    <w:t>0.0314</w:t>
                  </w:r>
                </w:p>
              </w:tc>
              <w:tc>
                <w:tcPr>
                  <w:tcW w:w="2304" w:type="dxa"/>
                  <w:vAlign w:val="center"/>
                </w:tcPr>
                <w:p>
                  <w:pPr>
                    <w:jc w:val="center"/>
                    <w:rPr>
                      <w:rFonts w:eastAsiaTheme="minorEastAsia"/>
                      <w:color w:val="auto"/>
                    </w:rPr>
                  </w:pPr>
                  <w:r>
                    <w:rPr>
                      <w:rFonts w:eastAsiaTheme="minorEastAsia"/>
                      <w:color w:val="auto"/>
                      <w:szCs w:val="21"/>
                    </w:rPr>
                    <w:t>0.0937</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1" w:type="dxa"/>
                  <w:vAlign w:val="center"/>
                </w:tcPr>
                <w:p>
                  <w:pPr>
                    <w:snapToGrid w:val="0"/>
                    <w:jc w:val="center"/>
                    <w:rPr>
                      <w:rFonts w:eastAsiaTheme="minorEastAsia"/>
                      <w:color w:val="auto"/>
                      <w:szCs w:val="21"/>
                    </w:rPr>
                  </w:pPr>
                  <w:r>
                    <w:rPr>
                      <w:rFonts w:eastAsiaTheme="minorEastAsia"/>
                      <w:color w:val="auto"/>
                      <w:szCs w:val="21"/>
                    </w:rPr>
                    <w:t>10000</w:t>
                  </w:r>
                </w:p>
              </w:tc>
              <w:tc>
                <w:tcPr>
                  <w:tcW w:w="1766" w:type="dxa"/>
                  <w:vAlign w:val="center"/>
                </w:tcPr>
                <w:p>
                  <w:pPr>
                    <w:jc w:val="center"/>
                    <w:rPr>
                      <w:rFonts w:eastAsiaTheme="minorEastAsia"/>
                      <w:color w:val="auto"/>
                    </w:rPr>
                  </w:pPr>
                  <w:r>
                    <w:rPr>
                      <w:rFonts w:eastAsiaTheme="minorEastAsia"/>
                      <w:color w:val="auto"/>
                      <w:szCs w:val="21"/>
                    </w:rPr>
                    <w:t>1.8606</w:t>
                  </w:r>
                </w:p>
              </w:tc>
              <w:tc>
                <w:tcPr>
                  <w:tcW w:w="2302" w:type="dxa"/>
                  <w:vAlign w:val="center"/>
                </w:tcPr>
                <w:p>
                  <w:pPr>
                    <w:jc w:val="center"/>
                    <w:rPr>
                      <w:rFonts w:eastAsiaTheme="minorEastAsia"/>
                      <w:color w:val="auto"/>
                    </w:rPr>
                  </w:pPr>
                  <w:r>
                    <w:rPr>
                      <w:rFonts w:eastAsiaTheme="minorEastAsia"/>
                      <w:color w:val="auto"/>
                      <w:szCs w:val="21"/>
                    </w:rPr>
                    <w:t>0.0008</w:t>
                  </w:r>
                </w:p>
              </w:tc>
              <w:tc>
                <w:tcPr>
                  <w:tcW w:w="2304" w:type="dxa"/>
                  <w:vAlign w:val="center"/>
                </w:tcPr>
                <w:p>
                  <w:pPr>
                    <w:jc w:val="center"/>
                    <w:rPr>
                      <w:rFonts w:eastAsiaTheme="minorEastAsia"/>
                      <w:color w:val="auto"/>
                    </w:rPr>
                  </w:pPr>
                  <w:r>
                    <w:rPr>
                      <w:rFonts w:eastAsiaTheme="minorEastAsia"/>
                      <w:color w:val="auto"/>
                      <w:szCs w:val="21"/>
                    </w:rPr>
                    <w:t>0.0418</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1" w:type="dxa"/>
                  <w:vAlign w:val="center"/>
                </w:tcPr>
                <w:p>
                  <w:pPr>
                    <w:snapToGrid w:val="0"/>
                    <w:jc w:val="center"/>
                    <w:rPr>
                      <w:rFonts w:eastAsiaTheme="minorEastAsia"/>
                      <w:color w:val="auto"/>
                      <w:szCs w:val="21"/>
                    </w:rPr>
                  </w:pPr>
                  <w:r>
                    <w:rPr>
                      <w:rFonts w:eastAsiaTheme="minorEastAsia"/>
                      <w:color w:val="auto"/>
                      <w:szCs w:val="21"/>
                    </w:rPr>
                    <w:t>15000</w:t>
                  </w:r>
                </w:p>
              </w:tc>
              <w:tc>
                <w:tcPr>
                  <w:tcW w:w="1766" w:type="dxa"/>
                  <w:vAlign w:val="center"/>
                </w:tcPr>
                <w:p>
                  <w:pPr>
                    <w:jc w:val="center"/>
                    <w:rPr>
                      <w:rFonts w:eastAsiaTheme="minorEastAsia"/>
                      <w:color w:val="auto"/>
                    </w:rPr>
                  </w:pPr>
                  <w:r>
                    <w:rPr>
                      <w:rFonts w:eastAsiaTheme="minorEastAsia"/>
                      <w:color w:val="auto"/>
                      <w:szCs w:val="21"/>
                    </w:rPr>
                    <w:t>0.8303</w:t>
                  </w:r>
                </w:p>
              </w:tc>
              <w:tc>
                <w:tcPr>
                  <w:tcW w:w="2302" w:type="dxa"/>
                  <w:vAlign w:val="center"/>
                </w:tcPr>
                <w:p>
                  <w:pPr>
                    <w:jc w:val="center"/>
                    <w:rPr>
                      <w:rFonts w:eastAsiaTheme="minorEastAsia"/>
                      <w:color w:val="auto"/>
                    </w:rPr>
                  </w:pPr>
                  <w:r>
                    <w:rPr>
                      <w:rFonts w:eastAsiaTheme="minorEastAsia"/>
                      <w:color w:val="auto"/>
                      <w:szCs w:val="21"/>
                    </w:rPr>
                    <w:t>0.0000</w:t>
                  </w:r>
                </w:p>
              </w:tc>
              <w:tc>
                <w:tcPr>
                  <w:tcW w:w="2304" w:type="dxa"/>
                  <w:vAlign w:val="center"/>
                </w:tcPr>
                <w:p>
                  <w:pPr>
                    <w:jc w:val="center"/>
                    <w:rPr>
                      <w:rFonts w:eastAsiaTheme="minorEastAsia"/>
                      <w:color w:val="auto"/>
                    </w:rPr>
                  </w:pPr>
                  <w:r>
                    <w:rPr>
                      <w:rFonts w:eastAsiaTheme="minorEastAsia"/>
                      <w:color w:val="auto"/>
                      <w:szCs w:val="21"/>
                    </w:rPr>
                    <w:t>0.0187</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1" w:type="dxa"/>
                  <w:vAlign w:val="center"/>
                </w:tcPr>
                <w:p>
                  <w:pPr>
                    <w:snapToGrid w:val="0"/>
                    <w:jc w:val="center"/>
                    <w:rPr>
                      <w:rFonts w:eastAsiaTheme="minorEastAsia"/>
                      <w:color w:val="auto"/>
                      <w:szCs w:val="21"/>
                    </w:rPr>
                  </w:pPr>
                  <w:r>
                    <w:rPr>
                      <w:rFonts w:eastAsiaTheme="minorEastAsia"/>
                      <w:color w:val="auto"/>
                      <w:szCs w:val="21"/>
                    </w:rPr>
                    <w:t>20000</w:t>
                  </w:r>
                </w:p>
              </w:tc>
              <w:tc>
                <w:tcPr>
                  <w:tcW w:w="1766" w:type="dxa"/>
                  <w:vAlign w:val="center"/>
                </w:tcPr>
                <w:p>
                  <w:pPr>
                    <w:jc w:val="center"/>
                    <w:rPr>
                      <w:rFonts w:eastAsiaTheme="minorEastAsia"/>
                      <w:color w:val="auto"/>
                    </w:rPr>
                  </w:pPr>
                  <w:r>
                    <w:rPr>
                      <w:rFonts w:eastAsiaTheme="minorEastAsia"/>
                      <w:color w:val="auto"/>
                      <w:szCs w:val="21"/>
                    </w:rPr>
                    <w:t>0.3706</w:t>
                  </w:r>
                </w:p>
              </w:tc>
              <w:tc>
                <w:tcPr>
                  <w:tcW w:w="2302" w:type="dxa"/>
                  <w:vAlign w:val="center"/>
                </w:tcPr>
                <w:p>
                  <w:pPr>
                    <w:jc w:val="center"/>
                    <w:rPr>
                      <w:rFonts w:eastAsiaTheme="minorEastAsia"/>
                      <w:color w:val="auto"/>
                    </w:rPr>
                  </w:pPr>
                  <w:r>
                    <w:rPr>
                      <w:rFonts w:eastAsiaTheme="minorEastAsia"/>
                      <w:color w:val="auto"/>
                      <w:szCs w:val="21"/>
                    </w:rPr>
                    <w:t>0.0000</w:t>
                  </w:r>
                </w:p>
              </w:tc>
              <w:tc>
                <w:tcPr>
                  <w:tcW w:w="2304" w:type="dxa"/>
                  <w:vAlign w:val="center"/>
                </w:tcPr>
                <w:p>
                  <w:pPr>
                    <w:jc w:val="center"/>
                    <w:rPr>
                      <w:rFonts w:eastAsiaTheme="minorEastAsia"/>
                      <w:color w:val="auto"/>
                      <w:szCs w:val="21"/>
                    </w:rPr>
                  </w:pPr>
                  <w:r>
                    <w:rPr>
                      <w:rFonts w:eastAsiaTheme="minorEastAsia"/>
                      <w:color w:val="auto"/>
                      <w:szCs w:val="21"/>
                    </w:rPr>
                    <w:t>0.0083</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11" w:type="dxa"/>
                  <w:vAlign w:val="center"/>
                </w:tcPr>
                <w:p>
                  <w:pPr>
                    <w:snapToGrid w:val="0"/>
                    <w:jc w:val="center"/>
                    <w:rPr>
                      <w:rFonts w:eastAsiaTheme="minorEastAsia"/>
                      <w:b/>
                      <w:color w:val="auto"/>
                      <w:szCs w:val="21"/>
                    </w:rPr>
                  </w:pPr>
                  <w:r>
                    <w:rPr>
                      <w:rFonts w:eastAsiaTheme="minorEastAsia"/>
                      <w:b/>
                      <w:color w:val="auto"/>
                      <w:szCs w:val="21"/>
                    </w:rPr>
                    <w:t>20500</w:t>
                  </w:r>
                </w:p>
              </w:tc>
              <w:tc>
                <w:tcPr>
                  <w:tcW w:w="1766" w:type="dxa"/>
                  <w:vAlign w:val="center"/>
                </w:tcPr>
                <w:p>
                  <w:pPr>
                    <w:jc w:val="center"/>
                    <w:rPr>
                      <w:rFonts w:eastAsiaTheme="minorEastAsia"/>
                      <w:color w:val="auto"/>
                    </w:rPr>
                  </w:pPr>
                  <w:r>
                    <w:rPr>
                      <w:rFonts w:eastAsiaTheme="minorEastAsia"/>
                      <w:color w:val="auto"/>
                      <w:szCs w:val="21"/>
                    </w:rPr>
                    <w:t>0.3418</w:t>
                  </w:r>
                </w:p>
              </w:tc>
              <w:tc>
                <w:tcPr>
                  <w:tcW w:w="2302" w:type="dxa"/>
                  <w:vAlign w:val="center"/>
                </w:tcPr>
                <w:p>
                  <w:pPr>
                    <w:jc w:val="center"/>
                    <w:rPr>
                      <w:rFonts w:eastAsiaTheme="minorEastAsia"/>
                      <w:color w:val="auto"/>
                    </w:rPr>
                  </w:pPr>
                  <w:r>
                    <w:rPr>
                      <w:rFonts w:eastAsiaTheme="minorEastAsia"/>
                      <w:color w:val="auto"/>
                      <w:szCs w:val="21"/>
                    </w:rPr>
                    <w:t>0.0000</w:t>
                  </w:r>
                </w:p>
              </w:tc>
              <w:tc>
                <w:tcPr>
                  <w:tcW w:w="2304" w:type="dxa"/>
                  <w:vAlign w:val="center"/>
                </w:tcPr>
                <w:p>
                  <w:pPr>
                    <w:jc w:val="center"/>
                    <w:rPr>
                      <w:rFonts w:eastAsiaTheme="minorEastAsia"/>
                      <w:color w:val="auto"/>
                    </w:rPr>
                  </w:pPr>
                  <w:r>
                    <w:rPr>
                      <w:rFonts w:eastAsiaTheme="minorEastAsia"/>
                      <w:color w:val="auto"/>
                      <w:szCs w:val="21"/>
                    </w:rPr>
                    <w:t>0.0077</w:t>
                  </w:r>
                </w:p>
              </w:tc>
            </w:tr>
          </w:tbl>
          <w:p>
            <w:pPr>
              <w:adjustRightInd w:val="0"/>
              <w:snapToGrid w:val="0"/>
              <w:spacing w:line="360" w:lineRule="auto"/>
              <w:ind w:firstLine="480" w:firstLineChars="200"/>
              <w:rPr>
                <w:rFonts w:eastAsiaTheme="minorEastAsia"/>
                <w:color w:val="auto"/>
                <w:sz w:val="24"/>
              </w:rPr>
            </w:pPr>
            <w:r>
              <w:rPr>
                <w:rFonts w:eastAsiaTheme="minorEastAsia"/>
                <w:color w:val="auto"/>
                <w:sz w:val="24"/>
              </w:rPr>
              <w:t>由表66可以看出，污水厂发生事故后柏树底河在污水厂排污口下游20.5km处COD</w:t>
            </w:r>
            <w:r>
              <w:rPr>
                <w:rFonts w:eastAsiaTheme="minorEastAsia"/>
                <w:color w:val="auto"/>
                <w:sz w:val="24"/>
                <w:vertAlign w:val="subscript"/>
              </w:rPr>
              <w:t>cr</w:t>
            </w:r>
            <w:r>
              <w:rPr>
                <w:rFonts w:eastAsiaTheme="minorEastAsia"/>
                <w:color w:val="auto"/>
                <w:sz w:val="24"/>
              </w:rPr>
              <w:t>、NH</w:t>
            </w:r>
            <w:r>
              <w:rPr>
                <w:rFonts w:eastAsiaTheme="minorEastAsia"/>
                <w:color w:val="auto"/>
                <w:sz w:val="24"/>
                <w:vertAlign w:val="subscript"/>
              </w:rPr>
              <w:t>3</w:t>
            </w:r>
            <w:r>
              <w:rPr>
                <w:rFonts w:eastAsiaTheme="minorEastAsia"/>
                <w:color w:val="auto"/>
                <w:sz w:val="24"/>
              </w:rPr>
              <w:t>-N、TP的增量分别为0.34mg/L、0.00mg/L、0.0077mg/L，占《地表水环境质量标准》（GB3838-2002）</w:t>
            </w:r>
            <w:r>
              <w:rPr>
                <w:rFonts w:eastAsiaTheme="minorEastAsia"/>
                <w:color w:val="auto"/>
                <w:sz w:val="24"/>
              </w:rPr>
              <w:fldChar w:fldCharType="begin"/>
            </w:r>
            <w:r>
              <w:rPr>
                <w:rFonts w:eastAsiaTheme="minorEastAsia"/>
                <w:color w:val="auto"/>
                <w:sz w:val="24"/>
              </w:rPr>
              <w:instrText xml:space="preserve"> = 3 \* ROMAN </w:instrText>
            </w:r>
            <w:r>
              <w:rPr>
                <w:rFonts w:eastAsiaTheme="minorEastAsia"/>
                <w:color w:val="auto"/>
                <w:sz w:val="24"/>
              </w:rPr>
              <w:fldChar w:fldCharType="separate"/>
            </w:r>
            <w:r>
              <w:rPr>
                <w:rFonts w:eastAsiaTheme="minorEastAsia"/>
                <w:color w:val="auto"/>
                <w:sz w:val="24"/>
              </w:rPr>
              <w:t>IV</w:t>
            </w:r>
            <w:r>
              <w:rPr>
                <w:rFonts w:eastAsiaTheme="minorEastAsia"/>
                <w:color w:val="auto"/>
                <w:sz w:val="24"/>
              </w:rPr>
              <w:fldChar w:fldCharType="end"/>
            </w:r>
            <w:r>
              <w:rPr>
                <w:rFonts w:eastAsiaTheme="minorEastAsia"/>
                <w:color w:val="auto"/>
                <w:sz w:val="24"/>
              </w:rPr>
              <w:t>类标准的1.13%、0%、2.57%。虽然对柏树底河现状水质不会有明显影响，但污水厂排污口下游20.5km处COD</w:t>
            </w:r>
            <w:r>
              <w:rPr>
                <w:rFonts w:eastAsiaTheme="minorEastAsia"/>
                <w:color w:val="auto"/>
                <w:sz w:val="24"/>
                <w:vertAlign w:val="subscript"/>
              </w:rPr>
              <w:t>cr</w:t>
            </w:r>
            <w:r>
              <w:rPr>
                <w:rFonts w:eastAsiaTheme="minorEastAsia"/>
                <w:color w:val="auto"/>
                <w:sz w:val="24"/>
              </w:rPr>
              <w:t>、NH</w:t>
            </w:r>
            <w:r>
              <w:rPr>
                <w:rFonts w:eastAsiaTheme="minorEastAsia"/>
                <w:color w:val="auto"/>
                <w:sz w:val="24"/>
                <w:vertAlign w:val="subscript"/>
              </w:rPr>
              <w:t>3</w:t>
            </w:r>
            <w:r>
              <w:rPr>
                <w:rFonts w:eastAsiaTheme="minorEastAsia"/>
                <w:color w:val="auto"/>
                <w:sz w:val="24"/>
              </w:rPr>
              <w:t>-N、TP的增量较正常排放有明显的增加，应避免废水的事故性排放。</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污水处理厂的事故来源于设备故障、检修或由于工艺参数改变而使处理效果变差，建议优化设计方案，选用优质设备，强化管理，加强操作人员的理论知识和操作技能的培训，加强管理和进出水的监测工作，严禁未经处理污水外排，以减少事故的发生。</w:t>
            </w:r>
          </w:p>
          <w:p>
            <w:pPr>
              <w:pStyle w:val="12"/>
              <w:adjustRightInd w:val="0"/>
              <w:snapToGrid w:val="0"/>
              <w:ind w:firstLine="482" w:firstLineChars="200"/>
              <w:rPr>
                <w:rFonts w:ascii="Times New Roman" w:eastAsiaTheme="minorEastAsia"/>
                <w:b/>
                <w:color w:val="auto"/>
              </w:rPr>
            </w:pPr>
            <w:bookmarkStart w:id="11" w:name="_Toc451763183"/>
            <w:bookmarkStart w:id="12" w:name="_Toc450665561"/>
            <w:r>
              <w:rPr>
                <w:rFonts w:ascii="Times New Roman" w:eastAsiaTheme="minorEastAsia"/>
                <w:b/>
                <w:color w:val="auto"/>
              </w:rPr>
              <w:t>2.4地下水环境影响分析</w:t>
            </w:r>
          </w:p>
          <w:bookmarkEnd w:id="11"/>
          <w:bookmarkEnd w:id="12"/>
          <w:p>
            <w:pPr>
              <w:adjustRightInd w:val="0"/>
              <w:snapToGrid w:val="0"/>
              <w:spacing w:line="360" w:lineRule="auto"/>
              <w:ind w:firstLine="480" w:firstLineChars="200"/>
              <w:rPr>
                <w:rFonts w:eastAsiaTheme="minorEastAsia"/>
                <w:color w:val="auto"/>
                <w:sz w:val="24"/>
              </w:rPr>
            </w:pPr>
            <w:r>
              <w:rPr>
                <w:rFonts w:eastAsiaTheme="minorEastAsia"/>
                <w:color w:val="auto"/>
                <w:sz w:val="24"/>
              </w:rPr>
              <w:t>根据《环境影响评价技术导则地下水环境》（HJ610-2016）中9.4.2条：“已依据GB16889、GB18597、GB18598、GB18599、GB/T50934设计地下水污染防渗措施的建设项目，可不进行正常状况情景下的预测”。本项目已对场地地下水污染防治进行分区，将进水预处理池、格栅池及调节池等作为重点防渗区，参照《危险废物填埋污染控制标准》（GB18598-2001，2013年修改单）中第6.5.2、6.5.3条规定进行防渗处理；将储泥池等作为一般防渗区，参照《一般工业固体废物贮存、处置场污染控制标准》（GB18599-2001，2013年修改单）中第6.2.1条规定进行防渗处理；将办公、生活区等作为简单防渗区，进行一般地面硬化。项目具体分区防渗分分布情况划详见图21。因此本次评价对正常状况地下水环境影响进行定性分析，对非正常状况地下水影响进行预测分析。</w:t>
            </w:r>
          </w:p>
          <w:p>
            <w:pPr>
              <w:widowControl/>
              <w:spacing w:line="360" w:lineRule="auto"/>
              <w:ind w:firstLine="480" w:firstLineChars="200"/>
              <w:rPr>
                <w:rFonts w:eastAsiaTheme="minorEastAsia"/>
                <w:color w:val="auto"/>
                <w:sz w:val="24"/>
              </w:rPr>
            </w:pPr>
            <w:r>
              <w:rPr>
                <w:rFonts w:eastAsiaTheme="minorEastAsia"/>
                <w:color w:val="auto"/>
                <w:sz w:val="24"/>
              </w:rPr>
              <w:t>2.4.3.1地下水污染途径分析</w:t>
            </w:r>
          </w:p>
          <w:p>
            <w:pPr>
              <w:widowControl/>
              <w:spacing w:line="360" w:lineRule="auto"/>
              <w:ind w:firstLine="480" w:firstLineChars="200"/>
              <w:rPr>
                <w:rFonts w:eastAsiaTheme="minorEastAsia"/>
                <w:color w:val="auto"/>
                <w:sz w:val="24"/>
              </w:rPr>
            </w:pPr>
            <w:r>
              <w:rPr>
                <w:rFonts w:eastAsiaTheme="minorEastAsia"/>
                <w:color w:val="auto"/>
                <w:sz w:val="24"/>
              </w:rPr>
              <w:t>经分析，本项目可能对地下水产生污染的途径相对单一，主要可概括为废水通过包气带下渗进入含水层，对区域地下水环境造成不良影响。本项目运行期间，若出现污水处理设施故障、污水输送管网破裂、污水处理建构筑物破裂、厂区防渗措施不到位等情况，都有可能导致污染物出现渗漏、渗入地下。</w:t>
            </w:r>
          </w:p>
          <w:p>
            <w:pPr>
              <w:widowControl/>
              <w:spacing w:line="360" w:lineRule="auto"/>
              <w:ind w:firstLine="480" w:firstLineChars="200"/>
              <w:rPr>
                <w:rFonts w:eastAsiaTheme="minorEastAsia"/>
                <w:color w:val="auto"/>
                <w:sz w:val="24"/>
              </w:rPr>
            </w:pPr>
            <w:r>
              <w:rPr>
                <w:rFonts w:eastAsiaTheme="minorEastAsia"/>
                <w:color w:val="auto"/>
                <w:sz w:val="24"/>
              </w:rPr>
              <w:t>废水污染物对地下水的污染途径主要取决于上覆地层岩性、包气带防污性能、含水层的埋藏分布等因素。未经处理的化学品或废水在非正常情况下泄漏，其有害物质下渗，可通过包气带进入含水层导致对地下水的污染。因此，包气带的垂直渗漏是地下水的主要污染途径。包气带的防污性能大小与包气带厚度、岩性结构、弱渗透性地层的渗透性能及厚度有关。另外，不同地层对污染物有一定的吸附净化能力，具备一定的防护作用。</w:t>
            </w:r>
          </w:p>
          <w:p>
            <w:pPr>
              <w:widowControl/>
              <w:spacing w:line="360" w:lineRule="auto"/>
              <w:ind w:firstLine="480" w:firstLineChars="200"/>
              <w:rPr>
                <w:rFonts w:eastAsiaTheme="minorEastAsia"/>
                <w:color w:val="auto"/>
                <w:sz w:val="24"/>
              </w:rPr>
            </w:pPr>
            <w:r>
              <w:rPr>
                <w:rFonts w:eastAsiaTheme="minorEastAsia"/>
                <w:color w:val="auto"/>
                <w:sz w:val="24"/>
              </w:rPr>
              <w:t>2.4.3.2正常状况地下水影响分析</w:t>
            </w:r>
          </w:p>
          <w:p>
            <w:pPr>
              <w:widowControl/>
              <w:spacing w:line="360" w:lineRule="auto"/>
              <w:ind w:firstLine="480" w:firstLineChars="200"/>
              <w:rPr>
                <w:rFonts w:eastAsiaTheme="minorEastAsia"/>
                <w:color w:val="auto"/>
                <w:sz w:val="24"/>
              </w:rPr>
            </w:pPr>
            <w:r>
              <w:rPr>
                <w:rFonts w:eastAsiaTheme="minorEastAsia"/>
                <w:color w:val="auto"/>
                <w:sz w:val="24"/>
              </w:rPr>
              <w:t>本项目运营后尾水经处理达标后外排至沟道后排至柏树底河、最终排至马莲河，外排水水质满足《城镇污水处理厂污染物排放标准》（GB18918-2002）一级A标准，不会对地表水环境产生较大的影响。同时，本项目在建设过程中，采取了分区防渗措施，对各污水处理建构筑物进行了防渗处理，可防止污水下渗对地下水环境的影响。</w:t>
            </w:r>
          </w:p>
          <w:p>
            <w:pPr>
              <w:widowControl/>
              <w:spacing w:line="360" w:lineRule="auto"/>
              <w:ind w:firstLine="480" w:firstLineChars="200"/>
              <w:rPr>
                <w:rFonts w:eastAsiaTheme="minorEastAsia"/>
                <w:color w:val="auto"/>
                <w:sz w:val="24"/>
              </w:rPr>
            </w:pPr>
            <w:r>
              <w:rPr>
                <w:rFonts w:eastAsiaTheme="minorEastAsia"/>
                <w:color w:val="auto"/>
                <w:sz w:val="24"/>
              </w:rPr>
              <w:t>本项目在污泥脱水车间内设污泥堆，用于泥饼临时暂存，按照重点防渗区要求进行防渗处理，四周设置围堰。污水处理过程中产生的污泥经浓缩脱水达到含水率要求后装车外运处置，要求污泥日产日清，不得在厂内长时间堆存。因此不会产生淋溶液下渗污染地下水的情况。</w:t>
            </w:r>
          </w:p>
          <w:p>
            <w:pPr>
              <w:widowControl/>
              <w:spacing w:line="360" w:lineRule="auto"/>
              <w:ind w:firstLine="480" w:firstLineChars="200"/>
              <w:rPr>
                <w:rFonts w:eastAsiaTheme="minorEastAsia"/>
                <w:color w:val="auto"/>
                <w:sz w:val="24"/>
              </w:rPr>
            </w:pPr>
            <w:r>
              <w:rPr>
                <w:rFonts w:eastAsiaTheme="minorEastAsia"/>
                <w:color w:val="auto"/>
                <w:sz w:val="24"/>
              </w:rPr>
              <w:t>2.4.3.3非正常状况地下水影响预测分析</w:t>
            </w:r>
          </w:p>
          <w:p>
            <w:pPr>
              <w:widowControl/>
              <w:spacing w:line="360" w:lineRule="auto"/>
              <w:ind w:firstLine="480" w:firstLineChars="200"/>
              <w:rPr>
                <w:rFonts w:eastAsiaTheme="minorEastAsia"/>
                <w:color w:val="auto"/>
                <w:sz w:val="24"/>
              </w:rPr>
            </w:pPr>
            <w:r>
              <w:rPr>
                <w:rFonts w:hint="eastAsia" w:ascii="宋体" w:hAnsi="宋体" w:cs="宋体"/>
                <w:color w:val="auto"/>
                <w:sz w:val="24"/>
              </w:rPr>
              <w:t>⑴</w:t>
            </w:r>
            <w:r>
              <w:rPr>
                <w:rFonts w:eastAsiaTheme="minorEastAsia"/>
                <w:color w:val="auto"/>
                <w:sz w:val="24"/>
              </w:rPr>
              <w:t>预测情景</w:t>
            </w:r>
          </w:p>
          <w:p>
            <w:pPr>
              <w:widowControl/>
              <w:spacing w:line="360" w:lineRule="auto"/>
              <w:ind w:firstLine="480" w:firstLineChars="200"/>
              <w:rPr>
                <w:rFonts w:eastAsiaTheme="minorEastAsia"/>
                <w:color w:val="auto"/>
                <w:sz w:val="24"/>
              </w:rPr>
            </w:pPr>
            <w:r>
              <w:rPr>
                <w:rFonts w:eastAsiaTheme="minorEastAsia"/>
                <w:color w:val="auto"/>
                <w:sz w:val="24"/>
              </w:rPr>
              <w:t>本项目非正常状况对地下水的影响主要考虑废水泄露经土壤下渗对地下水的影响。本项目运行期间，若出现污水处理设施故障、污水输送管网破裂、污水处理建构筑物破裂、厂区防渗措施不到位等情况，都有可能导致污染物出现渗漏、渗入地下。</w:t>
            </w:r>
          </w:p>
          <w:p>
            <w:pPr>
              <w:widowControl/>
              <w:spacing w:line="360" w:lineRule="auto"/>
              <w:ind w:firstLine="480" w:firstLineChars="200"/>
              <w:rPr>
                <w:rFonts w:eastAsiaTheme="minorEastAsia"/>
                <w:color w:val="auto"/>
                <w:sz w:val="24"/>
              </w:rPr>
            </w:pPr>
            <w:r>
              <w:rPr>
                <w:rFonts w:hint="eastAsia" w:ascii="宋体" w:hAnsi="宋体" w:cs="宋体"/>
                <w:color w:val="auto"/>
                <w:sz w:val="24"/>
              </w:rPr>
              <w:t>①</w:t>
            </w:r>
            <w:r>
              <w:rPr>
                <w:rFonts w:eastAsiaTheme="minorEastAsia"/>
                <w:color w:val="auto"/>
                <w:sz w:val="24"/>
              </w:rPr>
              <w:t>本项目在设计中供电采用双电源设计，主电源一旦停电立即切入备用电源，确保污水处理厂的正常运转；机械设备在选型时考虑采用国外先进产品或国产同类产品中的先进产品，确保设备具有较高的自控水平，也可将由于电力机械故障造成的事故几率降低；另外，污水处理厂预留易损设备的备品备件，出现机械故障后立即抢修，更换备品备件。因此，污水处理设施故障可及时发现、处理，一般不会造成废水泄漏、下渗污染地下水。</w:t>
            </w:r>
          </w:p>
          <w:p>
            <w:pPr>
              <w:widowControl/>
              <w:spacing w:line="360" w:lineRule="auto"/>
              <w:ind w:firstLine="480" w:firstLineChars="200"/>
              <w:rPr>
                <w:rFonts w:eastAsiaTheme="minorEastAsia"/>
                <w:color w:val="auto"/>
                <w:sz w:val="24"/>
              </w:rPr>
            </w:pPr>
            <w:r>
              <w:rPr>
                <w:rFonts w:hint="eastAsia" w:ascii="宋体" w:hAnsi="宋体" w:cs="宋体"/>
                <w:color w:val="auto"/>
                <w:sz w:val="24"/>
              </w:rPr>
              <w:t>②</w:t>
            </w:r>
            <w:r>
              <w:rPr>
                <w:rFonts w:eastAsiaTheme="minorEastAsia"/>
                <w:color w:val="auto"/>
                <w:sz w:val="24"/>
              </w:rPr>
              <w:t>本项目污水管线尽可能可视化，并严格按照国家相关行业标准进行设计、施工、防腐和防渗，并由专人定期巡线，能够及时发现泄漏情况并进行处理，一般不会发生废水下渗污染地下水的情况。</w:t>
            </w:r>
          </w:p>
          <w:p>
            <w:pPr>
              <w:widowControl/>
              <w:spacing w:line="360" w:lineRule="auto"/>
              <w:ind w:firstLine="480" w:firstLineChars="200"/>
              <w:rPr>
                <w:rFonts w:eastAsiaTheme="minorEastAsia"/>
                <w:color w:val="auto"/>
                <w:sz w:val="24"/>
              </w:rPr>
            </w:pPr>
            <w:r>
              <w:rPr>
                <w:rFonts w:hint="eastAsia" w:ascii="宋体" w:hAnsi="宋体" w:cs="宋体"/>
                <w:color w:val="auto"/>
                <w:sz w:val="24"/>
              </w:rPr>
              <w:t>③</w:t>
            </w:r>
            <w:r>
              <w:rPr>
                <w:rFonts w:eastAsiaTheme="minorEastAsia"/>
                <w:color w:val="auto"/>
                <w:sz w:val="24"/>
              </w:rPr>
              <w:t>本项目各污水处理功能单元和污泥暂存设施严格按照污染控制国家标准或防渗技术规范进行分区防渗，不会发生污染物下渗污染地下水的情况。</w:t>
            </w:r>
          </w:p>
          <w:p>
            <w:pPr>
              <w:widowControl/>
              <w:spacing w:line="360" w:lineRule="auto"/>
              <w:ind w:firstLine="480" w:firstLineChars="200"/>
              <w:rPr>
                <w:rFonts w:eastAsiaTheme="minorEastAsia"/>
                <w:color w:val="auto"/>
                <w:sz w:val="24"/>
              </w:rPr>
            </w:pPr>
            <w:r>
              <w:rPr>
                <w:rFonts w:hint="eastAsia" w:ascii="宋体" w:hAnsi="宋体" w:cs="宋体"/>
                <w:color w:val="auto"/>
                <w:sz w:val="24"/>
              </w:rPr>
              <w:t>④</w:t>
            </w:r>
            <w:r>
              <w:rPr>
                <w:rFonts w:eastAsiaTheme="minorEastAsia"/>
                <w:color w:val="auto"/>
                <w:sz w:val="24"/>
              </w:rPr>
              <w:t>本项目污水处理厂内的提升泵房储泥池等均为半地下式结构，一旦发生泄漏最不易察觉，也最有可能对地下水产生污染。因此，本次评价主要考虑污水处理构筑物池体破裂，造成污水泄漏，经土壤下渗污染地下水的情况。</w:t>
            </w:r>
          </w:p>
          <w:p>
            <w:pPr>
              <w:widowControl/>
              <w:spacing w:line="360" w:lineRule="auto"/>
              <w:ind w:firstLine="480" w:firstLineChars="200"/>
              <w:rPr>
                <w:rFonts w:eastAsiaTheme="minorEastAsia"/>
                <w:color w:val="auto"/>
                <w:sz w:val="24"/>
              </w:rPr>
            </w:pPr>
            <w:r>
              <w:rPr>
                <w:rFonts w:eastAsiaTheme="minorEastAsia"/>
                <w:color w:val="auto"/>
                <w:sz w:val="24"/>
              </w:rPr>
              <w:t>因集水调节池、一体化处理设备占地面积最大，并且处于整个污水处理流程的前段，进入其内的废水只经过了粗格栅、细格栅和集水调节池的处理，COD、氨氮等污染物还未得以有效去除。因此按最不利情况考虑，预测情景假设污水处理单元池体发生开裂引起事故性泄漏，废水渗入地下潜水层。</w:t>
            </w:r>
          </w:p>
          <w:p>
            <w:pPr>
              <w:widowControl/>
              <w:spacing w:line="360" w:lineRule="auto"/>
              <w:ind w:firstLine="480" w:firstLineChars="200"/>
              <w:rPr>
                <w:rFonts w:eastAsiaTheme="minorEastAsia"/>
                <w:color w:val="auto"/>
                <w:sz w:val="24"/>
              </w:rPr>
            </w:pPr>
            <w:r>
              <w:rPr>
                <w:rFonts w:hint="eastAsia" w:ascii="宋体" w:hAnsi="宋体" w:cs="宋体"/>
                <w:color w:val="auto"/>
                <w:sz w:val="24"/>
              </w:rPr>
              <w:t>⑵</w:t>
            </w:r>
            <w:r>
              <w:rPr>
                <w:rFonts w:eastAsiaTheme="minorEastAsia"/>
                <w:color w:val="auto"/>
                <w:sz w:val="24"/>
              </w:rPr>
              <w:t>预测因子</w:t>
            </w:r>
          </w:p>
          <w:p>
            <w:pPr>
              <w:widowControl/>
              <w:spacing w:line="360" w:lineRule="auto"/>
              <w:ind w:firstLine="480" w:firstLineChars="200"/>
              <w:rPr>
                <w:rFonts w:eastAsiaTheme="minorEastAsia"/>
                <w:color w:val="auto"/>
                <w:sz w:val="24"/>
              </w:rPr>
            </w:pPr>
            <w:r>
              <w:rPr>
                <w:rFonts w:eastAsiaTheme="minorEastAsia"/>
                <w:color w:val="auto"/>
                <w:sz w:val="24"/>
              </w:rPr>
              <w:t>根据本项目进出水水质及工程分析，本次评价选取CODcr、NH</w:t>
            </w:r>
            <w:r>
              <w:rPr>
                <w:rFonts w:eastAsiaTheme="minorEastAsia"/>
                <w:color w:val="auto"/>
                <w:sz w:val="24"/>
                <w:vertAlign w:val="subscript"/>
              </w:rPr>
              <w:t>3</w:t>
            </w:r>
            <w:r>
              <w:rPr>
                <w:rFonts w:eastAsiaTheme="minorEastAsia"/>
                <w:color w:val="auto"/>
                <w:sz w:val="24"/>
              </w:rPr>
              <w:t>-N作为污水处理厂非正常状况下污染预测因子。</w:t>
            </w:r>
          </w:p>
          <w:p>
            <w:pPr>
              <w:widowControl/>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⑶</w:t>
            </w:r>
            <w:r>
              <w:rPr>
                <w:rFonts w:eastAsiaTheme="minorEastAsia"/>
                <w:color w:val="auto"/>
                <w:sz w:val="24"/>
              </w:rPr>
              <w:t>预测时段</w:t>
            </w:r>
          </w:p>
          <w:p>
            <w:pPr>
              <w:widowControl/>
              <w:adjustRightInd w:val="0"/>
              <w:snapToGrid w:val="0"/>
              <w:spacing w:line="360" w:lineRule="auto"/>
              <w:ind w:firstLine="480" w:firstLineChars="200"/>
              <w:rPr>
                <w:rFonts w:eastAsiaTheme="minorEastAsia"/>
                <w:color w:val="auto"/>
                <w:sz w:val="24"/>
              </w:rPr>
            </w:pPr>
            <w:r>
              <w:rPr>
                <w:rFonts w:eastAsiaTheme="minorEastAsia"/>
                <w:color w:val="auto"/>
                <w:sz w:val="24"/>
              </w:rPr>
              <w:t>本次地下水环境影响预测时段选取以可能产生地下水污染的关键时段为标准，确定的预测时段包括污染发生后100d、1000d、3650d（10a）三个时段。</w:t>
            </w:r>
          </w:p>
          <w:p>
            <w:pPr>
              <w:widowControl/>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⑷</w:t>
            </w:r>
            <w:r>
              <w:rPr>
                <w:rFonts w:eastAsiaTheme="minorEastAsia"/>
                <w:color w:val="auto"/>
                <w:sz w:val="24"/>
              </w:rPr>
              <w:t>预测方法</w:t>
            </w:r>
          </w:p>
          <w:p>
            <w:pPr>
              <w:widowControl/>
              <w:adjustRightInd w:val="0"/>
              <w:snapToGrid w:val="0"/>
              <w:spacing w:line="360" w:lineRule="auto"/>
              <w:ind w:firstLine="480" w:firstLineChars="200"/>
              <w:rPr>
                <w:rFonts w:eastAsiaTheme="minorEastAsia"/>
                <w:color w:val="auto"/>
                <w:sz w:val="24"/>
              </w:rPr>
            </w:pPr>
            <w:r>
              <w:rPr>
                <w:rFonts w:eastAsiaTheme="minorEastAsia"/>
                <w:color w:val="auto"/>
                <w:sz w:val="24"/>
              </w:rPr>
              <w:t>依据《环境影响评价技术导则地下水环境》（HJ610-2016），本项目评价区水文地质条件简单，场区含水层结构基本一致，同时泄露污水的排放也不会对地下水流场造成明显影响，故本次评价采用解析模型预测污染物在含水层中的扩散特征。</w:t>
            </w:r>
          </w:p>
          <w:p>
            <w:pPr>
              <w:widowControl/>
              <w:adjustRightInd w:val="0"/>
              <w:snapToGrid w:val="0"/>
              <w:spacing w:line="360" w:lineRule="auto"/>
              <w:ind w:firstLine="480" w:firstLineChars="200"/>
              <w:rPr>
                <w:rFonts w:eastAsiaTheme="minorEastAsia"/>
                <w:color w:val="auto"/>
                <w:sz w:val="24"/>
              </w:rPr>
            </w:pPr>
            <w:r>
              <w:rPr>
                <w:rFonts w:eastAsiaTheme="minorEastAsia"/>
                <w:color w:val="auto"/>
                <w:sz w:val="24"/>
              </w:rPr>
              <w:t>污水处理单元池体发生开裂面积相对于污染影响范围面积来讲，可概化为点源。在非正常状况下，对于某一时刻的污染物扩散特征采用一维半无限长多孔介质柱体，一端为定浓度边界模型进行微分解析，具体公式如下：</w:t>
            </w:r>
          </w:p>
          <w:p>
            <w:pPr>
              <w:widowControl/>
              <w:spacing w:line="360" w:lineRule="auto"/>
              <w:ind w:firstLine="480" w:firstLineChars="200"/>
              <w:jc w:val="center"/>
              <w:rPr>
                <w:rFonts w:eastAsiaTheme="minorEastAsia"/>
                <w:color w:val="auto"/>
                <w:sz w:val="24"/>
              </w:rPr>
            </w:pPr>
            <w:r>
              <w:rPr>
                <w:rFonts w:eastAsiaTheme="minorEastAsia"/>
                <w:color w:val="auto"/>
                <w:sz w:val="24"/>
              </w:rPr>
              <w:drawing>
                <wp:inline distT="0" distB="0" distL="0" distR="0">
                  <wp:extent cx="2628900" cy="514350"/>
                  <wp:effectExtent l="19050" t="0" r="0" b="0"/>
                  <wp:docPr id="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
                          <pic:cNvPicPr>
                            <a:picLocks noChangeAspect="1" noChangeArrowheads="1"/>
                          </pic:cNvPicPr>
                        </pic:nvPicPr>
                        <pic:blipFill>
                          <a:blip r:embed="rId51" cstate="print"/>
                          <a:srcRect/>
                          <a:stretch>
                            <a:fillRect/>
                          </a:stretch>
                        </pic:blipFill>
                        <pic:spPr>
                          <a:xfrm>
                            <a:off x="0" y="0"/>
                            <a:ext cx="2628900" cy="514350"/>
                          </a:xfrm>
                          <a:prstGeom prst="rect">
                            <a:avLst/>
                          </a:prstGeom>
                          <a:noFill/>
                          <a:ln w="9525">
                            <a:noFill/>
                            <a:miter lim="800000"/>
                            <a:headEnd/>
                            <a:tailEnd/>
                          </a:ln>
                        </pic:spPr>
                      </pic:pic>
                    </a:graphicData>
                  </a:graphic>
                </wp:inline>
              </w:drawing>
            </w:r>
          </w:p>
          <w:p>
            <w:pPr>
              <w:pStyle w:val="180"/>
              <w:topLinePunct/>
              <w:snapToGrid w:val="0"/>
              <w:rPr>
                <w:rFonts w:eastAsiaTheme="minorEastAsia"/>
                <w:color w:val="auto"/>
              </w:rPr>
            </w:pPr>
            <w:r>
              <w:rPr>
                <w:rFonts w:eastAsiaTheme="minorEastAsia"/>
                <w:color w:val="auto"/>
              </w:rPr>
              <w:t>式中：</w:t>
            </w:r>
            <w:r>
              <w:rPr>
                <w:rFonts w:eastAsiaTheme="minorEastAsia"/>
                <w:i/>
                <w:color w:val="auto"/>
              </w:rPr>
              <w:t xml:space="preserve">x — </w:t>
            </w:r>
            <w:r>
              <w:rPr>
                <w:rFonts w:eastAsiaTheme="minorEastAsia"/>
                <w:color w:val="auto"/>
              </w:rPr>
              <w:t>距注入点的距离；m；</w:t>
            </w:r>
          </w:p>
          <w:p>
            <w:pPr>
              <w:pStyle w:val="180"/>
              <w:topLinePunct/>
              <w:snapToGrid w:val="0"/>
              <w:ind w:firstLine="1200" w:firstLineChars="500"/>
              <w:rPr>
                <w:rFonts w:eastAsiaTheme="minorEastAsia"/>
                <w:color w:val="auto"/>
              </w:rPr>
            </w:pPr>
            <w:r>
              <w:rPr>
                <w:rFonts w:eastAsiaTheme="minorEastAsia"/>
                <w:i/>
                <w:color w:val="auto"/>
              </w:rPr>
              <w:t xml:space="preserve">t — </w:t>
            </w:r>
            <w:r>
              <w:rPr>
                <w:rFonts w:eastAsiaTheme="minorEastAsia"/>
                <w:color w:val="auto"/>
              </w:rPr>
              <w:t>时间，d ；</w:t>
            </w:r>
          </w:p>
          <w:p>
            <w:pPr>
              <w:pStyle w:val="180"/>
              <w:topLinePunct/>
              <w:snapToGrid w:val="0"/>
              <w:ind w:firstLine="1200" w:firstLineChars="500"/>
              <w:rPr>
                <w:rFonts w:eastAsiaTheme="minorEastAsia"/>
                <w:i/>
                <w:color w:val="auto"/>
              </w:rPr>
            </w:pPr>
            <w:r>
              <w:rPr>
                <w:rFonts w:eastAsiaTheme="minorEastAsia"/>
                <w:i/>
                <w:color w:val="auto"/>
              </w:rPr>
              <w:t>C —</w:t>
            </w:r>
            <w:r>
              <w:rPr>
                <w:rFonts w:eastAsiaTheme="minorEastAsia"/>
                <w:color w:val="auto"/>
              </w:rPr>
              <w:t xml:space="preserve"> t 时刻x 处的示踪剂浓度，mg/L；</w:t>
            </w:r>
          </w:p>
          <w:p>
            <w:pPr>
              <w:pStyle w:val="180"/>
              <w:topLinePunct/>
              <w:snapToGrid w:val="0"/>
              <w:ind w:firstLine="1200" w:firstLineChars="500"/>
              <w:rPr>
                <w:rFonts w:eastAsiaTheme="minorEastAsia"/>
                <w:i/>
                <w:color w:val="auto"/>
              </w:rPr>
            </w:pPr>
            <w:r>
              <w:rPr>
                <w:rFonts w:eastAsiaTheme="minorEastAsia"/>
                <w:i/>
                <w:color w:val="auto"/>
              </w:rPr>
              <w:t>C</w:t>
            </w:r>
            <w:r>
              <w:rPr>
                <w:rFonts w:eastAsiaTheme="minorEastAsia"/>
                <w:i/>
                <w:color w:val="auto"/>
                <w:vertAlign w:val="subscript"/>
              </w:rPr>
              <w:t>0</w:t>
            </w:r>
            <w:r>
              <w:rPr>
                <w:rFonts w:eastAsiaTheme="minorEastAsia"/>
                <w:i/>
                <w:color w:val="auto"/>
              </w:rPr>
              <w:t xml:space="preserve"> — </w:t>
            </w:r>
            <w:r>
              <w:rPr>
                <w:rFonts w:eastAsiaTheme="minorEastAsia"/>
                <w:color w:val="auto"/>
              </w:rPr>
              <w:t>污染物浓度，mg/L；</w:t>
            </w:r>
          </w:p>
          <w:p>
            <w:pPr>
              <w:pStyle w:val="180"/>
              <w:topLinePunct/>
              <w:snapToGrid w:val="0"/>
              <w:ind w:firstLine="1200" w:firstLineChars="500"/>
              <w:rPr>
                <w:rFonts w:eastAsiaTheme="minorEastAsia"/>
                <w:i/>
                <w:color w:val="auto"/>
              </w:rPr>
            </w:pPr>
            <w:r>
              <w:rPr>
                <w:rFonts w:eastAsiaTheme="minorEastAsia"/>
                <w:i/>
                <w:color w:val="auto"/>
              </w:rPr>
              <w:t xml:space="preserve">u — </w:t>
            </w:r>
            <w:r>
              <w:rPr>
                <w:rFonts w:eastAsiaTheme="minorEastAsia"/>
                <w:color w:val="auto"/>
              </w:rPr>
              <w:t>水流速度，m/d；</w:t>
            </w:r>
          </w:p>
          <w:p>
            <w:pPr>
              <w:pStyle w:val="180"/>
              <w:topLinePunct/>
              <w:snapToGrid w:val="0"/>
              <w:ind w:firstLine="1200" w:firstLineChars="500"/>
              <w:rPr>
                <w:rFonts w:eastAsiaTheme="minorEastAsia"/>
                <w:i/>
                <w:color w:val="auto"/>
              </w:rPr>
            </w:pPr>
            <w:r>
              <w:rPr>
                <w:rFonts w:eastAsiaTheme="minorEastAsia"/>
                <w:i/>
                <w:color w:val="auto"/>
              </w:rPr>
              <w:t>D</w:t>
            </w:r>
            <w:r>
              <w:rPr>
                <w:rFonts w:eastAsiaTheme="minorEastAsia"/>
                <w:i/>
                <w:color w:val="auto"/>
                <w:vertAlign w:val="subscript"/>
              </w:rPr>
              <w:t>L</w:t>
            </w:r>
            <w:r>
              <w:rPr>
                <w:rFonts w:eastAsiaTheme="minorEastAsia"/>
                <w:i/>
                <w:color w:val="auto"/>
              </w:rPr>
              <w:t xml:space="preserve">— </w:t>
            </w:r>
            <w:r>
              <w:rPr>
                <w:rFonts w:eastAsiaTheme="minorEastAsia"/>
                <w:color w:val="auto"/>
              </w:rPr>
              <w:t>纵向弥散系数，m</w:t>
            </w:r>
            <w:r>
              <w:rPr>
                <w:rFonts w:eastAsiaTheme="minorEastAsia"/>
                <w:color w:val="auto"/>
                <w:vertAlign w:val="superscript"/>
              </w:rPr>
              <w:t>2</w:t>
            </w:r>
            <w:r>
              <w:rPr>
                <w:rFonts w:eastAsiaTheme="minorEastAsia"/>
                <w:color w:val="auto"/>
              </w:rPr>
              <w:t>/d ；</w:t>
            </w:r>
          </w:p>
          <w:p>
            <w:pPr>
              <w:pStyle w:val="180"/>
              <w:topLinePunct/>
              <w:snapToGrid w:val="0"/>
              <w:ind w:firstLine="1200" w:firstLineChars="500"/>
              <w:rPr>
                <w:rFonts w:eastAsiaTheme="minorEastAsia"/>
                <w:i/>
                <w:color w:val="auto"/>
              </w:rPr>
            </w:pPr>
            <w:r>
              <w:rPr>
                <w:rFonts w:eastAsiaTheme="minorEastAsia"/>
                <w:i/>
                <w:color w:val="auto"/>
              </w:rPr>
              <w:t xml:space="preserve">erfc（）— </w:t>
            </w:r>
            <w:r>
              <w:rPr>
                <w:rFonts w:eastAsiaTheme="minorEastAsia"/>
                <w:color w:val="auto"/>
              </w:rPr>
              <w:t>余误差函数（可查《水文地质手册》获得）。</w:t>
            </w:r>
          </w:p>
          <w:p>
            <w:pPr>
              <w:pStyle w:val="168"/>
              <w:widowControl/>
              <w:numPr>
                <w:ilvl w:val="0"/>
                <w:numId w:val="2"/>
              </w:numPr>
              <w:spacing w:line="360" w:lineRule="auto"/>
              <w:ind w:firstLineChars="0"/>
              <w:rPr>
                <w:rFonts w:eastAsiaTheme="minorEastAsia"/>
                <w:color w:val="auto"/>
                <w:sz w:val="24"/>
              </w:rPr>
            </w:pPr>
            <w:r>
              <w:rPr>
                <w:rFonts w:eastAsiaTheme="minorEastAsia"/>
                <w:color w:val="auto"/>
                <w:sz w:val="24"/>
              </w:rPr>
              <w:t>测参数及源强</w:t>
            </w:r>
          </w:p>
          <w:p>
            <w:pPr>
              <w:widowControl/>
              <w:spacing w:line="360" w:lineRule="auto"/>
              <w:ind w:left="480"/>
              <w:rPr>
                <w:rFonts w:eastAsiaTheme="minorEastAsia"/>
                <w:color w:val="auto"/>
                <w:sz w:val="24"/>
              </w:rPr>
            </w:pPr>
            <w:r>
              <w:rPr>
                <w:rFonts w:hint="eastAsia" w:ascii="宋体" w:hAnsi="宋体" w:cs="宋体"/>
                <w:color w:val="auto"/>
                <w:sz w:val="24"/>
              </w:rPr>
              <w:t>①</w:t>
            </w:r>
            <w:r>
              <w:rPr>
                <w:rFonts w:eastAsiaTheme="minorEastAsia"/>
                <w:color w:val="auto"/>
                <w:sz w:val="24"/>
              </w:rPr>
              <w:t>预测参数</w:t>
            </w:r>
          </w:p>
          <w:p>
            <w:pPr>
              <w:widowControl/>
              <w:spacing w:line="360" w:lineRule="auto"/>
              <w:ind w:firstLine="480" w:firstLineChars="200"/>
              <w:rPr>
                <w:rFonts w:eastAsiaTheme="minorEastAsia"/>
                <w:color w:val="auto"/>
                <w:sz w:val="24"/>
              </w:rPr>
            </w:pPr>
            <w:r>
              <w:rPr>
                <w:rFonts w:eastAsiaTheme="minorEastAsia"/>
                <w:color w:val="auto"/>
                <w:sz w:val="24"/>
              </w:rPr>
              <w:t>根据评价区水文地质资料及相关经验参数，确定溶质运移模型所涉及到的各项参数，具体数值见表68。</w:t>
            </w:r>
          </w:p>
          <w:p>
            <w:pPr>
              <w:widowControl/>
              <w:spacing w:line="360" w:lineRule="auto"/>
              <w:ind w:firstLine="482" w:firstLineChars="200"/>
              <w:jc w:val="center"/>
              <w:rPr>
                <w:rFonts w:eastAsiaTheme="minorEastAsia"/>
                <w:b/>
                <w:color w:val="auto"/>
                <w:sz w:val="24"/>
              </w:rPr>
            </w:pPr>
            <w:r>
              <w:rPr>
                <w:rFonts w:eastAsiaTheme="minorEastAsia"/>
                <w:b/>
                <w:color w:val="auto"/>
                <w:sz w:val="24"/>
              </w:rPr>
              <w:t>表68模型参数</w:t>
            </w:r>
          </w:p>
          <w:tbl>
            <w:tblPr>
              <w:tblStyle w:val="38"/>
              <w:tblW w:w="8623"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724"/>
              <w:gridCol w:w="1104"/>
              <w:gridCol w:w="1243"/>
              <w:gridCol w:w="1659"/>
              <w:gridCol w:w="1199"/>
              <w:gridCol w:w="1011"/>
              <w:gridCol w:w="985"/>
              <w:gridCol w:w="698"/>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01" w:hRule="atLeast"/>
                <w:jc w:val="center"/>
              </w:trPr>
              <w:tc>
                <w:tcPr>
                  <w:tcW w:w="724" w:type="dxa"/>
                  <w:vMerge w:val="restart"/>
                  <w:vAlign w:val="center"/>
                </w:tcPr>
                <w:p>
                  <w:pPr>
                    <w:widowControl/>
                    <w:jc w:val="center"/>
                    <w:rPr>
                      <w:rFonts w:eastAsiaTheme="minorEastAsia"/>
                      <w:color w:val="auto"/>
                      <w:szCs w:val="21"/>
                    </w:rPr>
                  </w:pPr>
                  <w:r>
                    <w:rPr>
                      <w:rFonts w:eastAsiaTheme="minorEastAsia"/>
                      <w:color w:val="auto"/>
                      <w:szCs w:val="21"/>
                    </w:rPr>
                    <w:t>参数</w:t>
                  </w:r>
                </w:p>
              </w:tc>
              <w:tc>
                <w:tcPr>
                  <w:tcW w:w="1104" w:type="dxa"/>
                  <w:vMerge w:val="restart"/>
                  <w:vAlign w:val="center"/>
                </w:tcPr>
                <w:p>
                  <w:pPr>
                    <w:widowControl/>
                    <w:jc w:val="center"/>
                    <w:rPr>
                      <w:rFonts w:eastAsiaTheme="minorEastAsia"/>
                      <w:color w:val="auto"/>
                      <w:szCs w:val="21"/>
                    </w:rPr>
                  </w:pPr>
                  <w:r>
                    <w:rPr>
                      <w:rFonts w:eastAsiaTheme="minorEastAsia"/>
                      <w:color w:val="auto"/>
                      <w:szCs w:val="21"/>
                    </w:rPr>
                    <w:t>弥散系数</w:t>
                  </w:r>
                </w:p>
                <w:p>
                  <w:pPr>
                    <w:widowControl/>
                    <w:jc w:val="center"/>
                    <w:rPr>
                      <w:rFonts w:eastAsiaTheme="minorEastAsia"/>
                      <w:color w:val="auto"/>
                      <w:szCs w:val="21"/>
                    </w:rPr>
                  </w:pPr>
                  <w:r>
                    <w:rPr>
                      <w:rFonts w:eastAsiaTheme="minorEastAsia"/>
                      <w:color w:val="auto"/>
                      <w:szCs w:val="21"/>
                    </w:rPr>
                    <w:t>（m</w:t>
                  </w:r>
                  <w:r>
                    <w:rPr>
                      <w:rFonts w:eastAsiaTheme="minorEastAsia"/>
                      <w:color w:val="auto"/>
                      <w:szCs w:val="21"/>
                      <w:vertAlign w:val="superscript"/>
                    </w:rPr>
                    <w:t>2</w:t>
                  </w:r>
                  <w:r>
                    <w:rPr>
                      <w:rFonts w:eastAsiaTheme="minorEastAsia"/>
                      <w:color w:val="auto"/>
                      <w:szCs w:val="21"/>
                    </w:rPr>
                    <w:t>/d）</w:t>
                  </w:r>
                </w:p>
              </w:tc>
              <w:tc>
                <w:tcPr>
                  <w:tcW w:w="1243" w:type="dxa"/>
                  <w:vMerge w:val="restart"/>
                  <w:vAlign w:val="center"/>
                </w:tcPr>
                <w:p>
                  <w:pPr>
                    <w:widowControl/>
                    <w:jc w:val="center"/>
                    <w:rPr>
                      <w:rFonts w:eastAsiaTheme="minorEastAsia"/>
                      <w:color w:val="auto"/>
                      <w:szCs w:val="21"/>
                    </w:rPr>
                  </w:pPr>
                  <w:r>
                    <w:rPr>
                      <w:rFonts w:eastAsiaTheme="minorEastAsia"/>
                      <w:color w:val="auto"/>
                      <w:szCs w:val="21"/>
                    </w:rPr>
                    <w:t>有效孔隙度</w:t>
                  </w:r>
                </w:p>
                <w:p>
                  <w:pPr>
                    <w:widowControl/>
                    <w:jc w:val="center"/>
                    <w:rPr>
                      <w:rFonts w:eastAsiaTheme="minorEastAsia"/>
                      <w:color w:val="auto"/>
                      <w:szCs w:val="21"/>
                    </w:rPr>
                  </w:pPr>
                  <w:r>
                    <w:rPr>
                      <w:rFonts w:eastAsiaTheme="minorEastAsia"/>
                      <w:color w:val="auto"/>
                      <w:szCs w:val="21"/>
                    </w:rPr>
                    <w:t>n</w:t>
                  </w:r>
                </w:p>
              </w:tc>
              <w:tc>
                <w:tcPr>
                  <w:tcW w:w="1659" w:type="dxa"/>
                  <w:vMerge w:val="restart"/>
                  <w:vAlign w:val="center"/>
                </w:tcPr>
                <w:p>
                  <w:pPr>
                    <w:widowControl/>
                    <w:jc w:val="center"/>
                    <w:rPr>
                      <w:rFonts w:eastAsiaTheme="minorEastAsia"/>
                      <w:color w:val="auto"/>
                      <w:szCs w:val="21"/>
                    </w:rPr>
                  </w:pPr>
                  <w:r>
                    <w:rPr>
                      <w:rFonts w:eastAsiaTheme="minorEastAsia"/>
                      <w:color w:val="auto"/>
                      <w:szCs w:val="21"/>
                    </w:rPr>
                    <w:t>地下水流速</w:t>
                  </w:r>
                </w:p>
                <w:p>
                  <w:pPr>
                    <w:widowControl/>
                    <w:jc w:val="center"/>
                    <w:rPr>
                      <w:rFonts w:eastAsiaTheme="minorEastAsia"/>
                      <w:color w:val="auto"/>
                      <w:szCs w:val="21"/>
                    </w:rPr>
                  </w:pPr>
                  <w:r>
                    <w:rPr>
                      <w:rFonts w:eastAsiaTheme="minorEastAsia"/>
                      <w:color w:val="auto"/>
                      <w:szCs w:val="21"/>
                    </w:rPr>
                    <w:t>u（m/d）</w:t>
                  </w:r>
                </w:p>
              </w:tc>
              <w:tc>
                <w:tcPr>
                  <w:tcW w:w="2210" w:type="dxa"/>
                  <w:gridSpan w:val="2"/>
                  <w:vAlign w:val="center"/>
                </w:tcPr>
                <w:p>
                  <w:pPr>
                    <w:widowControl/>
                    <w:jc w:val="center"/>
                    <w:rPr>
                      <w:rFonts w:eastAsiaTheme="minorEastAsia"/>
                      <w:color w:val="auto"/>
                      <w:szCs w:val="21"/>
                    </w:rPr>
                  </w:pPr>
                  <w:r>
                    <w:rPr>
                      <w:rFonts w:eastAsiaTheme="minorEastAsia"/>
                      <w:color w:val="auto"/>
                      <w:sz w:val="24"/>
                    </w:rPr>
                    <w:t>CODcr</w:t>
                  </w:r>
                </w:p>
              </w:tc>
              <w:tc>
                <w:tcPr>
                  <w:tcW w:w="1683" w:type="dxa"/>
                  <w:gridSpan w:val="2"/>
                  <w:vAlign w:val="center"/>
                </w:tcPr>
                <w:p>
                  <w:pPr>
                    <w:widowControl/>
                    <w:jc w:val="center"/>
                    <w:rPr>
                      <w:rFonts w:eastAsiaTheme="minorEastAsia"/>
                      <w:color w:val="auto"/>
                      <w:szCs w:val="21"/>
                    </w:rPr>
                  </w:pPr>
                  <w:r>
                    <w:rPr>
                      <w:rFonts w:eastAsiaTheme="minorEastAsia"/>
                      <w:color w:val="auto"/>
                      <w:sz w:val="24"/>
                    </w:rPr>
                    <w:t>NH</w:t>
                  </w:r>
                  <w:r>
                    <w:rPr>
                      <w:rFonts w:eastAsiaTheme="minorEastAsia"/>
                      <w:color w:val="auto"/>
                      <w:sz w:val="24"/>
                      <w:vertAlign w:val="subscript"/>
                    </w:rPr>
                    <w:t>3</w:t>
                  </w:r>
                  <w:r>
                    <w:rPr>
                      <w:rFonts w:eastAsiaTheme="minorEastAsia"/>
                      <w:color w:val="auto"/>
                      <w:sz w:val="24"/>
                    </w:rPr>
                    <w:t>-N</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08" w:hRule="atLeast"/>
                <w:jc w:val="center"/>
              </w:trPr>
              <w:tc>
                <w:tcPr>
                  <w:tcW w:w="724" w:type="dxa"/>
                  <w:vMerge w:val="continue"/>
                  <w:vAlign w:val="center"/>
                </w:tcPr>
                <w:p>
                  <w:pPr>
                    <w:widowControl/>
                    <w:jc w:val="center"/>
                    <w:rPr>
                      <w:rFonts w:eastAsiaTheme="minorEastAsia"/>
                      <w:color w:val="auto"/>
                      <w:szCs w:val="21"/>
                    </w:rPr>
                  </w:pPr>
                </w:p>
              </w:tc>
              <w:tc>
                <w:tcPr>
                  <w:tcW w:w="1104" w:type="dxa"/>
                  <w:vMerge w:val="continue"/>
                  <w:vAlign w:val="center"/>
                </w:tcPr>
                <w:p>
                  <w:pPr>
                    <w:widowControl/>
                    <w:jc w:val="center"/>
                    <w:rPr>
                      <w:rFonts w:eastAsiaTheme="minorEastAsia"/>
                      <w:color w:val="auto"/>
                      <w:szCs w:val="21"/>
                    </w:rPr>
                  </w:pPr>
                </w:p>
              </w:tc>
              <w:tc>
                <w:tcPr>
                  <w:tcW w:w="1243" w:type="dxa"/>
                  <w:vMerge w:val="continue"/>
                  <w:vAlign w:val="center"/>
                </w:tcPr>
                <w:p>
                  <w:pPr>
                    <w:widowControl/>
                    <w:jc w:val="center"/>
                    <w:rPr>
                      <w:rFonts w:eastAsiaTheme="minorEastAsia"/>
                      <w:color w:val="auto"/>
                      <w:szCs w:val="21"/>
                    </w:rPr>
                  </w:pPr>
                </w:p>
              </w:tc>
              <w:tc>
                <w:tcPr>
                  <w:tcW w:w="1659" w:type="dxa"/>
                  <w:vMerge w:val="continue"/>
                  <w:vAlign w:val="center"/>
                </w:tcPr>
                <w:p>
                  <w:pPr>
                    <w:widowControl/>
                    <w:jc w:val="center"/>
                    <w:rPr>
                      <w:rFonts w:eastAsiaTheme="minorEastAsia"/>
                      <w:color w:val="auto"/>
                      <w:szCs w:val="21"/>
                    </w:rPr>
                  </w:pPr>
                </w:p>
              </w:tc>
              <w:tc>
                <w:tcPr>
                  <w:tcW w:w="1199" w:type="dxa"/>
                  <w:vAlign w:val="center"/>
                </w:tcPr>
                <w:p>
                  <w:pPr>
                    <w:jc w:val="center"/>
                    <w:rPr>
                      <w:rFonts w:eastAsiaTheme="minorEastAsia"/>
                      <w:bCs/>
                      <w:color w:val="auto"/>
                      <w:szCs w:val="21"/>
                    </w:rPr>
                  </w:pPr>
                  <w:r>
                    <w:rPr>
                      <w:rFonts w:eastAsiaTheme="minorEastAsia"/>
                      <w:bCs/>
                      <w:color w:val="auto"/>
                      <w:szCs w:val="21"/>
                    </w:rPr>
                    <w:t>质量标准</w:t>
                  </w:r>
                </w:p>
                <w:p>
                  <w:pPr>
                    <w:jc w:val="center"/>
                    <w:rPr>
                      <w:rFonts w:eastAsiaTheme="minorEastAsia"/>
                      <w:bCs/>
                      <w:color w:val="auto"/>
                      <w:szCs w:val="21"/>
                    </w:rPr>
                  </w:pPr>
                  <w:r>
                    <w:rPr>
                      <w:rFonts w:eastAsiaTheme="minorEastAsia"/>
                      <w:bCs/>
                      <w:color w:val="auto"/>
                      <w:szCs w:val="21"/>
                    </w:rPr>
                    <w:t>mg/L</w:t>
                  </w:r>
                </w:p>
              </w:tc>
              <w:tc>
                <w:tcPr>
                  <w:tcW w:w="1011" w:type="dxa"/>
                  <w:vAlign w:val="center"/>
                </w:tcPr>
                <w:p>
                  <w:pPr>
                    <w:jc w:val="center"/>
                    <w:rPr>
                      <w:rFonts w:eastAsiaTheme="minorEastAsia"/>
                      <w:bCs/>
                      <w:color w:val="auto"/>
                      <w:szCs w:val="21"/>
                    </w:rPr>
                  </w:pPr>
                  <w:r>
                    <w:rPr>
                      <w:rFonts w:eastAsiaTheme="minorEastAsia"/>
                      <w:bCs/>
                      <w:color w:val="auto"/>
                      <w:szCs w:val="21"/>
                    </w:rPr>
                    <w:t>检出限</w:t>
                  </w:r>
                </w:p>
              </w:tc>
              <w:tc>
                <w:tcPr>
                  <w:tcW w:w="985" w:type="dxa"/>
                  <w:vAlign w:val="center"/>
                </w:tcPr>
                <w:p>
                  <w:pPr>
                    <w:jc w:val="center"/>
                    <w:rPr>
                      <w:rFonts w:eastAsiaTheme="minorEastAsia"/>
                      <w:bCs/>
                      <w:color w:val="auto"/>
                      <w:szCs w:val="21"/>
                    </w:rPr>
                  </w:pPr>
                  <w:r>
                    <w:rPr>
                      <w:rFonts w:eastAsiaTheme="minorEastAsia"/>
                      <w:bCs/>
                      <w:color w:val="auto"/>
                      <w:szCs w:val="21"/>
                    </w:rPr>
                    <w:t>质量标准</w:t>
                  </w:r>
                </w:p>
                <w:p>
                  <w:pPr>
                    <w:jc w:val="center"/>
                    <w:rPr>
                      <w:rFonts w:eastAsiaTheme="minorEastAsia"/>
                      <w:bCs/>
                      <w:color w:val="auto"/>
                      <w:szCs w:val="21"/>
                    </w:rPr>
                  </w:pPr>
                  <w:r>
                    <w:rPr>
                      <w:rFonts w:eastAsiaTheme="minorEastAsia"/>
                      <w:bCs/>
                      <w:color w:val="auto"/>
                      <w:szCs w:val="21"/>
                    </w:rPr>
                    <w:t>mg/L</w:t>
                  </w:r>
                </w:p>
              </w:tc>
              <w:tc>
                <w:tcPr>
                  <w:tcW w:w="698" w:type="dxa"/>
                  <w:vAlign w:val="center"/>
                </w:tcPr>
                <w:p>
                  <w:pPr>
                    <w:jc w:val="center"/>
                    <w:rPr>
                      <w:rFonts w:eastAsiaTheme="minorEastAsia"/>
                      <w:bCs/>
                      <w:color w:val="auto"/>
                      <w:szCs w:val="21"/>
                    </w:rPr>
                  </w:pPr>
                  <w:r>
                    <w:rPr>
                      <w:rFonts w:eastAsiaTheme="minorEastAsia"/>
                      <w:bCs/>
                      <w:color w:val="auto"/>
                      <w:szCs w:val="21"/>
                    </w:rPr>
                    <w:t>检出限</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30" w:hRule="atLeast"/>
                <w:jc w:val="center"/>
              </w:trPr>
              <w:tc>
                <w:tcPr>
                  <w:tcW w:w="724" w:type="dxa"/>
                  <w:vAlign w:val="center"/>
                </w:tcPr>
                <w:p>
                  <w:pPr>
                    <w:widowControl/>
                    <w:jc w:val="center"/>
                    <w:rPr>
                      <w:rFonts w:eastAsiaTheme="minorEastAsia"/>
                      <w:color w:val="auto"/>
                      <w:szCs w:val="21"/>
                    </w:rPr>
                  </w:pPr>
                  <w:r>
                    <w:rPr>
                      <w:rFonts w:eastAsiaTheme="minorEastAsia"/>
                      <w:color w:val="auto"/>
                      <w:szCs w:val="21"/>
                    </w:rPr>
                    <w:t>名称</w:t>
                  </w:r>
                </w:p>
              </w:tc>
              <w:tc>
                <w:tcPr>
                  <w:tcW w:w="1104" w:type="dxa"/>
                  <w:vAlign w:val="center"/>
                </w:tcPr>
                <w:p>
                  <w:pPr>
                    <w:widowControl/>
                    <w:jc w:val="center"/>
                    <w:rPr>
                      <w:rFonts w:eastAsiaTheme="minorEastAsia"/>
                      <w:color w:val="auto"/>
                      <w:szCs w:val="21"/>
                    </w:rPr>
                  </w:pPr>
                  <w:r>
                    <w:rPr>
                      <w:rFonts w:eastAsiaTheme="minorEastAsia"/>
                      <w:color w:val="auto"/>
                      <w:szCs w:val="21"/>
                    </w:rPr>
                    <w:t>0.2</w:t>
                  </w:r>
                </w:p>
              </w:tc>
              <w:tc>
                <w:tcPr>
                  <w:tcW w:w="1243" w:type="dxa"/>
                  <w:vAlign w:val="center"/>
                </w:tcPr>
                <w:p>
                  <w:pPr>
                    <w:widowControl/>
                    <w:jc w:val="center"/>
                    <w:rPr>
                      <w:rFonts w:eastAsiaTheme="minorEastAsia"/>
                      <w:color w:val="auto"/>
                      <w:szCs w:val="21"/>
                    </w:rPr>
                  </w:pPr>
                  <w:r>
                    <w:rPr>
                      <w:rFonts w:eastAsiaTheme="minorEastAsia"/>
                      <w:color w:val="auto"/>
                      <w:szCs w:val="21"/>
                    </w:rPr>
                    <w:t>0.379</w:t>
                  </w:r>
                </w:p>
              </w:tc>
              <w:tc>
                <w:tcPr>
                  <w:tcW w:w="1659" w:type="dxa"/>
                  <w:vAlign w:val="center"/>
                </w:tcPr>
                <w:p>
                  <w:pPr>
                    <w:widowControl/>
                    <w:jc w:val="center"/>
                    <w:rPr>
                      <w:rFonts w:eastAsiaTheme="minorEastAsia"/>
                      <w:color w:val="auto"/>
                      <w:szCs w:val="21"/>
                    </w:rPr>
                  </w:pPr>
                  <w:r>
                    <w:rPr>
                      <w:rFonts w:eastAsiaTheme="minorEastAsia"/>
                      <w:color w:val="auto"/>
                      <w:szCs w:val="21"/>
                    </w:rPr>
                    <w:t>0.5</w:t>
                  </w:r>
                </w:p>
              </w:tc>
              <w:tc>
                <w:tcPr>
                  <w:tcW w:w="1199" w:type="dxa"/>
                  <w:vAlign w:val="center"/>
                </w:tcPr>
                <w:p>
                  <w:pPr>
                    <w:widowControl/>
                    <w:jc w:val="center"/>
                    <w:rPr>
                      <w:rFonts w:eastAsiaTheme="minorEastAsia"/>
                      <w:color w:val="auto"/>
                      <w:szCs w:val="21"/>
                    </w:rPr>
                  </w:pPr>
                  <w:r>
                    <w:rPr>
                      <w:rFonts w:eastAsiaTheme="minorEastAsia"/>
                      <w:color w:val="auto"/>
                      <w:szCs w:val="21"/>
                    </w:rPr>
                    <w:t>20</w:t>
                  </w:r>
                </w:p>
              </w:tc>
              <w:tc>
                <w:tcPr>
                  <w:tcW w:w="1011" w:type="dxa"/>
                  <w:vAlign w:val="center"/>
                </w:tcPr>
                <w:p>
                  <w:pPr>
                    <w:widowControl/>
                    <w:jc w:val="center"/>
                    <w:rPr>
                      <w:rFonts w:eastAsiaTheme="minorEastAsia"/>
                      <w:color w:val="auto"/>
                      <w:szCs w:val="21"/>
                    </w:rPr>
                  </w:pPr>
                  <w:r>
                    <w:rPr>
                      <w:rFonts w:eastAsiaTheme="minorEastAsia"/>
                      <w:color w:val="auto"/>
                      <w:szCs w:val="21"/>
                    </w:rPr>
                    <w:t>5.0</w:t>
                  </w:r>
                </w:p>
              </w:tc>
              <w:tc>
                <w:tcPr>
                  <w:tcW w:w="985" w:type="dxa"/>
                  <w:vAlign w:val="center"/>
                </w:tcPr>
                <w:p>
                  <w:pPr>
                    <w:widowControl/>
                    <w:jc w:val="center"/>
                    <w:rPr>
                      <w:rFonts w:eastAsiaTheme="minorEastAsia"/>
                      <w:color w:val="auto"/>
                      <w:szCs w:val="21"/>
                    </w:rPr>
                  </w:pPr>
                  <w:r>
                    <w:rPr>
                      <w:rFonts w:eastAsiaTheme="minorEastAsia"/>
                      <w:color w:val="auto"/>
                      <w:szCs w:val="21"/>
                    </w:rPr>
                    <w:t>0.2</w:t>
                  </w:r>
                </w:p>
              </w:tc>
              <w:tc>
                <w:tcPr>
                  <w:tcW w:w="698" w:type="dxa"/>
                  <w:vAlign w:val="center"/>
                </w:tcPr>
                <w:p>
                  <w:pPr>
                    <w:widowControl/>
                    <w:jc w:val="center"/>
                    <w:rPr>
                      <w:rFonts w:eastAsiaTheme="minorEastAsia"/>
                      <w:color w:val="auto"/>
                      <w:szCs w:val="21"/>
                    </w:rPr>
                  </w:pPr>
                  <w:r>
                    <w:rPr>
                      <w:rFonts w:eastAsiaTheme="minorEastAsia"/>
                      <w:color w:val="auto"/>
                      <w:szCs w:val="21"/>
                    </w:rPr>
                    <w:t>0.01</w:t>
                  </w:r>
                </w:p>
              </w:tc>
            </w:tr>
          </w:tbl>
          <w:p>
            <w:pPr>
              <w:adjustRightInd w:val="0"/>
              <w:snapToGrid w:val="0"/>
              <w:spacing w:line="360" w:lineRule="auto"/>
              <w:ind w:firstLine="480"/>
              <w:rPr>
                <w:rFonts w:eastAsiaTheme="minorEastAsia"/>
                <w:color w:val="auto"/>
                <w:sz w:val="24"/>
              </w:rPr>
            </w:pPr>
            <w:r>
              <w:rPr>
                <w:rFonts w:hint="eastAsia" w:ascii="宋体" w:hAnsi="宋体" w:cs="宋体"/>
                <w:color w:val="auto"/>
                <w:sz w:val="24"/>
              </w:rPr>
              <w:t>②</w:t>
            </w:r>
            <w:r>
              <w:rPr>
                <w:rFonts w:eastAsiaTheme="minorEastAsia"/>
                <w:color w:val="auto"/>
                <w:sz w:val="24"/>
              </w:rPr>
              <w:t>预测源强</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依据《环境影响评价技术导则地下水环境》（HJ610-2016），非正常状况下，预测源强可根据工艺设备或地下水环境保护措施因系统老化或腐蚀程度等设定。污水处理厂池体在运行初期，由于基础夯实，水池采用钢筋混凝土结构，具有防渗功能。但在后期，可能会由于基础不均匀沉降，混凝土出现裂缝，污水渗入地下。</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根据工程分析，本工程兼氧-MBR膜生物反应器进水水质CODcr浓度为500mg/L、NH</w:t>
            </w:r>
            <w:r>
              <w:rPr>
                <w:rFonts w:eastAsiaTheme="minorEastAsia"/>
                <w:color w:val="auto"/>
                <w:sz w:val="24"/>
                <w:vertAlign w:val="subscript"/>
              </w:rPr>
              <w:t>3</w:t>
            </w:r>
            <w:r>
              <w:rPr>
                <w:rFonts w:eastAsiaTheme="minorEastAsia"/>
                <w:color w:val="auto"/>
                <w:sz w:val="24"/>
              </w:rPr>
              <w:t>-N浓度为35mg/L，假设短时泄露时间为7d。</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⑹</w:t>
            </w:r>
            <w:r>
              <w:rPr>
                <w:rFonts w:eastAsiaTheme="minorEastAsia"/>
                <w:color w:val="auto"/>
                <w:sz w:val="24"/>
              </w:rPr>
              <w:t>预测内容及结果</w:t>
            </w:r>
          </w:p>
          <w:p>
            <w:pPr>
              <w:adjustRightInd w:val="0"/>
              <w:snapToGrid w:val="0"/>
              <w:spacing w:line="360" w:lineRule="auto"/>
              <w:ind w:firstLine="470" w:firstLineChars="196"/>
              <w:rPr>
                <w:rFonts w:eastAsiaTheme="minorEastAsia"/>
                <w:color w:val="auto"/>
                <w:sz w:val="24"/>
              </w:rPr>
            </w:pPr>
            <w:r>
              <w:rPr>
                <w:rFonts w:eastAsiaTheme="minorEastAsia"/>
                <w:color w:val="auto"/>
                <w:sz w:val="24"/>
              </w:rPr>
              <w:t>预测结果见表69所示。</w:t>
            </w:r>
          </w:p>
          <w:p>
            <w:pPr>
              <w:adjustRightInd w:val="0"/>
              <w:snapToGrid w:val="0"/>
              <w:spacing w:line="360" w:lineRule="auto"/>
              <w:jc w:val="center"/>
              <w:rPr>
                <w:rFonts w:eastAsiaTheme="minorEastAsia"/>
                <w:b/>
                <w:color w:val="auto"/>
                <w:sz w:val="24"/>
              </w:rPr>
            </w:pPr>
            <w:r>
              <w:rPr>
                <w:rFonts w:eastAsiaTheme="minorEastAsia"/>
                <w:b/>
                <w:color w:val="auto"/>
                <w:sz w:val="24"/>
              </w:rPr>
              <w:t>表69非正常状况下CODcr浓度在地下水中迁移扩散预测结果</w:t>
            </w:r>
          </w:p>
          <w:tbl>
            <w:tblPr>
              <w:tblStyle w:val="38"/>
              <w:tblW w:w="8482"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79"/>
              <w:gridCol w:w="2206"/>
              <w:gridCol w:w="1177"/>
              <w:gridCol w:w="1177"/>
              <w:gridCol w:w="1177"/>
              <w:gridCol w:w="1666"/>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1079" w:type="dxa"/>
                  <w:vAlign w:val="center"/>
                </w:tcPr>
                <w:p>
                  <w:pPr>
                    <w:ind w:left="-105" w:leftChars="-50" w:right="-105" w:rightChars="-50"/>
                    <w:jc w:val="center"/>
                    <w:rPr>
                      <w:rFonts w:eastAsiaTheme="minorEastAsia"/>
                      <w:bCs/>
                      <w:color w:val="auto"/>
                      <w:szCs w:val="21"/>
                    </w:rPr>
                  </w:pPr>
                  <w:r>
                    <w:rPr>
                      <w:rFonts w:eastAsiaTheme="minorEastAsia"/>
                      <w:bCs/>
                      <w:color w:val="auto"/>
                      <w:szCs w:val="21"/>
                    </w:rPr>
                    <w:t>预测</w:t>
                  </w:r>
                </w:p>
                <w:p>
                  <w:pPr>
                    <w:ind w:left="-105" w:leftChars="-50" w:right="-105" w:rightChars="-50"/>
                    <w:jc w:val="center"/>
                    <w:rPr>
                      <w:rFonts w:eastAsiaTheme="minorEastAsia"/>
                      <w:bCs/>
                      <w:color w:val="auto"/>
                      <w:szCs w:val="21"/>
                    </w:rPr>
                  </w:pPr>
                  <w:r>
                    <w:rPr>
                      <w:rFonts w:eastAsiaTheme="minorEastAsia"/>
                      <w:bCs/>
                      <w:color w:val="auto"/>
                      <w:szCs w:val="21"/>
                    </w:rPr>
                    <w:t>时段</w:t>
                  </w:r>
                </w:p>
              </w:tc>
              <w:tc>
                <w:tcPr>
                  <w:tcW w:w="2206" w:type="dxa"/>
                  <w:vAlign w:val="center"/>
                </w:tcPr>
                <w:p>
                  <w:pPr>
                    <w:ind w:left="-50" w:right="-50"/>
                    <w:jc w:val="center"/>
                    <w:rPr>
                      <w:rFonts w:eastAsiaTheme="minorEastAsia"/>
                      <w:bCs/>
                      <w:color w:val="auto"/>
                      <w:szCs w:val="21"/>
                    </w:rPr>
                  </w:pPr>
                  <w:r>
                    <w:rPr>
                      <w:rFonts w:eastAsiaTheme="minorEastAsia"/>
                      <w:bCs/>
                      <w:color w:val="auto"/>
                      <w:szCs w:val="21"/>
                    </w:rPr>
                    <w:t>最大预测值（</w:t>
                  </w:r>
                  <w:r>
                    <w:rPr>
                      <w:rFonts w:eastAsiaTheme="minorEastAsia"/>
                      <w:color w:val="auto"/>
                      <w:szCs w:val="21"/>
                    </w:rPr>
                    <w:t>mg/L</w:t>
                  </w:r>
                  <w:r>
                    <w:rPr>
                      <w:rFonts w:eastAsiaTheme="minorEastAsia"/>
                      <w:bCs/>
                      <w:color w:val="auto"/>
                      <w:szCs w:val="21"/>
                    </w:rPr>
                    <w:t>）</w:t>
                  </w:r>
                </w:p>
              </w:tc>
              <w:tc>
                <w:tcPr>
                  <w:tcW w:w="1177" w:type="dxa"/>
                  <w:vAlign w:val="center"/>
                </w:tcPr>
                <w:p>
                  <w:pPr>
                    <w:ind w:left="-50" w:right="-50"/>
                    <w:jc w:val="center"/>
                    <w:rPr>
                      <w:rFonts w:eastAsiaTheme="minorEastAsia"/>
                      <w:bCs/>
                      <w:color w:val="auto"/>
                      <w:szCs w:val="21"/>
                    </w:rPr>
                  </w:pPr>
                  <w:r>
                    <w:rPr>
                      <w:rFonts w:eastAsiaTheme="minorEastAsia"/>
                      <w:bCs/>
                      <w:color w:val="auto"/>
                      <w:szCs w:val="21"/>
                    </w:rPr>
                    <w:t>最大预测值出现距离（</w:t>
                  </w:r>
                  <w:r>
                    <w:rPr>
                      <w:rFonts w:eastAsiaTheme="minorEastAsia"/>
                      <w:color w:val="auto"/>
                    </w:rPr>
                    <w:t>m</w:t>
                  </w:r>
                  <w:r>
                    <w:rPr>
                      <w:rFonts w:eastAsiaTheme="minorEastAsia"/>
                      <w:bCs/>
                      <w:color w:val="auto"/>
                      <w:szCs w:val="21"/>
                    </w:rPr>
                    <w:t>）</w:t>
                  </w:r>
                </w:p>
              </w:tc>
              <w:tc>
                <w:tcPr>
                  <w:tcW w:w="1177" w:type="dxa"/>
                  <w:vAlign w:val="center"/>
                </w:tcPr>
                <w:p>
                  <w:pPr>
                    <w:ind w:left="-50" w:right="-50"/>
                    <w:rPr>
                      <w:rFonts w:eastAsiaTheme="minorEastAsia"/>
                      <w:bCs/>
                      <w:color w:val="auto"/>
                      <w:szCs w:val="21"/>
                    </w:rPr>
                  </w:pPr>
                  <w:r>
                    <w:rPr>
                      <w:rFonts w:eastAsiaTheme="minorEastAsia"/>
                      <w:bCs/>
                      <w:color w:val="auto"/>
                      <w:szCs w:val="21"/>
                    </w:rPr>
                    <w:t>预测最远超标距离（</w:t>
                  </w:r>
                  <w:r>
                    <w:rPr>
                      <w:rFonts w:eastAsiaTheme="minorEastAsia"/>
                      <w:color w:val="auto"/>
                    </w:rPr>
                    <w:t>m</w:t>
                  </w:r>
                  <w:r>
                    <w:rPr>
                      <w:rFonts w:eastAsiaTheme="minorEastAsia"/>
                      <w:bCs/>
                      <w:color w:val="auto"/>
                      <w:szCs w:val="21"/>
                    </w:rPr>
                    <w:t>）</w:t>
                  </w:r>
                </w:p>
              </w:tc>
              <w:tc>
                <w:tcPr>
                  <w:tcW w:w="1177" w:type="dxa"/>
                  <w:vAlign w:val="center"/>
                </w:tcPr>
                <w:p>
                  <w:pPr>
                    <w:ind w:left="-50" w:right="-50"/>
                    <w:jc w:val="center"/>
                    <w:rPr>
                      <w:rFonts w:eastAsiaTheme="minorEastAsia"/>
                      <w:bCs/>
                      <w:color w:val="auto"/>
                      <w:szCs w:val="21"/>
                    </w:rPr>
                  </w:pPr>
                  <w:r>
                    <w:rPr>
                      <w:rFonts w:eastAsiaTheme="minorEastAsia"/>
                      <w:bCs/>
                      <w:color w:val="auto"/>
                      <w:szCs w:val="21"/>
                    </w:rPr>
                    <w:t>影响最远距离（m）</w:t>
                  </w:r>
                </w:p>
              </w:tc>
              <w:tc>
                <w:tcPr>
                  <w:tcW w:w="1666" w:type="dxa"/>
                  <w:vAlign w:val="center"/>
                </w:tcPr>
                <w:p>
                  <w:pPr>
                    <w:ind w:left="-50" w:right="-50"/>
                    <w:jc w:val="center"/>
                    <w:rPr>
                      <w:rFonts w:eastAsiaTheme="minorEastAsia"/>
                      <w:bCs/>
                      <w:color w:val="auto"/>
                      <w:szCs w:val="21"/>
                    </w:rPr>
                  </w:pPr>
                  <w:r>
                    <w:rPr>
                      <w:rFonts w:eastAsiaTheme="minorEastAsia"/>
                      <w:bCs/>
                      <w:color w:val="auto"/>
                      <w:szCs w:val="21"/>
                    </w:rPr>
                    <w:t>标准值（</w:t>
                  </w:r>
                  <w:r>
                    <w:rPr>
                      <w:rFonts w:eastAsiaTheme="minorEastAsia"/>
                      <w:color w:val="auto"/>
                      <w:szCs w:val="21"/>
                    </w:rPr>
                    <w:t>mg/L</w:t>
                  </w:r>
                  <w:r>
                    <w:rPr>
                      <w:rFonts w:eastAsiaTheme="minorEastAsia"/>
                      <w:bCs/>
                      <w:color w:val="auto"/>
                      <w:szCs w:val="21"/>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30" w:hRule="atLeast"/>
                <w:jc w:val="center"/>
              </w:trPr>
              <w:tc>
                <w:tcPr>
                  <w:tcW w:w="1079" w:type="dxa"/>
                  <w:vAlign w:val="center"/>
                </w:tcPr>
                <w:p>
                  <w:pPr>
                    <w:ind w:left="-50" w:right="-50"/>
                    <w:jc w:val="center"/>
                    <w:rPr>
                      <w:rFonts w:eastAsiaTheme="minorEastAsia"/>
                      <w:bCs/>
                      <w:color w:val="auto"/>
                      <w:szCs w:val="21"/>
                    </w:rPr>
                  </w:pPr>
                  <w:r>
                    <w:rPr>
                      <w:rFonts w:eastAsiaTheme="minorEastAsia"/>
                      <w:bCs/>
                      <w:color w:val="auto"/>
                      <w:szCs w:val="21"/>
                    </w:rPr>
                    <w:t>10d</w:t>
                  </w:r>
                </w:p>
              </w:tc>
              <w:tc>
                <w:tcPr>
                  <w:tcW w:w="2206" w:type="dxa"/>
                  <w:vAlign w:val="center"/>
                </w:tcPr>
                <w:p>
                  <w:pPr>
                    <w:ind w:left="-50" w:right="-50"/>
                    <w:jc w:val="center"/>
                    <w:rPr>
                      <w:rFonts w:eastAsiaTheme="minorEastAsia"/>
                      <w:color w:val="auto"/>
                      <w:szCs w:val="21"/>
                    </w:rPr>
                  </w:pPr>
                  <w:r>
                    <w:rPr>
                      <w:rFonts w:eastAsiaTheme="minorEastAsia"/>
                      <w:color w:val="auto"/>
                      <w:szCs w:val="21"/>
                    </w:rPr>
                    <w:t>171.9196</w:t>
                  </w:r>
                </w:p>
              </w:tc>
              <w:tc>
                <w:tcPr>
                  <w:tcW w:w="1177" w:type="dxa"/>
                  <w:vAlign w:val="center"/>
                </w:tcPr>
                <w:p>
                  <w:pPr>
                    <w:ind w:left="-50" w:right="-50"/>
                    <w:jc w:val="center"/>
                    <w:rPr>
                      <w:rFonts w:eastAsiaTheme="minorEastAsia"/>
                      <w:bCs/>
                      <w:color w:val="auto"/>
                      <w:szCs w:val="21"/>
                    </w:rPr>
                  </w:pPr>
                  <w:r>
                    <w:rPr>
                      <w:rFonts w:eastAsiaTheme="minorEastAsia"/>
                      <w:bCs/>
                      <w:color w:val="auto"/>
                      <w:szCs w:val="21"/>
                    </w:rPr>
                    <w:t>5</w:t>
                  </w:r>
                </w:p>
              </w:tc>
              <w:tc>
                <w:tcPr>
                  <w:tcW w:w="1177" w:type="dxa"/>
                  <w:vAlign w:val="center"/>
                </w:tcPr>
                <w:p>
                  <w:pPr>
                    <w:ind w:left="-50" w:right="-50"/>
                    <w:jc w:val="center"/>
                    <w:rPr>
                      <w:rFonts w:eastAsiaTheme="minorEastAsia"/>
                      <w:bCs/>
                      <w:color w:val="auto"/>
                      <w:szCs w:val="21"/>
                    </w:rPr>
                  </w:pPr>
                  <w:r>
                    <w:rPr>
                      <w:rFonts w:eastAsiaTheme="minorEastAsia"/>
                      <w:bCs/>
                      <w:color w:val="auto"/>
                      <w:szCs w:val="21"/>
                    </w:rPr>
                    <w:t>16</w:t>
                  </w:r>
                </w:p>
              </w:tc>
              <w:tc>
                <w:tcPr>
                  <w:tcW w:w="1177" w:type="dxa"/>
                  <w:vAlign w:val="center"/>
                </w:tcPr>
                <w:p>
                  <w:pPr>
                    <w:ind w:left="-50" w:right="-50"/>
                    <w:jc w:val="center"/>
                    <w:rPr>
                      <w:rFonts w:eastAsiaTheme="minorEastAsia"/>
                      <w:bCs/>
                      <w:color w:val="auto"/>
                      <w:szCs w:val="21"/>
                    </w:rPr>
                  </w:pPr>
                  <w:r>
                    <w:rPr>
                      <w:rFonts w:eastAsiaTheme="minorEastAsia"/>
                      <w:bCs/>
                      <w:color w:val="auto"/>
                      <w:szCs w:val="21"/>
                    </w:rPr>
                    <w:t>27</w:t>
                  </w:r>
                </w:p>
              </w:tc>
              <w:tc>
                <w:tcPr>
                  <w:tcW w:w="1666" w:type="dxa"/>
                  <w:vAlign w:val="center"/>
                </w:tcPr>
                <w:p>
                  <w:pPr>
                    <w:ind w:left="-50" w:right="-50"/>
                    <w:jc w:val="center"/>
                    <w:rPr>
                      <w:rFonts w:eastAsiaTheme="minorEastAsia"/>
                      <w:bCs/>
                      <w:color w:val="auto"/>
                      <w:szCs w:val="21"/>
                    </w:rPr>
                  </w:pPr>
                  <w:r>
                    <w:rPr>
                      <w:rFonts w:eastAsiaTheme="minorEastAsia"/>
                      <w:bCs/>
                      <w:color w:val="auto"/>
                      <w:szCs w:val="21"/>
                    </w:rPr>
                    <w:t>20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08" w:hRule="atLeast"/>
                <w:jc w:val="center"/>
              </w:trPr>
              <w:tc>
                <w:tcPr>
                  <w:tcW w:w="1079" w:type="dxa"/>
                  <w:vAlign w:val="center"/>
                </w:tcPr>
                <w:p>
                  <w:pPr>
                    <w:ind w:left="-50" w:right="-50"/>
                    <w:jc w:val="center"/>
                    <w:rPr>
                      <w:rFonts w:eastAsiaTheme="minorEastAsia"/>
                      <w:bCs/>
                      <w:color w:val="auto"/>
                      <w:szCs w:val="21"/>
                    </w:rPr>
                  </w:pPr>
                  <w:r>
                    <w:rPr>
                      <w:rFonts w:eastAsiaTheme="minorEastAsia"/>
                      <w:bCs/>
                      <w:color w:val="auto"/>
                      <w:szCs w:val="21"/>
                    </w:rPr>
                    <w:t>100d</w:t>
                  </w:r>
                </w:p>
              </w:tc>
              <w:tc>
                <w:tcPr>
                  <w:tcW w:w="2206" w:type="dxa"/>
                  <w:vAlign w:val="center"/>
                </w:tcPr>
                <w:p>
                  <w:pPr>
                    <w:ind w:left="-50" w:right="-50"/>
                    <w:jc w:val="center"/>
                    <w:rPr>
                      <w:rFonts w:eastAsiaTheme="minorEastAsia"/>
                      <w:color w:val="auto"/>
                      <w:szCs w:val="21"/>
                    </w:rPr>
                  </w:pPr>
                  <w:r>
                    <w:rPr>
                      <w:rFonts w:eastAsiaTheme="minorEastAsia"/>
                      <w:color w:val="auto"/>
                      <w:szCs w:val="21"/>
                    </w:rPr>
                    <w:t>36.20596</w:t>
                  </w:r>
                </w:p>
              </w:tc>
              <w:tc>
                <w:tcPr>
                  <w:tcW w:w="1177" w:type="dxa"/>
                  <w:vAlign w:val="center"/>
                </w:tcPr>
                <w:p>
                  <w:pPr>
                    <w:jc w:val="center"/>
                    <w:rPr>
                      <w:rFonts w:eastAsiaTheme="minorEastAsia"/>
                      <w:color w:val="auto"/>
                    </w:rPr>
                  </w:pPr>
                  <w:r>
                    <w:rPr>
                      <w:rFonts w:eastAsiaTheme="minorEastAsia"/>
                      <w:bCs/>
                      <w:color w:val="auto"/>
                      <w:szCs w:val="21"/>
                    </w:rPr>
                    <w:t>52</w:t>
                  </w:r>
                </w:p>
              </w:tc>
              <w:tc>
                <w:tcPr>
                  <w:tcW w:w="1177" w:type="dxa"/>
                  <w:vAlign w:val="center"/>
                </w:tcPr>
                <w:p>
                  <w:pPr>
                    <w:tabs>
                      <w:tab w:val="left" w:pos="554"/>
                    </w:tabs>
                    <w:ind w:left="-50" w:right="-50"/>
                    <w:jc w:val="center"/>
                    <w:rPr>
                      <w:rFonts w:eastAsiaTheme="minorEastAsia"/>
                      <w:bCs/>
                      <w:color w:val="auto"/>
                      <w:szCs w:val="21"/>
                    </w:rPr>
                  </w:pPr>
                  <w:r>
                    <w:rPr>
                      <w:rFonts w:eastAsiaTheme="minorEastAsia"/>
                      <w:bCs/>
                      <w:color w:val="auto"/>
                      <w:szCs w:val="21"/>
                    </w:rPr>
                    <w:t>73</w:t>
                  </w:r>
                </w:p>
              </w:tc>
              <w:tc>
                <w:tcPr>
                  <w:tcW w:w="1177" w:type="dxa"/>
                  <w:vAlign w:val="center"/>
                </w:tcPr>
                <w:p>
                  <w:pPr>
                    <w:ind w:left="-50" w:right="-50"/>
                    <w:jc w:val="center"/>
                    <w:rPr>
                      <w:rFonts w:eastAsiaTheme="minorEastAsia"/>
                      <w:bCs/>
                      <w:color w:val="auto"/>
                      <w:szCs w:val="21"/>
                    </w:rPr>
                  </w:pPr>
                  <w:r>
                    <w:rPr>
                      <w:rFonts w:eastAsiaTheme="minorEastAsia"/>
                      <w:bCs/>
                      <w:color w:val="auto"/>
                      <w:szCs w:val="21"/>
                    </w:rPr>
                    <w:t>118</w:t>
                  </w:r>
                </w:p>
              </w:tc>
              <w:tc>
                <w:tcPr>
                  <w:tcW w:w="1666" w:type="dxa"/>
                  <w:vAlign w:val="center"/>
                </w:tcPr>
                <w:p>
                  <w:pPr>
                    <w:jc w:val="center"/>
                    <w:rPr>
                      <w:rFonts w:eastAsiaTheme="minorEastAsia"/>
                      <w:bCs/>
                      <w:color w:val="auto"/>
                      <w:szCs w:val="21"/>
                    </w:rPr>
                  </w:pPr>
                  <w:r>
                    <w:rPr>
                      <w:rFonts w:eastAsiaTheme="minorEastAsia"/>
                      <w:bCs/>
                      <w:color w:val="auto"/>
                      <w:szCs w:val="21"/>
                    </w:rPr>
                    <w:t>20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718" w:hRule="atLeast"/>
                <w:jc w:val="center"/>
              </w:trPr>
              <w:tc>
                <w:tcPr>
                  <w:tcW w:w="1079" w:type="dxa"/>
                  <w:vAlign w:val="center"/>
                </w:tcPr>
                <w:p>
                  <w:pPr>
                    <w:ind w:left="-50" w:right="-50"/>
                    <w:jc w:val="center"/>
                    <w:rPr>
                      <w:rFonts w:eastAsiaTheme="minorEastAsia"/>
                      <w:bCs/>
                      <w:color w:val="auto"/>
                      <w:szCs w:val="21"/>
                    </w:rPr>
                  </w:pPr>
                  <w:r>
                    <w:rPr>
                      <w:rFonts w:eastAsiaTheme="minorEastAsia"/>
                      <w:bCs/>
                      <w:color w:val="auto"/>
                      <w:szCs w:val="21"/>
                    </w:rPr>
                    <w:t>1000d</w:t>
                  </w:r>
                </w:p>
              </w:tc>
              <w:tc>
                <w:tcPr>
                  <w:tcW w:w="2206" w:type="dxa"/>
                  <w:vAlign w:val="center"/>
                </w:tcPr>
                <w:p>
                  <w:pPr>
                    <w:ind w:left="-50" w:right="-50"/>
                    <w:jc w:val="center"/>
                    <w:rPr>
                      <w:rFonts w:eastAsiaTheme="minorEastAsia"/>
                      <w:color w:val="auto"/>
                      <w:szCs w:val="21"/>
                    </w:rPr>
                  </w:pPr>
                  <w:r>
                    <w:rPr>
                      <w:rFonts w:eastAsiaTheme="minorEastAsia"/>
                      <w:color w:val="auto"/>
                      <w:szCs w:val="21"/>
                    </w:rPr>
                    <w:t>2.775558E-13</w:t>
                  </w:r>
                </w:p>
              </w:tc>
              <w:tc>
                <w:tcPr>
                  <w:tcW w:w="1177" w:type="dxa"/>
                  <w:vAlign w:val="center"/>
                </w:tcPr>
                <w:p>
                  <w:pPr>
                    <w:ind w:left="-50" w:right="-50"/>
                    <w:jc w:val="center"/>
                    <w:rPr>
                      <w:rFonts w:eastAsiaTheme="minorEastAsia"/>
                      <w:color w:val="auto"/>
                      <w:szCs w:val="21"/>
                    </w:rPr>
                  </w:pPr>
                  <w:r>
                    <w:rPr>
                      <w:rFonts w:eastAsiaTheme="minorEastAsia"/>
                      <w:color w:val="auto"/>
                      <w:szCs w:val="21"/>
                    </w:rPr>
                    <w:t>3</w:t>
                  </w:r>
                </w:p>
              </w:tc>
              <w:tc>
                <w:tcPr>
                  <w:tcW w:w="1177" w:type="dxa"/>
                  <w:vAlign w:val="center"/>
                </w:tcPr>
                <w:p>
                  <w:pPr>
                    <w:ind w:left="-50" w:right="-50"/>
                    <w:jc w:val="center"/>
                    <w:rPr>
                      <w:rFonts w:eastAsiaTheme="minorEastAsia"/>
                      <w:color w:val="auto"/>
                      <w:szCs w:val="21"/>
                    </w:rPr>
                  </w:pPr>
                  <w:r>
                    <w:rPr>
                      <w:rFonts w:eastAsiaTheme="minorEastAsia"/>
                      <w:color w:val="auto"/>
                      <w:szCs w:val="21"/>
                    </w:rPr>
                    <w:t>未超标</w:t>
                  </w:r>
                </w:p>
              </w:tc>
              <w:tc>
                <w:tcPr>
                  <w:tcW w:w="1177" w:type="dxa"/>
                  <w:vAlign w:val="center"/>
                </w:tcPr>
                <w:p>
                  <w:pPr>
                    <w:ind w:left="-50" w:right="-50"/>
                    <w:jc w:val="center"/>
                    <w:rPr>
                      <w:rFonts w:eastAsiaTheme="minorEastAsia"/>
                      <w:color w:val="auto"/>
                      <w:szCs w:val="21"/>
                    </w:rPr>
                  </w:pPr>
                  <w:r>
                    <w:rPr>
                      <w:rFonts w:eastAsiaTheme="minorEastAsia"/>
                      <w:color w:val="auto"/>
                      <w:szCs w:val="21"/>
                    </w:rPr>
                    <w:t>未超标</w:t>
                  </w:r>
                </w:p>
              </w:tc>
              <w:tc>
                <w:tcPr>
                  <w:tcW w:w="1666" w:type="dxa"/>
                  <w:vAlign w:val="center"/>
                </w:tcPr>
                <w:p>
                  <w:pPr>
                    <w:jc w:val="center"/>
                    <w:rPr>
                      <w:rFonts w:eastAsiaTheme="minorEastAsia"/>
                      <w:color w:val="auto"/>
                    </w:rPr>
                  </w:pPr>
                  <w:r>
                    <w:rPr>
                      <w:rFonts w:eastAsiaTheme="minorEastAsia"/>
                      <w:color w:val="auto"/>
                    </w:rPr>
                    <w:t>20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74" w:hRule="atLeast"/>
                <w:jc w:val="center"/>
              </w:trPr>
              <w:tc>
                <w:tcPr>
                  <w:tcW w:w="8482" w:type="dxa"/>
                  <w:gridSpan w:val="6"/>
                  <w:vAlign w:val="center"/>
                </w:tcPr>
                <w:p>
                  <w:pPr>
                    <w:jc w:val="center"/>
                    <w:rPr>
                      <w:rFonts w:eastAsiaTheme="minorEastAsia"/>
                      <w:bCs/>
                      <w:color w:val="auto"/>
                      <w:szCs w:val="21"/>
                    </w:rPr>
                  </w:pPr>
                  <w:r>
                    <w:rPr>
                      <w:rFonts w:eastAsiaTheme="minorEastAsia"/>
                      <w:color w:val="auto"/>
                    </w:rPr>
                    <w:drawing>
                      <wp:inline distT="0" distB="0" distL="0" distR="0">
                        <wp:extent cx="5248275" cy="2849880"/>
                        <wp:effectExtent l="0" t="0" r="0" b="762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pPr>
              <w:snapToGrid w:val="0"/>
              <w:spacing w:beforeLines="50" w:line="360" w:lineRule="auto"/>
              <w:ind w:firstLine="470" w:firstLineChars="196"/>
              <w:rPr>
                <w:rFonts w:eastAsiaTheme="minorEastAsia"/>
                <w:color w:val="auto"/>
                <w:sz w:val="24"/>
              </w:rPr>
            </w:pPr>
            <w:r>
              <w:rPr>
                <w:rFonts w:eastAsiaTheme="minorEastAsia"/>
                <w:color w:val="auto"/>
                <w:sz w:val="24"/>
              </w:rPr>
              <w:t>由预测结果可知：非正常状况下CODcr浓度在预测时间为10d时，下游0~16m范围超标（参照《地表水环境质量标准》GB 3838-2002中</w:t>
            </w:r>
            <w:r>
              <w:rPr>
                <w:color w:val="auto"/>
                <w:sz w:val="24"/>
              </w:rPr>
              <w:t>IV</w:t>
            </w:r>
            <w:r>
              <w:rPr>
                <w:rFonts w:eastAsiaTheme="minorEastAsia"/>
                <w:color w:val="auto"/>
                <w:sz w:val="24"/>
              </w:rPr>
              <w:t>类标准COD≤30mg/L），最大预测值出现距离为下游5m处，最大预测值为171.9196mg/L，最大超标倍数为5.731。预测时间为100d时，在下游0~73m范围超标，（参照《地表水环境质量标准》GB 3838-2002中</w:t>
            </w:r>
            <w:r>
              <w:rPr>
                <w:color w:val="auto"/>
                <w:sz w:val="24"/>
              </w:rPr>
              <w:t>IV</w:t>
            </w:r>
            <w:r>
              <w:rPr>
                <w:rFonts w:eastAsiaTheme="minorEastAsia"/>
                <w:color w:val="auto"/>
                <w:sz w:val="24"/>
              </w:rPr>
              <w:t>类标准COD≤30mg/L），最大预测值出现距离为52m处，最大预测值为36.20596mg/L，最大超标倍数为1.207；预测时间1000d时，未出现超标（参照《地表水环境质量标准》GB 3838-2002中</w:t>
            </w:r>
            <w:r>
              <w:rPr>
                <w:color w:val="auto"/>
                <w:sz w:val="24"/>
              </w:rPr>
              <w:t>IV</w:t>
            </w:r>
            <w:r>
              <w:rPr>
                <w:rFonts w:eastAsiaTheme="minorEastAsia"/>
                <w:color w:val="auto"/>
                <w:sz w:val="24"/>
              </w:rPr>
              <w:t>类标准COD≤30mg/L），最大预测值出现距离为3m处，最大预测值为2.775558E-13mg/L，预测最大时间未出现超标。</w:t>
            </w:r>
          </w:p>
          <w:p>
            <w:pPr>
              <w:spacing w:line="360" w:lineRule="auto"/>
              <w:jc w:val="center"/>
              <w:rPr>
                <w:rFonts w:eastAsiaTheme="minorEastAsia"/>
                <w:b/>
                <w:color w:val="auto"/>
                <w:sz w:val="24"/>
              </w:rPr>
            </w:pPr>
            <w:r>
              <w:rPr>
                <w:rFonts w:eastAsiaTheme="minorEastAsia"/>
                <w:b/>
                <w:color w:val="auto"/>
                <w:sz w:val="24"/>
              </w:rPr>
              <w:t>表70非正常状况下NH</w:t>
            </w:r>
            <w:r>
              <w:rPr>
                <w:rFonts w:eastAsiaTheme="minorEastAsia"/>
                <w:b/>
                <w:color w:val="auto"/>
                <w:sz w:val="24"/>
                <w:vertAlign w:val="subscript"/>
              </w:rPr>
              <w:t>3</w:t>
            </w:r>
            <w:r>
              <w:rPr>
                <w:rFonts w:eastAsiaTheme="minorEastAsia"/>
                <w:b/>
                <w:color w:val="auto"/>
                <w:sz w:val="24"/>
              </w:rPr>
              <w:t>-N浓度在地下水中迁移扩散预测结果</w:t>
            </w:r>
          </w:p>
          <w:tbl>
            <w:tblPr>
              <w:tblStyle w:val="38"/>
              <w:tblW w:w="8623"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43"/>
              <w:gridCol w:w="1603"/>
              <w:gridCol w:w="1364"/>
              <w:gridCol w:w="1233"/>
              <w:gridCol w:w="1236"/>
              <w:gridCol w:w="2144"/>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1043" w:type="dxa"/>
                  <w:vAlign w:val="center"/>
                </w:tcPr>
                <w:p>
                  <w:pPr>
                    <w:ind w:left="-105" w:leftChars="-50" w:right="-105" w:rightChars="-50"/>
                    <w:jc w:val="center"/>
                    <w:rPr>
                      <w:rFonts w:eastAsiaTheme="minorEastAsia"/>
                      <w:bCs/>
                      <w:color w:val="auto"/>
                      <w:szCs w:val="21"/>
                    </w:rPr>
                  </w:pPr>
                  <w:r>
                    <w:rPr>
                      <w:rFonts w:eastAsiaTheme="minorEastAsia"/>
                      <w:bCs/>
                      <w:color w:val="auto"/>
                      <w:szCs w:val="21"/>
                    </w:rPr>
                    <w:t>预测时段</w:t>
                  </w:r>
                </w:p>
              </w:tc>
              <w:tc>
                <w:tcPr>
                  <w:tcW w:w="1603" w:type="dxa"/>
                  <w:vAlign w:val="center"/>
                </w:tcPr>
                <w:p>
                  <w:pPr>
                    <w:ind w:left="-50" w:right="-50"/>
                    <w:jc w:val="center"/>
                    <w:rPr>
                      <w:rFonts w:eastAsiaTheme="minorEastAsia"/>
                      <w:bCs/>
                      <w:color w:val="auto"/>
                      <w:szCs w:val="21"/>
                    </w:rPr>
                  </w:pPr>
                  <w:r>
                    <w:rPr>
                      <w:rFonts w:eastAsiaTheme="minorEastAsia"/>
                      <w:bCs/>
                      <w:color w:val="auto"/>
                      <w:szCs w:val="21"/>
                    </w:rPr>
                    <w:t>最大预测值（</w:t>
                  </w:r>
                  <w:r>
                    <w:rPr>
                      <w:rFonts w:eastAsiaTheme="minorEastAsia"/>
                      <w:color w:val="auto"/>
                      <w:szCs w:val="21"/>
                    </w:rPr>
                    <w:t>mg/L</w:t>
                  </w:r>
                  <w:r>
                    <w:rPr>
                      <w:rFonts w:eastAsiaTheme="minorEastAsia"/>
                      <w:bCs/>
                      <w:color w:val="auto"/>
                      <w:szCs w:val="21"/>
                    </w:rPr>
                    <w:t>）</w:t>
                  </w:r>
                </w:p>
              </w:tc>
              <w:tc>
                <w:tcPr>
                  <w:tcW w:w="1364" w:type="dxa"/>
                  <w:vAlign w:val="center"/>
                </w:tcPr>
                <w:p>
                  <w:pPr>
                    <w:ind w:left="-50" w:right="-50"/>
                    <w:jc w:val="center"/>
                    <w:rPr>
                      <w:rFonts w:eastAsiaTheme="minorEastAsia"/>
                      <w:bCs/>
                      <w:color w:val="auto"/>
                      <w:szCs w:val="21"/>
                    </w:rPr>
                  </w:pPr>
                  <w:r>
                    <w:rPr>
                      <w:rFonts w:eastAsiaTheme="minorEastAsia"/>
                      <w:bCs/>
                      <w:color w:val="auto"/>
                      <w:szCs w:val="21"/>
                    </w:rPr>
                    <w:t>最大预测值出现距离（</w:t>
                  </w:r>
                  <w:r>
                    <w:rPr>
                      <w:rFonts w:eastAsiaTheme="minorEastAsia"/>
                      <w:color w:val="auto"/>
                    </w:rPr>
                    <w:t>m</w:t>
                  </w:r>
                  <w:r>
                    <w:rPr>
                      <w:rFonts w:eastAsiaTheme="minorEastAsia"/>
                      <w:bCs/>
                      <w:color w:val="auto"/>
                      <w:szCs w:val="21"/>
                    </w:rPr>
                    <w:t>）</w:t>
                  </w:r>
                </w:p>
              </w:tc>
              <w:tc>
                <w:tcPr>
                  <w:tcW w:w="1233" w:type="dxa"/>
                  <w:vAlign w:val="center"/>
                </w:tcPr>
                <w:p>
                  <w:pPr>
                    <w:ind w:left="-50" w:right="-50"/>
                    <w:rPr>
                      <w:rFonts w:eastAsiaTheme="minorEastAsia"/>
                      <w:bCs/>
                      <w:color w:val="auto"/>
                      <w:szCs w:val="21"/>
                    </w:rPr>
                  </w:pPr>
                  <w:r>
                    <w:rPr>
                      <w:rFonts w:eastAsiaTheme="minorEastAsia"/>
                      <w:bCs/>
                      <w:color w:val="auto"/>
                      <w:szCs w:val="21"/>
                    </w:rPr>
                    <w:t>预测最远超标距离（</w:t>
                  </w:r>
                  <w:r>
                    <w:rPr>
                      <w:rFonts w:eastAsiaTheme="minorEastAsia"/>
                      <w:color w:val="auto"/>
                    </w:rPr>
                    <w:t>m</w:t>
                  </w:r>
                  <w:r>
                    <w:rPr>
                      <w:rFonts w:eastAsiaTheme="minorEastAsia"/>
                      <w:bCs/>
                      <w:color w:val="auto"/>
                      <w:szCs w:val="21"/>
                    </w:rPr>
                    <w:t>）</w:t>
                  </w:r>
                </w:p>
              </w:tc>
              <w:tc>
                <w:tcPr>
                  <w:tcW w:w="1236" w:type="dxa"/>
                  <w:vAlign w:val="center"/>
                </w:tcPr>
                <w:p>
                  <w:pPr>
                    <w:ind w:left="-50" w:right="-50"/>
                    <w:jc w:val="center"/>
                    <w:rPr>
                      <w:rFonts w:eastAsiaTheme="minorEastAsia"/>
                      <w:bCs/>
                      <w:color w:val="auto"/>
                      <w:szCs w:val="21"/>
                    </w:rPr>
                  </w:pPr>
                  <w:r>
                    <w:rPr>
                      <w:rFonts w:eastAsiaTheme="minorEastAsia"/>
                      <w:bCs/>
                      <w:color w:val="auto"/>
                      <w:szCs w:val="21"/>
                    </w:rPr>
                    <w:t>影响最远距离（m）</w:t>
                  </w:r>
                </w:p>
              </w:tc>
              <w:tc>
                <w:tcPr>
                  <w:tcW w:w="2144" w:type="dxa"/>
                  <w:vAlign w:val="center"/>
                </w:tcPr>
                <w:p>
                  <w:pPr>
                    <w:ind w:left="-50" w:right="-50"/>
                    <w:jc w:val="center"/>
                    <w:rPr>
                      <w:rFonts w:eastAsiaTheme="minorEastAsia"/>
                      <w:bCs/>
                      <w:color w:val="auto"/>
                      <w:szCs w:val="21"/>
                    </w:rPr>
                  </w:pPr>
                  <w:r>
                    <w:rPr>
                      <w:rFonts w:eastAsiaTheme="minorEastAsia"/>
                      <w:bCs/>
                      <w:color w:val="auto"/>
                      <w:szCs w:val="21"/>
                    </w:rPr>
                    <w:t>标准值（</w:t>
                  </w:r>
                  <w:r>
                    <w:rPr>
                      <w:rFonts w:eastAsiaTheme="minorEastAsia"/>
                      <w:color w:val="auto"/>
                      <w:szCs w:val="21"/>
                    </w:rPr>
                    <w:t>mg/L</w:t>
                  </w:r>
                  <w:r>
                    <w:rPr>
                      <w:rFonts w:eastAsiaTheme="minorEastAsia"/>
                      <w:bCs/>
                      <w:color w:val="auto"/>
                      <w:szCs w:val="21"/>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37" w:hRule="atLeast"/>
                <w:jc w:val="center"/>
              </w:trPr>
              <w:tc>
                <w:tcPr>
                  <w:tcW w:w="1043" w:type="dxa"/>
                  <w:vAlign w:val="center"/>
                </w:tcPr>
                <w:p>
                  <w:pPr>
                    <w:ind w:left="-50" w:right="-50"/>
                    <w:jc w:val="center"/>
                    <w:rPr>
                      <w:rFonts w:eastAsiaTheme="minorEastAsia"/>
                      <w:bCs/>
                      <w:color w:val="auto"/>
                      <w:szCs w:val="21"/>
                    </w:rPr>
                  </w:pPr>
                  <w:r>
                    <w:rPr>
                      <w:rFonts w:eastAsiaTheme="minorEastAsia"/>
                      <w:bCs/>
                      <w:color w:val="auto"/>
                      <w:szCs w:val="21"/>
                    </w:rPr>
                    <w:t>10d</w:t>
                  </w:r>
                </w:p>
              </w:tc>
              <w:tc>
                <w:tcPr>
                  <w:tcW w:w="1603" w:type="dxa"/>
                  <w:vAlign w:val="center"/>
                </w:tcPr>
                <w:p>
                  <w:pPr>
                    <w:ind w:left="-50" w:right="-50"/>
                    <w:jc w:val="center"/>
                    <w:rPr>
                      <w:rFonts w:eastAsiaTheme="minorEastAsia"/>
                      <w:color w:val="auto"/>
                      <w:szCs w:val="21"/>
                    </w:rPr>
                  </w:pPr>
                  <w:r>
                    <w:rPr>
                      <w:rFonts w:eastAsiaTheme="minorEastAsia"/>
                      <w:color w:val="auto"/>
                      <w:szCs w:val="21"/>
                    </w:rPr>
                    <w:t>12.03437</w:t>
                  </w:r>
                </w:p>
              </w:tc>
              <w:tc>
                <w:tcPr>
                  <w:tcW w:w="1364" w:type="dxa"/>
                  <w:vAlign w:val="center"/>
                </w:tcPr>
                <w:p>
                  <w:pPr>
                    <w:ind w:left="-50" w:right="-50"/>
                    <w:jc w:val="center"/>
                    <w:rPr>
                      <w:rFonts w:eastAsiaTheme="minorEastAsia"/>
                      <w:bCs/>
                      <w:color w:val="auto"/>
                      <w:szCs w:val="21"/>
                    </w:rPr>
                  </w:pPr>
                  <w:r>
                    <w:rPr>
                      <w:rFonts w:eastAsiaTheme="minorEastAsia"/>
                      <w:bCs/>
                      <w:color w:val="auto"/>
                      <w:szCs w:val="21"/>
                    </w:rPr>
                    <w:t>5</w:t>
                  </w:r>
                </w:p>
              </w:tc>
              <w:tc>
                <w:tcPr>
                  <w:tcW w:w="1233" w:type="dxa"/>
                  <w:vAlign w:val="center"/>
                </w:tcPr>
                <w:p>
                  <w:pPr>
                    <w:ind w:left="-50" w:right="-50"/>
                    <w:jc w:val="center"/>
                    <w:rPr>
                      <w:rFonts w:eastAsiaTheme="minorEastAsia"/>
                      <w:bCs/>
                      <w:color w:val="auto"/>
                      <w:szCs w:val="21"/>
                    </w:rPr>
                  </w:pPr>
                  <w:r>
                    <w:rPr>
                      <w:rFonts w:eastAsiaTheme="minorEastAsia"/>
                      <w:bCs/>
                      <w:color w:val="auto"/>
                      <w:szCs w:val="21"/>
                    </w:rPr>
                    <w:t>20</w:t>
                  </w:r>
                </w:p>
              </w:tc>
              <w:tc>
                <w:tcPr>
                  <w:tcW w:w="1236" w:type="dxa"/>
                  <w:vAlign w:val="center"/>
                </w:tcPr>
                <w:p>
                  <w:pPr>
                    <w:ind w:left="-50" w:right="-50"/>
                    <w:jc w:val="center"/>
                    <w:rPr>
                      <w:rFonts w:eastAsiaTheme="minorEastAsia"/>
                      <w:bCs/>
                      <w:color w:val="auto"/>
                      <w:szCs w:val="21"/>
                    </w:rPr>
                  </w:pPr>
                  <w:r>
                    <w:rPr>
                      <w:rFonts w:eastAsiaTheme="minorEastAsia"/>
                      <w:bCs/>
                      <w:color w:val="auto"/>
                      <w:szCs w:val="21"/>
                    </w:rPr>
                    <w:t>22</w:t>
                  </w:r>
                </w:p>
              </w:tc>
              <w:tc>
                <w:tcPr>
                  <w:tcW w:w="2144" w:type="dxa"/>
                  <w:vAlign w:val="center"/>
                </w:tcPr>
                <w:p>
                  <w:pPr>
                    <w:ind w:left="-50" w:right="-50"/>
                    <w:jc w:val="center"/>
                    <w:rPr>
                      <w:rFonts w:eastAsiaTheme="minorEastAsia"/>
                      <w:bCs/>
                      <w:color w:val="auto"/>
                      <w:szCs w:val="21"/>
                    </w:rPr>
                  </w:pPr>
                  <w:r>
                    <w:rPr>
                      <w:rFonts w:eastAsiaTheme="minorEastAsia"/>
                      <w:bCs/>
                      <w:color w:val="auto"/>
                      <w:szCs w:val="21"/>
                    </w:rPr>
                    <w:t>0.2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7" w:hRule="atLeast"/>
                <w:jc w:val="center"/>
              </w:trPr>
              <w:tc>
                <w:tcPr>
                  <w:tcW w:w="1043" w:type="dxa"/>
                  <w:vAlign w:val="center"/>
                </w:tcPr>
                <w:p>
                  <w:pPr>
                    <w:ind w:left="-50" w:right="-50"/>
                    <w:jc w:val="center"/>
                    <w:rPr>
                      <w:rFonts w:eastAsiaTheme="minorEastAsia"/>
                      <w:bCs/>
                      <w:color w:val="auto"/>
                      <w:szCs w:val="21"/>
                    </w:rPr>
                  </w:pPr>
                  <w:r>
                    <w:rPr>
                      <w:rFonts w:eastAsiaTheme="minorEastAsia"/>
                      <w:bCs/>
                      <w:color w:val="auto"/>
                      <w:szCs w:val="21"/>
                    </w:rPr>
                    <w:t>100d</w:t>
                  </w:r>
                </w:p>
              </w:tc>
              <w:tc>
                <w:tcPr>
                  <w:tcW w:w="1603" w:type="dxa"/>
                  <w:vAlign w:val="center"/>
                </w:tcPr>
                <w:p>
                  <w:pPr>
                    <w:ind w:left="-50" w:right="-50"/>
                    <w:jc w:val="center"/>
                    <w:rPr>
                      <w:rFonts w:eastAsiaTheme="minorEastAsia"/>
                      <w:color w:val="auto"/>
                      <w:szCs w:val="21"/>
                    </w:rPr>
                  </w:pPr>
                  <w:r>
                    <w:rPr>
                      <w:rFonts w:eastAsiaTheme="minorEastAsia"/>
                      <w:color w:val="auto"/>
                      <w:szCs w:val="21"/>
                    </w:rPr>
                    <w:t>2.534417</w:t>
                  </w:r>
                </w:p>
              </w:tc>
              <w:tc>
                <w:tcPr>
                  <w:tcW w:w="1364" w:type="dxa"/>
                  <w:vAlign w:val="center"/>
                </w:tcPr>
                <w:p>
                  <w:pPr>
                    <w:jc w:val="center"/>
                    <w:rPr>
                      <w:rFonts w:eastAsiaTheme="minorEastAsia"/>
                      <w:color w:val="auto"/>
                    </w:rPr>
                  </w:pPr>
                  <w:r>
                    <w:rPr>
                      <w:rFonts w:eastAsiaTheme="minorEastAsia"/>
                      <w:color w:val="auto"/>
                    </w:rPr>
                    <w:t>52</w:t>
                  </w:r>
                </w:p>
              </w:tc>
              <w:tc>
                <w:tcPr>
                  <w:tcW w:w="1233" w:type="dxa"/>
                  <w:vAlign w:val="center"/>
                </w:tcPr>
                <w:p>
                  <w:pPr>
                    <w:tabs>
                      <w:tab w:val="left" w:pos="554"/>
                    </w:tabs>
                    <w:ind w:left="-50" w:right="-50"/>
                    <w:jc w:val="center"/>
                    <w:rPr>
                      <w:rFonts w:eastAsiaTheme="minorEastAsia"/>
                      <w:bCs/>
                      <w:color w:val="auto"/>
                      <w:szCs w:val="21"/>
                    </w:rPr>
                  </w:pPr>
                  <w:r>
                    <w:rPr>
                      <w:rFonts w:eastAsiaTheme="minorEastAsia"/>
                      <w:bCs/>
                      <w:color w:val="auto"/>
                      <w:szCs w:val="21"/>
                    </w:rPr>
                    <w:t>95</w:t>
                  </w:r>
                </w:p>
              </w:tc>
              <w:tc>
                <w:tcPr>
                  <w:tcW w:w="1236" w:type="dxa"/>
                  <w:vAlign w:val="center"/>
                </w:tcPr>
                <w:p>
                  <w:pPr>
                    <w:ind w:left="-50" w:right="-50"/>
                    <w:jc w:val="center"/>
                    <w:rPr>
                      <w:rFonts w:eastAsiaTheme="minorEastAsia"/>
                      <w:bCs/>
                      <w:color w:val="auto"/>
                      <w:szCs w:val="21"/>
                    </w:rPr>
                  </w:pPr>
                  <w:r>
                    <w:rPr>
                      <w:rFonts w:eastAsiaTheme="minorEastAsia"/>
                      <w:bCs/>
                      <w:color w:val="auto"/>
                      <w:szCs w:val="21"/>
                    </w:rPr>
                    <w:t>101</w:t>
                  </w:r>
                </w:p>
              </w:tc>
              <w:tc>
                <w:tcPr>
                  <w:tcW w:w="2144" w:type="dxa"/>
                  <w:vAlign w:val="center"/>
                </w:tcPr>
                <w:p>
                  <w:pPr>
                    <w:jc w:val="center"/>
                    <w:rPr>
                      <w:rFonts w:eastAsiaTheme="minorEastAsia"/>
                      <w:bCs/>
                      <w:color w:val="auto"/>
                      <w:szCs w:val="21"/>
                    </w:rPr>
                  </w:pPr>
                  <w:r>
                    <w:rPr>
                      <w:rFonts w:eastAsiaTheme="minorEastAsia"/>
                      <w:bCs/>
                      <w:color w:val="auto"/>
                      <w:szCs w:val="21"/>
                    </w:rPr>
                    <w:t>0.2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52" w:hRule="atLeast"/>
                <w:jc w:val="center"/>
              </w:trPr>
              <w:tc>
                <w:tcPr>
                  <w:tcW w:w="1043" w:type="dxa"/>
                  <w:vAlign w:val="center"/>
                </w:tcPr>
                <w:p>
                  <w:pPr>
                    <w:ind w:left="-50" w:right="-50"/>
                    <w:jc w:val="center"/>
                    <w:rPr>
                      <w:rFonts w:eastAsiaTheme="minorEastAsia"/>
                      <w:bCs/>
                      <w:color w:val="auto"/>
                      <w:szCs w:val="21"/>
                    </w:rPr>
                  </w:pPr>
                  <w:r>
                    <w:rPr>
                      <w:rFonts w:eastAsiaTheme="minorEastAsia"/>
                      <w:bCs/>
                      <w:color w:val="auto"/>
                      <w:szCs w:val="21"/>
                    </w:rPr>
                    <w:t>1000d</w:t>
                  </w:r>
                </w:p>
              </w:tc>
              <w:tc>
                <w:tcPr>
                  <w:tcW w:w="1603" w:type="dxa"/>
                  <w:vAlign w:val="center"/>
                </w:tcPr>
                <w:p>
                  <w:pPr>
                    <w:ind w:left="-50" w:right="-50"/>
                    <w:jc w:val="center"/>
                    <w:rPr>
                      <w:rFonts w:eastAsiaTheme="minorEastAsia"/>
                      <w:color w:val="auto"/>
                      <w:szCs w:val="21"/>
                    </w:rPr>
                  </w:pPr>
                  <w:r>
                    <w:rPr>
                      <w:rFonts w:eastAsiaTheme="minorEastAsia"/>
                      <w:color w:val="auto"/>
                      <w:szCs w:val="21"/>
                    </w:rPr>
                    <w:t>1.94289E-14</w:t>
                  </w:r>
                </w:p>
              </w:tc>
              <w:tc>
                <w:tcPr>
                  <w:tcW w:w="1364" w:type="dxa"/>
                  <w:vAlign w:val="center"/>
                </w:tcPr>
                <w:p>
                  <w:pPr>
                    <w:ind w:left="-50" w:right="-50"/>
                    <w:jc w:val="center"/>
                    <w:rPr>
                      <w:rFonts w:eastAsiaTheme="minorEastAsia"/>
                      <w:color w:val="auto"/>
                      <w:szCs w:val="21"/>
                    </w:rPr>
                  </w:pPr>
                  <w:r>
                    <w:rPr>
                      <w:rFonts w:eastAsiaTheme="minorEastAsia"/>
                      <w:color w:val="auto"/>
                      <w:szCs w:val="21"/>
                    </w:rPr>
                    <w:t>3</w:t>
                  </w:r>
                </w:p>
              </w:tc>
              <w:tc>
                <w:tcPr>
                  <w:tcW w:w="1233" w:type="dxa"/>
                  <w:vAlign w:val="center"/>
                </w:tcPr>
                <w:p>
                  <w:pPr>
                    <w:ind w:left="-50" w:right="-50"/>
                    <w:jc w:val="center"/>
                    <w:rPr>
                      <w:rFonts w:eastAsiaTheme="minorEastAsia"/>
                      <w:color w:val="auto"/>
                      <w:szCs w:val="21"/>
                    </w:rPr>
                  </w:pPr>
                  <w:r>
                    <w:rPr>
                      <w:rFonts w:eastAsiaTheme="minorEastAsia"/>
                      <w:color w:val="auto"/>
                      <w:szCs w:val="21"/>
                    </w:rPr>
                    <w:t>未超标</w:t>
                  </w:r>
                </w:p>
              </w:tc>
              <w:tc>
                <w:tcPr>
                  <w:tcW w:w="1236" w:type="dxa"/>
                  <w:vAlign w:val="center"/>
                </w:tcPr>
                <w:p>
                  <w:pPr>
                    <w:ind w:left="-50" w:right="-50"/>
                    <w:jc w:val="center"/>
                    <w:rPr>
                      <w:rFonts w:eastAsiaTheme="minorEastAsia"/>
                      <w:color w:val="auto"/>
                      <w:szCs w:val="21"/>
                    </w:rPr>
                  </w:pPr>
                  <w:r>
                    <w:rPr>
                      <w:rFonts w:eastAsiaTheme="minorEastAsia"/>
                      <w:color w:val="auto"/>
                      <w:szCs w:val="21"/>
                    </w:rPr>
                    <w:t>未超标</w:t>
                  </w:r>
                </w:p>
              </w:tc>
              <w:tc>
                <w:tcPr>
                  <w:tcW w:w="2144" w:type="dxa"/>
                  <w:vAlign w:val="center"/>
                </w:tcPr>
                <w:p>
                  <w:pPr>
                    <w:jc w:val="center"/>
                    <w:rPr>
                      <w:rFonts w:eastAsiaTheme="minorEastAsia"/>
                      <w:color w:val="auto"/>
                    </w:rPr>
                  </w:pPr>
                  <w:r>
                    <w:rPr>
                      <w:rFonts w:eastAsiaTheme="minorEastAsia"/>
                      <w:color w:val="auto"/>
                    </w:rPr>
                    <w:t>0.2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282" w:hRule="atLeast"/>
                <w:jc w:val="center"/>
              </w:trPr>
              <w:tc>
                <w:tcPr>
                  <w:tcW w:w="8623" w:type="dxa"/>
                  <w:gridSpan w:val="6"/>
                  <w:vAlign w:val="center"/>
                </w:tcPr>
                <w:p>
                  <w:pPr>
                    <w:rPr>
                      <w:rFonts w:eastAsiaTheme="minorEastAsia"/>
                      <w:color w:val="auto"/>
                    </w:rPr>
                  </w:pPr>
                  <w:r>
                    <w:rPr>
                      <w:rFonts w:eastAsiaTheme="minorEastAsia"/>
                      <w:color w:val="auto"/>
                    </w:rPr>
                    <w:drawing>
                      <wp:inline distT="0" distB="0" distL="0" distR="0">
                        <wp:extent cx="5486400" cy="2727325"/>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pPr>
              <w:snapToGrid w:val="0"/>
              <w:spacing w:beforeLines="50" w:line="360" w:lineRule="auto"/>
              <w:ind w:firstLine="470" w:firstLineChars="196"/>
              <w:rPr>
                <w:rFonts w:eastAsiaTheme="minorEastAsia"/>
                <w:color w:val="auto"/>
                <w:sz w:val="24"/>
              </w:rPr>
            </w:pPr>
            <w:r>
              <w:rPr>
                <w:rFonts w:eastAsiaTheme="minorEastAsia"/>
                <w:color w:val="auto"/>
                <w:sz w:val="24"/>
              </w:rPr>
              <w:t>由预测结果可知：非正常状况下NH</w:t>
            </w:r>
            <w:r>
              <w:rPr>
                <w:rFonts w:eastAsiaTheme="minorEastAsia"/>
                <w:color w:val="auto"/>
                <w:sz w:val="24"/>
                <w:vertAlign w:val="subscript"/>
              </w:rPr>
              <w:t>3</w:t>
            </w:r>
            <w:r>
              <w:rPr>
                <w:rFonts w:eastAsiaTheme="minorEastAsia"/>
                <w:color w:val="auto"/>
                <w:sz w:val="24"/>
              </w:rPr>
              <w:t>-N浓度在预测时间为10d时，在0~20m范围超标，最大预测值出现距离为下游5m处，最大预测值为12.03437mg/L，最大超标倍数为60.2。预测时间为100d时，在0~95m范围超标，最大预测值出现距离为52m处，最大预测值为2.534417mg/L，最大超标倍数为12.67；预测时间为1000d时，未出现超标，最大预测值出现距离为3m处，最大预测值为1.94289E-14 mg/L。</w:t>
            </w:r>
          </w:p>
          <w:p>
            <w:pPr>
              <w:pStyle w:val="16"/>
              <w:spacing w:line="360" w:lineRule="auto"/>
              <w:ind w:firstLine="480" w:firstLineChars="200"/>
              <w:rPr>
                <w:rFonts w:eastAsiaTheme="minorEastAsia"/>
                <w:b w:val="0"/>
                <w:color w:val="auto"/>
                <w:sz w:val="24"/>
              </w:rPr>
            </w:pPr>
            <w:r>
              <w:rPr>
                <w:rFonts w:eastAsiaTheme="minorEastAsia"/>
                <w:b w:val="0"/>
                <w:color w:val="auto"/>
                <w:sz w:val="24"/>
              </w:rPr>
              <w:t>由预测结果可见，在事故状况下，未经处理的污水泄漏短期内会对地下水造成影响，但影响范围很小。由于本项目废水中主要为非持久性有机污染物，随着时间的推移，虽然通过包气带对污染物的吸附、截留及降解作用，将使污染物浓度进一步得到净化，但当形成稳定的污染源，经长时间入渗及雨水淋溶作用下，对地下水有可能产生潜在影响。因此，应加强管理，减少或避免污水处理设施、污水收集和输送管道发生故障。</w:t>
            </w:r>
          </w:p>
          <w:p>
            <w:pPr>
              <w:widowControl/>
              <w:spacing w:line="360" w:lineRule="auto"/>
              <w:ind w:firstLine="482" w:firstLineChars="200"/>
              <w:rPr>
                <w:rFonts w:eastAsiaTheme="minorEastAsia"/>
                <w:b/>
                <w:color w:val="auto"/>
                <w:sz w:val="24"/>
              </w:rPr>
            </w:pPr>
            <w:r>
              <w:rPr>
                <w:rFonts w:eastAsiaTheme="minorEastAsia"/>
                <w:b/>
                <w:color w:val="auto"/>
                <w:sz w:val="24"/>
              </w:rPr>
              <w:t>2.5运营期固废环境影响分析</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本项目固体废物主要为格栅及沉砂池产生的栅渣、沉砂，污泥压缩间产生的污泥以及办公人员产生的生活垃圾等。项目固体废物产生总量为10.5156t/a，其中，栅渣、沉砂产生量为8.595t/a，污泥产生量为0.5256t/a，生活垃圾产生量为1.095t/a，均为一般固废。上述固体废物随意堆放会对周围环境产生较大的影响，建设单位在生产过程中必须制定切实可行的环保措施，及时处置，定期运至宁县生活垃圾填埋场填埋处置，以减轻环境影响。</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本项目污泥在一定温度和湿度下，特别是在闷热天气，在微生物作用下容易腐烂发臭，污泥对周围环境影响主要表现为：</w:t>
            </w:r>
          </w:p>
          <w:p>
            <w:pPr>
              <w:tabs>
                <w:tab w:val="center" w:pos="4551"/>
              </w:tabs>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⑴</w:t>
            </w:r>
            <w:r>
              <w:rPr>
                <w:rFonts w:eastAsiaTheme="minorEastAsia"/>
                <w:color w:val="auto"/>
                <w:sz w:val="24"/>
              </w:rPr>
              <w:t>污泥脱水过程对环境的影响</w:t>
            </w:r>
            <w:r>
              <w:rPr>
                <w:rFonts w:eastAsiaTheme="minorEastAsia"/>
                <w:color w:val="auto"/>
                <w:sz w:val="24"/>
              </w:rPr>
              <w:tab/>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污泥脱水时会散发恶臭；脱水污泥转运过程中若发生遗洒将造成环境污染。</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⑵</w:t>
            </w:r>
            <w:r>
              <w:rPr>
                <w:rFonts w:eastAsiaTheme="minorEastAsia"/>
                <w:color w:val="auto"/>
                <w:sz w:val="24"/>
              </w:rPr>
              <w:t>污泥堆放过程对环境的影响</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脱水污泥遇水易成浆状，流动性好，容易流失；在雨水的淋洗下，淋滤水中溶入大量的污染物，会污染周围环境。因此，脱水后污泥不能乱堆乱放，应及时清运，不能及时运走的污泥，应设置专门处理的具有防渗层的临时堆放场所，并加盖遮雨棚。此外，脱水污泥并未完全稳定，污泥长期堆放会产生厌氧消化，产生的H</w:t>
            </w:r>
            <w:r>
              <w:rPr>
                <w:rFonts w:eastAsiaTheme="minorEastAsia"/>
                <w:color w:val="auto"/>
                <w:sz w:val="24"/>
                <w:vertAlign w:val="subscript"/>
              </w:rPr>
              <w:t>2</w:t>
            </w:r>
            <w:r>
              <w:rPr>
                <w:rFonts w:eastAsiaTheme="minorEastAsia"/>
                <w:color w:val="auto"/>
                <w:sz w:val="24"/>
              </w:rPr>
              <w:t>S、NH</w:t>
            </w:r>
            <w:r>
              <w:rPr>
                <w:rFonts w:eastAsiaTheme="minorEastAsia"/>
                <w:color w:val="auto"/>
                <w:sz w:val="24"/>
                <w:vertAlign w:val="subscript"/>
              </w:rPr>
              <w:t>3</w:t>
            </w:r>
            <w:r>
              <w:rPr>
                <w:rFonts w:eastAsiaTheme="minorEastAsia"/>
                <w:color w:val="auto"/>
                <w:sz w:val="24"/>
              </w:rPr>
              <w:t>等恶臭物质会影响空气质量；脱水污泥堆放地也是蚊蝇的孳生地，对环境卫生有不良影响。因此，污泥脱水后应及时清运，避免在厂内堆放。</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⑶</w:t>
            </w:r>
            <w:r>
              <w:rPr>
                <w:rFonts w:eastAsiaTheme="minorEastAsia"/>
                <w:color w:val="auto"/>
                <w:sz w:val="24"/>
              </w:rPr>
              <w:t>污泥运输过程对环境的影响</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尽管污泥在厂内都经过了不同程度的处理，但污泥仍然是具有一定危害性的污染物。所以，污泥在运输过程中的环境问题就显得非常重要。如果采用普通汽车运送，在污泥装卸过程中车身外和车轮上挂了污泥，或者车辆密闭性能不好，则污泥运输车就会把污泥遗洒在污水处理厂周围及沿途道路上，对沿途道路造成污染。污泥运输方式应杜绝泥水横流、臭气熏天的现象。污水处理厂要使用密闭的专用运输车，可以防止漏水、漏泥以及飘散；同时，加强车辆的管理与维护，杜绝运输过程中的沿途抛洒滴漏；污泥运输时间应严格控制，要避开运输高峰期，尽量减小臭气对运输线路附近大气环境的影响。</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本项目经脱水处理后的污泥和生活垃圾、栅渣沉砂及时收集、外运后，可得到合理处置。经上述措施处理后，本项目产生的固体废物不会对周围环境产生大的不利影响。</w:t>
            </w:r>
          </w:p>
          <w:p>
            <w:pPr>
              <w:widowControl/>
              <w:spacing w:line="360" w:lineRule="auto"/>
              <w:ind w:firstLine="472" w:firstLineChars="196"/>
              <w:rPr>
                <w:rFonts w:eastAsiaTheme="minorEastAsia"/>
                <w:b/>
                <w:color w:val="auto"/>
                <w:sz w:val="24"/>
              </w:rPr>
            </w:pPr>
            <w:r>
              <w:rPr>
                <w:rFonts w:eastAsiaTheme="minorEastAsia"/>
                <w:b/>
                <w:color w:val="auto"/>
                <w:sz w:val="24"/>
              </w:rPr>
              <w:t>3 环境风险分析</w:t>
            </w:r>
          </w:p>
          <w:p>
            <w:pPr>
              <w:widowControl/>
              <w:spacing w:line="360" w:lineRule="auto"/>
              <w:ind w:firstLine="472" w:firstLineChars="196"/>
              <w:rPr>
                <w:rFonts w:eastAsiaTheme="minorEastAsia"/>
                <w:b/>
                <w:color w:val="auto"/>
                <w:sz w:val="24"/>
              </w:rPr>
            </w:pPr>
            <w:r>
              <w:rPr>
                <w:rFonts w:eastAsiaTheme="minorEastAsia"/>
                <w:b/>
                <w:color w:val="auto"/>
                <w:sz w:val="24"/>
              </w:rPr>
              <w:t>3.1评价依据</w:t>
            </w:r>
          </w:p>
          <w:p>
            <w:pPr>
              <w:widowControl/>
              <w:spacing w:line="360" w:lineRule="auto"/>
              <w:ind w:firstLine="470" w:firstLineChars="196"/>
              <w:rPr>
                <w:color w:val="auto"/>
                <w:sz w:val="24"/>
              </w:rPr>
            </w:pPr>
            <w:r>
              <w:rPr>
                <w:rFonts w:eastAsiaTheme="minorEastAsia"/>
                <w:color w:val="auto"/>
                <w:sz w:val="24"/>
              </w:rPr>
              <w:t>参照《建设项目环境风险评价技术导则》（HJ169-2018），建设项目风险潜势划分为</w:t>
            </w:r>
            <w:r>
              <w:rPr>
                <w:rFonts w:hint="eastAsia" w:ascii="宋体" w:hAnsi="宋体" w:cs="宋体"/>
                <w:color w:val="auto"/>
                <w:sz w:val="24"/>
              </w:rPr>
              <w:t>Ⅰ</w:t>
            </w:r>
            <w:r>
              <w:rPr>
                <w:rFonts w:eastAsiaTheme="minorEastAsia"/>
                <w:color w:val="auto"/>
                <w:sz w:val="24"/>
              </w:rPr>
              <w:t>、</w:t>
            </w:r>
            <w:r>
              <w:rPr>
                <w:rFonts w:hint="eastAsia" w:ascii="宋体" w:hAnsi="宋体" w:cs="宋体"/>
                <w:color w:val="auto"/>
                <w:sz w:val="24"/>
              </w:rPr>
              <w:t>Ⅱ</w:t>
            </w:r>
            <w:r>
              <w:rPr>
                <w:color w:val="auto"/>
                <w:sz w:val="24"/>
              </w:rPr>
              <w:t>、</w:t>
            </w:r>
            <w:r>
              <w:rPr>
                <w:rFonts w:hint="eastAsia" w:ascii="宋体" w:hAnsi="宋体" w:cs="宋体"/>
                <w:color w:val="auto"/>
                <w:sz w:val="24"/>
              </w:rPr>
              <w:t>Ⅲ</w:t>
            </w:r>
            <w:r>
              <w:rPr>
                <w:rFonts w:eastAsiaTheme="minorEastAsia"/>
                <w:color w:val="auto"/>
                <w:sz w:val="24"/>
              </w:rPr>
              <w:t>、</w:t>
            </w:r>
            <w:r>
              <w:rPr>
                <w:rFonts w:hint="eastAsia" w:ascii="宋体" w:hAnsi="宋体" w:cs="宋体"/>
                <w:color w:val="auto"/>
                <w:sz w:val="24"/>
              </w:rPr>
              <w:t>Ⅳ</w:t>
            </w:r>
            <w:r>
              <w:rPr>
                <w:color w:val="auto"/>
                <w:sz w:val="24"/>
              </w:rPr>
              <w:t>/</w:t>
            </w:r>
            <w:r>
              <w:rPr>
                <w:rFonts w:hint="eastAsia" w:ascii="宋体" w:hAnsi="宋体" w:cs="宋体"/>
                <w:color w:val="auto"/>
                <w:sz w:val="24"/>
              </w:rPr>
              <w:t>Ⅳ</w:t>
            </w:r>
            <w:r>
              <w:rPr>
                <w:rFonts w:eastAsiaTheme="minorEastAsia"/>
                <w:color w:val="auto"/>
                <w:sz w:val="24"/>
                <w:vertAlign w:val="superscript"/>
              </w:rPr>
              <w:t>+</w:t>
            </w:r>
            <w:r>
              <w:rPr>
                <w:color w:val="auto"/>
                <w:sz w:val="24"/>
              </w:rPr>
              <w:t>级。</w:t>
            </w:r>
          </w:p>
          <w:p>
            <w:pPr>
              <w:widowControl/>
              <w:spacing w:line="360" w:lineRule="auto"/>
              <w:ind w:firstLine="470" w:firstLineChars="196"/>
              <w:rPr>
                <w:color w:val="auto"/>
                <w:sz w:val="24"/>
              </w:rPr>
            </w:pPr>
            <w:r>
              <w:rPr>
                <w:color w:val="auto"/>
                <w:sz w:val="24"/>
              </w:rPr>
              <w:t>根据建设项目涉及的物质和工艺系统的危险性及其所在地的环境敏感程度，结合事故情形下环境影响途径，对建设项目潜在环境危害程度进行概化分析，按照表66确定环境风险程度。</w:t>
            </w:r>
          </w:p>
          <w:p>
            <w:pPr>
              <w:widowControl/>
              <w:spacing w:line="360" w:lineRule="auto"/>
              <w:jc w:val="center"/>
              <w:rPr>
                <w:rFonts w:eastAsiaTheme="minorEastAsia"/>
                <w:b/>
                <w:color w:val="auto"/>
                <w:kern w:val="0"/>
                <w:sz w:val="24"/>
              </w:rPr>
            </w:pPr>
            <w:r>
              <w:rPr>
                <w:rFonts w:eastAsiaTheme="minorEastAsia"/>
                <w:b/>
                <w:color w:val="auto"/>
                <w:kern w:val="0"/>
                <w:sz w:val="24"/>
              </w:rPr>
              <w:t>表71建设项目环境风险潜势划分</w:t>
            </w:r>
          </w:p>
          <w:tbl>
            <w:tblPr>
              <w:tblStyle w:val="38"/>
              <w:tblW w:w="8623"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03"/>
              <w:gridCol w:w="1557"/>
              <w:gridCol w:w="1700"/>
              <w:gridCol w:w="1559"/>
              <w:gridCol w:w="150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2303" w:type="dxa"/>
                  <w:vMerge w:val="restart"/>
                  <w:vAlign w:val="center"/>
                </w:tcPr>
                <w:p>
                  <w:pPr>
                    <w:jc w:val="center"/>
                    <w:rPr>
                      <w:rFonts w:eastAsiaTheme="minorEastAsia"/>
                      <w:color w:val="auto"/>
                      <w:szCs w:val="21"/>
                    </w:rPr>
                  </w:pPr>
                  <w:r>
                    <w:rPr>
                      <w:rFonts w:eastAsiaTheme="minorEastAsia"/>
                      <w:color w:val="auto"/>
                      <w:szCs w:val="21"/>
                    </w:rPr>
                    <w:t>环境敏感程度（E）</w:t>
                  </w:r>
                </w:p>
              </w:tc>
              <w:tc>
                <w:tcPr>
                  <w:tcW w:w="6320" w:type="dxa"/>
                  <w:gridSpan w:val="4"/>
                  <w:vAlign w:val="center"/>
                </w:tcPr>
                <w:p>
                  <w:pPr>
                    <w:jc w:val="center"/>
                    <w:rPr>
                      <w:rFonts w:eastAsiaTheme="minorEastAsia"/>
                      <w:color w:val="auto"/>
                      <w:szCs w:val="21"/>
                    </w:rPr>
                  </w:pPr>
                  <w:r>
                    <w:rPr>
                      <w:rFonts w:eastAsiaTheme="minorEastAsia"/>
                      <w:color w:val="auto"/>
                      <w:szCs w:val="21"/>
                    </w:rPr>
                    <w:t>危险物质及工艺系统危险性（P）</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303" w:type="dxa"/>
                  <w:vMerge w:val="continue"/>
                  <w:vAlign w:val="center"/>
                </w:tcPr>
                <w:p>
                  <w:pPr>
                    <w:jc w:val="center"/>
                    <w:rPr>
                      <w:rFonts w:eastAsiaTheme="minorEastAsia"/>
                      <w:color w:val="auto"/>
                      <w:szCs w:val="21"/>
                    </w:rPr>
                  </w:pPr>
                </w:p>
              </w:tc>
              <w:tc>
                <w:tcPr>
                  <w:tcW w:w="1557" w:type="dxa"/>
                  <w:vAlign w:val="center"/>
                </w:tcPr>
                <w:p>
                  <w:pPr>
                    <w:jc w:val="center"/>
                    <w:rPr>
                      <w:rFonts w:eastAsiaTheme="minorEastAsia"/>
                      <w:color w:val="auto"/>
                      <w:szCs w:val="21"/>
                    </w:rPr>
                  </w:pPr>
                  <w:r>
                    <w:rPr>
                      <w:rFonts w:eastAsiaTheme="minorEastAsia"/>
                      <w:color w:val="auto"/>
                      <w:szCs w:val="21"/>
                    </w:rPr>
                    <w:t>极高危害（P1）</w:t>
                  </w:r>
                </w:p>
              </w:tc>
              <w:tc>
                <w:tcPr>
                  <w:tcW w:w="1700" w:type="dxa"/>
                  <w:vAlign w:val="center"/>
                </w:tcPr>
                <w:p>
                  <w:pPr>
                    <w:jc w:val="center"/>
                    <w:rPr>
                      <w:rFonts w:eastAsiaTheme="minorEastAsia"/>
                      <w:color w:val="auto"/>
                      <w:szCs w:val="21"/>
                    </w:rPr>
                  </w:pPr>
                  <w:r>
                    <w:rPr>
                      <w:rFonts w:eastAsiaTheme="minorEastAsia"/>
                      <w:color w:val="auto"/>
                      <w:szCs w:val="21"/>
                    </w:rPr>
                    <w:t>高度危害（P2）</w:t>
                  </w:r>
                </w:p>
              </w:tc>
              <w:tc>
                <w:tcPr>
                  <w:tcW w:w="1559"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中度危害</w:t>
                  </w:r>
                  <w:r>
                    <w:rPr>
                      <w:rFonts w:eastAsiaTheme="minorEastAsia"/>
                      <w:color w:val="auto"/>
                      <w:szCs w:val="21"/>
                    </w:rPr>
                    <w:t>（P3）</w:t>
                  </w:r>
                </w:p>
              </w:tc>
              <w:tc>
                <w:tcPr>
                  <w:tcW w:w="1504"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轻度危害</w:t>
                  </w:r>
                  <w:r>
                    <w:rPr>
                      <w:rFonts w:eastAsiaTheme="minorEastAsia"/>
                      <w:color w:val="auto"/>
                      <w:szCs w:val="21"/>
                    </w:rPr>
                    <w:t>（P4）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2303" w:type="dxa"/>
                  <w:vAlign w:val="center"/>
                </w:tcPr>
                <w:p>
                  <w:pPr>
                    <w:jc w:val="center"/>
                    <w:rPr>
                      <w:rFonts w:eastAsiaTheme="minorEastAsia"/>
                      <w:color w:val="auto"/>
                      <w:szCs w:val="21"/>
                    </w:rPr>
                  </w:pPr>
                  <w:r>
                    <w:rPr>
                      <w:rFonts w:eastAsiaTheme="minorEastAsia"/>
                      <w:color w:val="auto"/>
                      <w:szCs w:val="21"/>
                    </w:rPr>
                    <w:t>环境高度敏感区（E1）</w:t>
                  </w:r>
                </w:p>
              </w:tc>
              <w:tc>
                <w:tcPr>
                  <w:tcW w:w="1557" w:type="dxa"/>
                  <w:vAlign w:val="center"/>
                </w:tcPr>
                <w:p>
                  <w:pPr>
                    <w:jc w:val="center"/>
                    <w:rPr>
                      <w:rFonts w:eastAsiaTheme="minorEastAsia"/>
                      <w:color w:val="auto"/>
                      <w:szCs w:val="21"/>
                    </w:rPr>
                  </w:pPr>
                  <w:r>
                    <w:rPr>
                      <w:rFonts w:hint="eastAsia" w:ascii="宋体" w:hAnsi="宋体" w:cs="宋体"/>
                      <w:color w:val="auto"/>
                      <w:sz w:val="24"/>
                    </w:rPr>
                    <w:t>Ⅳ</w:t>
                  </w:r>
                  <w:r>
                    <w:rPr>
                      <w:rFonts w:eastAsiaTheme="minorEastAsia"/>
                      <w:color w:val="auto"/>
                      <w:sz w:val="24"/>
                      <w:vertAlign w:val="superscript"/>
                    </w:rPr>
                    <w:t>+</w:t>
                  </w:r>
                </w:p>
              </w:tc>
              <w:tc>
                <w:tcPr>
                  <w:tcW w:w="1700" w:type="dxa"/>
                  <w:vAlign w:val="center"/>
                </w:tcPr>
                <w:p>
                  <w:pPr>
                    <w:jc w:val="center"/>
                    <w:rPr>
                      <w:rFonts w:eastAsiaTheme="minorEastAsia"/>
                      <w:color w:val="auto"/>
                      <w:szCs w:val="21"/>
                    </w:rPr>
                  </w:pPr>
                  <w:r>
                    <w:rPr>
                      <w:rFonts w:hint="eastAsia" w:ascii="宋体" w:hAnsi="宋体" w:cs="宋体"/>
                      <w:color w:val="auto"/>
                      <w:sz w:val="24"/>
                    </w:rPr>
                    <w:t>Ⅳ</w:t>
                  </w:r>
                </w:p>
              </w:tc>
              <w:tc>
                <w:tcPr>
                  <w:tcW w:w="1559" w:type="dxa"/>
                  <w:vAlign w:val="center"/>
                </w:tcPr>
                <w:p>
                  <w:pPr>
                    <w:jc w:val="center"/>
                    <w:rPr>
                      <w:color w:val="auto"/>
                    </w:rPr>
                  </w:pPr>
                  <w:r>
                    <w:rPr>
                      <w:rFonts w:hint="eastAsia" w:ascii="宋体" w:hAnsi="宋体" w:cs="宋体"/>
                      <w:color w:val="auto"/>
                      <w:sz w:val="24"/>
                    </w:rPr>
                    <w:t>Ⅲ</w:t>
                  </w:r>
                </w:p>
              </w:tc>
              <w:tc>
                <w:tcPr>
                  <w:tcW w:w="1504" w:type="dxa"/>
                  <w:vAlign w:val="center"/>
                </w:tcPr>
                <w:p>
                  <w:pPr>
                    <w:jc w:val="center"/>
                    <w:rPr>
                      <w:color w:val="auto"/>
                    </w:rPr>
                  </w:pPr>
                  <w:r>
                    <w:rPr>
                      <w:rFonts w:hint="eastAsia" w:ascii="宋体" w:hAnsi="宋体" w:cs="宋体"/>
                      <w:color w:val="auto"/>
                      <w:sz w:val="24"/>
                    </w:rPr>
                    <w:t>Ⅲ</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2303" w:type="dxa"/>
                  <w:vAlign w:val="center"/>
                </w:tcPr>
                <w:p>
                  <w:pPr>
                    <w:jc w:val="center"/>
                    <w:rPr>
                      <w:rFonts w:eastAsiaTheme="minorEastAsia"/>
                      <w:color w:val="auto"/>
                      <w:szCs w:val="21"/>
                    </w:rPr>
                  </w:pPr>
                  <w:r>
                    <w:rPr>
                      <w:rFonts w:eastAsiaTheme="minorEastAsia"/>
                      <w:color w:val="auto"/>
                      <w:szCs w:val="21"/>
                    </w:rPr>
                    <w:t>环境中度敏感区（E2）</w:t>
                  </w:r>
                </w:p>
              </w:tc>
              <w:tc>
                <w:tcPr>
                  <w:tcW w:w="1557" w:type="dxa"/>
                  <w:vAlign w:val="center"/>
                </w:tcPr>
                <w:p>
                  <w:pPr>
                    <w:jc w:val="center"/>
                    <w:rPr>
                      <w:rFonts w:eastAsiaTheme="minorEastAsia"/>
                      <w:color w:val="auto"/>
                      <w:szCs w:val="21"/>
                    </w:rPr>
                  </w:pPr>
                  <w:r>
                    <w:rPr>
                      <w:rFonts w:hint="eastAsia" w:ascii="宋体" w:hAnsi="宋体" w:cs="宋体"/>
                      <w:color w:val="auto"/>
                      <w:sz w:val="24"/>
                    </w:rPr>
                    <w:t>Ⅳ</w:t>
                  </w:r>
                </w:p>
              </w:tc>
              <w:tc>
                <w:tcPr>
                  <w:tcW w:w="1700" w:type="dxa"/>
                  <w:vAlign w:val="center"/>
                </w:tcPr>
                <w:p>
                  <w:pPr>
                    <w:jc w:val="center"/>
                    <w:rPr>
                      <w:color w:val="auto"/>
                    </w:rPr>
                  </w:pPr>
                  <w:r>
                    <w:rPr>
                      <w:rFonts w:hint="eastAsia" w:ascii="宋体" w:hAnsi="宋体" w:cs="宋体"/>
                      <w:color w:val="auto"/>
                      <w:sz w:val="24"/>
                    </w:rPr>
                    <w:t>Ⅲ</w:t>
                  </w:r>
                </w:p>
              </w:tc>
              <w:tc>
                <w:tcPr>
                  <w:tcW w:w="1559" w:type="dxa"/>
                  <w:vAlign w:val="center"/>
                </w:tcPr>
                <w:p>
                  <w:pPr>
                    <w:jc w:val="center"/>
                    <w:rPr>
                      <w:color w:val="auto"/>
                    </w:rPr>
                  </w:pPr>
                  <w:r>
                    <w:rPr>
                      <w:rFonts w:hint="eastAsia" w:ascii="宋体" w:hAnsi="宋体" w:cs="宋体"/>
                      <w:color w:val="auto"/>
                      <w:sz w:val="24"/>
                    </w:rPr>
                    <w:t>Ⅲ</w:t>
                  </w:r>
                </w:p>
              </w:tc>
              <w:tc>
                <w:tcPr>
                  <w:tcW w:w="1504" w:type="dxa"/>
                  <w:vAlign w:val="center"/>
                </w:tcPr>
                <w:p>
                  <w:pPr>
                    <w:widowControl/>
                    <w:adjustRightInd w:val="0"/>
                    <w:snapToGrid w:val="0"/>
                    <w:jc w:val="center"/>
                    <w:rPr>
                      <w:rFonts w:eastAsiaTheme="minorEastAsia"/>
                      <w:color w:val="auto"/>
                      <w:kern w:val="0"/>
                      <w:szCs w:val="21"/>
                    </w:rPr>
                  </w:pPr>
                  <w:r>
                    <w:rPr>
                      <w:rFonts w:hint="eastAsia" w:ascii="宋体" w:hAnsi="宋体" w:cs="宋体"/>
                      <w:color w:val="auto"/>
                      <w:sz w:val="24"/>
                    </w:rPr>
                    <w:t>Ⅱ</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2303" w:type="dxa"/>
                  <w:vAlign w:val="center"/>
                </w:tcPr>
                <w:p>
                  <w:pPr>
                    <w:jc w:val="center"/>
                    <w:rPr>
                      <w:rFonts w:eastAsiaTheme="minorEastAsia"/>
                      <w:color w:val="auto"/>
                      <w:szCs w:val="21"/>
                    </w:rPr>
                  </w:pPr>
                  <w:r>
                    <w:rPr>
                      <w:rFonts w:eastAsiaTheme="minorEastAsia"/>
                      <w:color w:val="auto"/>
                      <w:szCs w:val="21"/>
                    </w:rPr>
                    <w:t>环境低度敏感区（E3）</w:t>
                  </w:r>
                </w:p>
              </w:tc>
              <w:tc>
                <w:tcPr>
                  <w:tcW w:w="1557" w:type="dxa"/>
                  <w:vAlign w:val="center"/>
                </w:tcPr>
                <w:p>
                  <w:pPr>
                    <w:jc w:val="center"/>
                    <w:rPr>
                      <w:color w:val="auto"/>
                    </w:rPr>
                  </w:pPr>
                  <w:r>
                    <w:rPr>
                      <w:rFonts w:hint="eastAsia" w:ascii="宋体" w:hAnsi="宋体" w:cs="宋体"/>
                      <w:color w:val="auto"/>
                      <w:sz w:val="24"/>
                    </w:rPr>
                    <w:t>Ⅲ</w:t>
                  </w:r>
                </w:p>
              </w:tc>
              <w:tc>
                <w:tcPr>
                  <w:tcW w:w="1700" w:type="dxa"/>
                  <w:vAlign w:val="center"/>
                </w:tcPr>
                <w:p>
                  <w:pPr>
                    <w:jc w:val="center"/>
                    <w:rPr>
                      <w:color w:val="auto"/>
                    </w:rPr>
                  </w:pPr>
                  <w:r>
                    <w:rPr>
                      <w:rFonts w:hint="eastAsia" w:ascii="宋体" w:hAnsi="宋体" w:cs="宋体"/>
                      <w:color w:val="auto"/>
                      <w:sz w:val="24"/>
                    </w:rPr>
                    <w:t>Ⅲ</w:t>
                  </w:r>
                </w:p>
              </w:tc>
              <w:tc>
                <w:tcPr>
                  <w:tcW w:w="1559" w:type="dxa"/>
                  <w:vAlign w:val="center"/>
                </w:tcPr>
                <w:p>
                  <w:pPr>
                    <w:widowControl/>
                    <w:adjustRightInd w:val="0"/>
                    <w:snapToGrid w:val="0"/>
                    <w:jc w:val="center"/>
                    <w:rPr>
                      <w:rFonts w:eastAsiaTheme="minorEastAsia"/>
                      <w:color w:val="auto"/>
                      <w:kern w:val="0"/>
                      <w:szCs w:val="21"/>
                    </w:rPr>
                  </w:pPr>
                  <w:r>
                    <w:rPr>
                      <w:rFonts w:hint="eastAsia" w:ascii="宋体" w:hAnsi="宋体" w:cs="宋体"/>
                      <w:color w:val="auto"/>
                      <w:sz w:val="24"/>
                    </w:rPr>
                    <w:t>Ⅱ</w:t>
                  </w:r>
                </w:p>
              </w:tc>
              <w:tc>
                <w:tcPr>
                  <w:tcW w:w="1504" w:type="dxa"/>
                  <w:vAlign w:val="center"/>
                </w:tcPr>
                <w:p>
                  <w:pPr>
                    <w:widowControl/>
                    <w:adjustRightInd w:val="0"/>
                    <w:snapToGrid w:val="0"/>
                    <w:jc w:val="center"/>
                    <w:rPr>
                      <w:rFonts w:eastAsiaTheme="minorEastAsia"/>
                      <w:color w:val="auto"/>
                      <w:kern w:val="0"/>
                      <w:szCs w:val="21"/>
                    </w:rPr>
                  </w:pPr>
                  <w:r>
                    <w:rPr>
                      <w:rFonts w:hint="eastAsia" w:ascii="宋体" w:hAnsi="宋体" w:cs="宋体"/>
                      <w:color w:val="auto"/>
                      <w:sz w:val="24"/>
                    </w:rPr>
                    <w:t>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8623" w:type="dxa"/>
                  <w:gridSpan w:val="5"/>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注：</w:t>
                  </w:r>
                  <w:r>
                    <w:rPr>
                      <w:rFonts w:hint="eastAsia" w:ascii="宋体" w:hAnsi="宋体" w:cs="宋体"/>
                      <w:color w:val="auto"/>
                      <w:sz w:val="24"/>
                    </w:rPr>
                    <w:t>Ⅳ</w:t>
                  </w:r>
                  <w:r>
                    <w:rPr>
                      <w:rFonts w:eastAsiaTheme="minorEastAsia"/>
                      <w:color w:val="auto"/>
                      <w:sz w:val="24"/>
                      <w:vertAlign w:val="superscript"/>
                    </w:rPr>
                    <w:t>+</w:t>
                  </w:r>
                  <w:r>
                    <w:rPr>
                      <w:rFonts w:eastAsiaTheme="minorEastAsia"/>
                      <w:color w:val="auto"/>
                      <w:kern w:val="0"/>
                      <w:szCs w:val="21"/>
                    </w:rPr>
                    <w:t>为极高环境风险</w:t>
                  </w:r>
                </w:p>
              </w:tc>
            </w:tr>
          </w:tbl>
          <w:p>
            <w:pPr>
              <w:widowControl/>
              <w:spacing w:line="360" w:lineRule="auto"/>
              <w:ind w:firstLine="470" w:firstLineChars="196"/>
              <w:rPr>
                <w:rFonts w:eastAsiaTheme="minorEastAsia"/>
                <w:color w:val="auto"/>
                <w:sz w:val="24"/>
              </w:rPr>
            </w:pPr>
            <w:r>
              <w:rPr>
                <w:rFonts w:eastAsiaTheme="minorEastAsia"/>
                <w:color w:val="auto"/>
                <w:sz w:val="24"/>
              </w:rPr>
              <w:t>（1）危险物质及工艺系统危险性识别</w:t>
            </w:r>
          </w:p>
          <w:p>
            <w:pPr>
              <w:widowControl/>
              <w:spacing w:line="360" w:lineRule="auto"/>
              <w:ind w:firstLine="470" w:firstLineChars="196"/>
              <w:rPr>
                <w:rFonts w:eastAsiaTheme="minorEastAsia"/>
                <w:color w:val="auto"/>
                <w:sz w:val="24"/>
              </w:rPr>
            </w:pPr>
            <w:r>
              <w:rPr>
                <w:rFonts w:eastAsiaTheme="minorEastAsia"/>
                <w:color w:val="auto"/>
                <w:sz w:val="24"/>
              </w:rPr>
              <w:t>本项目危险物质及工艺系统危险性临界量比值见表72</w:t>
            </w:r>
          </w:p>
          <w:p>
            <w:pPr>
              <w:widowControl/>
              <w:spacing w:line="360" w:lineRule="auto"/>
              <w:jc w:val="center"/>
              <w:rPr>
                <w:rFonts w:eastAsiaTheme="minorEastAsia"/>
                <w:b/>
                <w:color w:val="auto"/>
                <w:kern w:val="0"/>
                <w:sz w:val="24"/>
              </w:rPr>
            </w:pPr>
            <w:r>
              <w:rPr>
                <w:rFonts w:eastAsiaTheme="minorEastAsia"/>
                <w:b/>
                <w:color w:val="auto"/>
                <w:kern w:val="0"/>
                <w:sz w:val="24"/>
              </w:rPr>
              <w:t>表72项目药剂使用情况一览表</w:t>
            </w:r>
          </w:p>
          <w:tbl>
            <w:tblPr>
              <w:tblStyle w:val="38"/>
              <w:tblW w:w="8623"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592"/>
              <w:gridCol w:w="1496"/>
              <w:gridCol w:w="1723"/>
              <w:gridCol w:w="1547"/>
              <w:gridCol w:w="154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vAlign w:val="center"/>
                </w:tcPr>
                <w:p>
                  <w:pPr>
                    <w:jc w:val="center"/>
                    <w:rPr>
                      <w:rFonts w:eastAsiaTheme="minorEastAsia"/>
                      <w:color w:val="auto"/>
                      <w:szCs w:val="21"/>
                    </w:rPr>
                  </w:pPr>
                  <w:r>
                    <w:rPr>
                      <w:rFonts w:eastAsiaTheme="minorEastAsia"/>
                      <w:color w:val="auto"/>
                      <w:szCs w:val="21"/>
                    </w:rPr>
                    <w:t>序号</w:t>
                  </w:r>
                </w:p>
              </w:tc>
              <w:tc>
                <w:tcPr>
                  <w:tcW w:w="1592" w:type="dxa"/>
                  <w:vAlign w:val="center"/>
                </w:tcPr>
                <w:p>
                  <w:pPr>
                    <w:jc w:val="center"/>
                    <w:rPr>
                      <w:rFonts w:eastAsiaTheme="minorEastAsia"/>
                      <w:color w:val="auto"/>
                      <w:szCs w:val="21"/>
                    </w:rPr>
                  </w:pPr>
                  <w:r>
                    <w:rPr>
                      <w:rFonts w:eastAsiaTheme="minorEastAsia"/>
                      <w:color w:val="auto"/>
                      <w:szCs w:val="21"/>
                    </w:rPr>
                    <w:t>危险物质名称</w:t>
                  </w:r>
                </w:p>
              </w:tc>
              <w:tc>
                <w:tcPr>
                  <w:tcW w:w="1496" w:type="dxa"/>
                  <w:vAlign w:val="center"/>
                </w:tcPr>
                <w:p>
                  <w:pPr>
                    <w:jc w:val="center"/>
                    <w:rPr>
                      <w:rFonts w:eastAsiaTheme="minorEastAsia"/>
                      <w:color w:val="auto"/>
                      <w:szCs w:val="21"/>
                    </w:rPr>
                  </w:pPr>
                  <w:r>
                    <w:rPr>
                      <w:rFonts w:eastAsiaTheme="minorEastAsia"/>
                      <w:color w:val="auto"/>
                      <w:szCs w:val="21"/>
                    </w:rPr>
                    <w:t>CAS号</w:t>
                  </w:r>
                </w:p>
              </w:tc>
              <w:tc>
                <w:tcPr>
                  <w:tcW w:w="1723" w:type="dxa"/>
                  <w:vAlign w:val="center"/>
                </w:tcPr>
                <w:p>
                  <w:pPr>
                    <w:jc w:val="center"/>
                    <w:rPr>
                      <w:rFonts w:eastAsiaTheme="minorEastAsia"/>
                      <w:color w:val="auto"/>
                      <w:szCs w:val="21"/>
                    </w:rPr>
                  </w:pPr>
                  <w:r>
                    <w:rPr>
                      <w:rFonts w:eastAsiaTheme="minorEastAsia"/>
                      <w:color w:val="auto"/>
                      <w:szCs w:val="21"/>
                    </w:rPr>
                    <w:t>最大存在总量q</w:t>
                  </w:r>
                  <w:r>
                    <w:rPr>
                      <w:rFonts w:eastAsiaTheme="minorEastAsia"/>
                      <w:color w:val="auto"/>
                      <w:szCs w:val="21"/>
                      <w:vertAlign w:val="subscript"/>
                    </w:rPr>
                    <w:t>n</w:t>
                  </w:r>
                  <w:r>
                    <w:rPr>
                      <w:rFonts w:eastAsiaTheme="minorEastAsia"/>
                      <w:color w:val="auto"/>
                      <w:szCs w:val="21"/>
                    </w:rPr>
                    <w:t>/t</w:t>
                  </w:r>
                </w:p>
              </w:tc>
              <w:tc>
                <w:tcPr>
                  <w:tcW w:w="1547" w:type="dxa"/>
                  <w:vAlign w:val="center"/>
                </w:tcPr>
                <w:p>
                  <w:pPr>
                    <w:jc w:val="center"/>
                    <w:rPr>
                      <w:rFonts w:eastAsiaTheme="minorEastAsia"/>
                      <w:color w:val="auto"/>
                      <w:szCs w:val="21"/>
                    </w:rPr>
                  </w:pPr>
                  <w:r>
                    <w:rPr>
                      <w:rFonts w:eastAsiaTheme="minorEastAsia"/>
                      <w:color w:val="auto"/>
                      <w:szCs w:val="21"/>
                    </w:rPr>
                    <w:t>临界量Q</w:t>
                  </w:r>
                  <w:r>
                    <w:rPr>
                      <w:rFonts w:eastAsiaTheme="minorEastAsia"/>
                      <w:color w:val="auto"/>
                      <w:szCs w:val="21"/>
                      <w:vertAlign w:val="subscript"/>
                    </w:rPr>
                    <w:t>n</w:t>
                  </w:r>
                  <w:r>
                    <w:rPr>
                      <w:rFonts w:eastAsiaTheme="minorEastAsia"/>
                      <w:color w:val="auto"/>
                      <w:szCs w:val="21"/>
                    </w:rPr>
                    <w:t>/t</w:t>
                  </w:r>
                </w:p>
              </w:tc>
              <w:tc>
                <w:tcPr>
                  <w:tcW w:w="1547" w:type="dxa"/>
                  <w:vAlign w:val="center"/>
                </w:tcPr>
                <w:p>
                  <w:pPr>
                    <w:jc w:val="center"/>
                    <w:rPr>
                      <w:rFonts w:eastAsiaTheme="minorEastAsia"/>
                      <w:color w:val="auto"/>
                      <w:szCs w:val="21"/>
                    </w:rPr>
                  </w:pPr>
                  <w:r>
                    <w:rPr>
                      <w:rFonts w:eastAsiaTheme="minorEastAsia"/>
                      <w:color w:val="auto"/>
                      <w:szCs w:val="21"/>
                    </w:rPr>
                    <w:t>该种危险物质Q值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8" w:type="dxa"/>
                  <w:vAlign w:val="center"/>
                </w:tcPr>
                <w:p>
                  <w:pPr>
                    <w:jc w:val="center"/>
                    <w:rPr>
                      <w:rFonts w:eastAsiaTheme="minorEastAsia"/>
                      <w:color w:val="auto"/>
                      <w:szCs w:val="21"/>
                    </w:rPr>
                  </w:pPr>
                  <w:r>
                    <w:rPr>
                      <w:rFonts w:eastAsiaTheme="minorEastAsia"/>
                      <w:color w:val="auto"/>
                      <w:szCs w:val="21"/>
                    </w:rPr>
                    <w:t>1</w:t>
                  </w:r>
                </w:p>
              </w:tc>
              <w:tc>
                <w:tcPr>
                  <w:tcW w:w="1592" w:type="dxa"/>
                  <w:vAlign w:val="center"/>
                </w:tcPr>
                <w:p>
                  <w:pPr>
                    <w:jc w:val="center"/>
                    <w:rPr>
                      <w:rFonts w:eastAsiaTheme="minorEastAsia"/>
                      <w:color w:val="auto"/>
                      <w:szCs w:val="21"/>
                    </w:rPr>
                  </w:pPr>
                  <w:r>
                    <w:rPr>
                      <w:rFonts w:eastAsiaTheme="minorEastAsia"/>
                      <w:color w:val="auto"/>
                      <w:szCs w:val="21"/>
                    </w:rPr>
                    <w:t>10%成品次氯酸钠溶液</w:t>
                  </w:r>
                </w:p>
              </w:tc>
              <w:tc>
                <w:tcPr>
                  <w:tcW w:w="1496" w:type="dxa"/>
                  <w:vAlign w:val="center"/>
                </w:tcPr>
                <w:p>
                  <w:pPr>
                    <w:jc w:val="center"/>
                    <w:rPr>
                      <w:rFonts w:eastAsiaTheme="minorEastAsia"/>
                      <w:color w:val="auto"/>
                      <w:szCs w:val="21"/>
                    </w:rPr>
                  </w:pPr>
                  <w:r>
                    <w:rPr>
                      <w:rFonts w:eastAsiaTheme="minorEastAsia"/>
                      <w:color w:val="auto"/>
                      <w:szCs w:val="21"/>
                    </w:rPr>
                    <w:t>7681-52-9</w:t>
                  </w:r>
                </w:p>
              </w:tc>
              <w:tc>
                <w:tcPr>
                  <w:tcW w:w="1723"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0.06</w:t>
                  </w:r>
                </w:p>
              </w:tc>
              <w:tc>
                <w:tcPr>
                  <w:tcW w:w="1547"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5</w:t>
                  </w:r>
                </w:p>
              </w:tc>
              <w:tc>
                <w:tcPr>
                  <w:tcW w:w="1547"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0.012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718" w:type="dxa"/>
                  <w:vAlign w:val="center"/>
                </w:tcPr>
                <w:p>
                  <w:pPr>
                    <w:jc w:val="center"/>
                    <w:rPr>
                      <w:rFonts w:eastAsiaTheme="minorEastAsia"/>
                      <w:color w:val="auto"/>
                      <w:szCs w:val="21"/>
                    </w:rPr>
                  </w:pPr>
                  <w:r>
                    <w:rPr>
                      <w:rFonts w:eastAsiaTheme="minorEastAsia"/>
                      <w:color w:val="auto"/>
                      <w:szCs w:val="21"/>
                    </w:rPr>
                    <w:t>2</w:t>
                  </w:r>
                </w:p>
              </w:tc>
              <w:tc>
                <w:tcPr>
                  <w:tcW w:w="1592" w:type="dxa"/>
                  <w:vAlign w:val="center"/>
                </w:tcPr>
                <w:p>
                  <w:pPr>
                    <w:jc w:val="center"/>
                    <w:rPr>
                      <w:rFonts w:eastAsiaTheme="minorEastAsia"/>
                      <w:color w:val="auto"/>
                      <w:szCs w:val="21"/>
                    </w:rPr>
                  </w:pPr>
                  <w:r>
                    <w:rPr>
                      <w:rFonts w:eastAsiaTheme="minorEastAsia"/>
                      <w:color w:val="auto"/>
                      <w:szCs w:val="21"/>
                    </w:rPr>
                    <w:t>硫化氢</w:t>
                  </w:r>
                </w:p>
              </w:tc>
              <w:tc>
                <w:tcPr>
                  <w:tcW w:w="1496" w:type="dxa"/>
                  <w:vAlign w:val="center"/>
                </w:tcPr>
                <w:p>
                  <w:pPr>
                    <w:jc w:val="center"/>
                    <w:rPr>
                      <w:rFonts w:eastAsiaTheme="minorEastAsia"/>
                      <w:color w:val="auto"/>
                      <w:szCs w:val="21"/>
                    </w:rPr>
                  </w:pPr>
                  <w:r>
                    <w:rPr>
                      <w:rFonts w:eastAsiaTheme="minorEastAsia"/>
                      <w:color w:val="auto"/>
                      <w:szCs w:val="21"/>
                    </w:rPr>
                    <w:t>7783-06-4</w:t>
                  </w:r>
                </w:p>
              </w:tc>
              <w:tc>
                <w:tcPr>
                  <w:tcW w:w="1723"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0.008</w:t>
                  </w:r>
                </w:p>
              </w:tc>
              <w:tc>
                <w:tcPr>
                  <w:tcW w:w="1547"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2.5</w:t>
                  </w:r>
                </w:p>
              </w:tc>
              <w:tc>
                <w:tcPr>
                  <w:tcW w:w="1547"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0.0032</w:t>
                  </w:r>
                </w:p>
              </w:tc>
            </w:tr>
          </w:tbl>
          <w:p>
            <w:pPr>
              <w:widowControl/>
              <w:spacing w:line="360" w:lineRule="auto"/>
              <w:ind w:firstLine="470" w:firstLineChars="196"/>
              <w:rPr>
                <w:rFonts w:eastAsiaTheme="minorEastAsia"/>
                <w:color w:val="auto"/>
                <w:sz w:val="24"/>
              </w:rPr>
            </w:pPr>
            <w:r>
              <w:rPr>
                <w:rFonts w:eastAsiaTheme="minorEastAsia"/>
                <w:color w:val="auto"/>
                <w:sz w:val="24"/>
              </w:rPr>
              <w:t>（2）项目环境风险潜势判定</w:t>
            </w:r>
          </w:p>
          <w:p>
            <w:pPr>
              <w:widowControl/>
              <w:spacing w:line="360" w:lineRule="auto"/>
              <w:ind w:firstLine="470" w:firstLineChars="196"/>
              <w:rPr>
                <w:rFonts w:eastAsiaTheme="minorEastAsia"/>
                <w:color w:val="auto"/>
                <w:sz w:val="24"/>
              </w:rPr>
            </w:pPr>
            <w:r>
              <w:rPr>
                <w:rFonts w:eastAsiaTheme="minorEastAsia"/>
                <w:color w:val="auto"/>
                <w:sz w:val="24"/>
              </w:rPr>
              <w:t>由上表可知，本项目危险物质临界量比值为：Q=0.012+0.0032=0.152&lt;1，参照《建设项目环境风险评价技术导则》（HJ169-2018）中附录C中表C.1，判断本项目环境风险潜势为</w:t>
            </w:r>
            <w:r>
              <w:rPr>
                <w:rFonts w:hint="eastAsia" w:ascii="宋体" w:hAnsi="宋体" w:cs="宋体"/>
                <w:color w:val="auto"/>
                <w:sz w:val="24"/>
              </w:rPr>
              <w:t>Ⅰ</w:t>
            </w:r>
            <w:r>
              <w:rPr>
                <w:rFonts w:eastAsiaTheme="minorEastAsia"/>
                <w:color w:val="auto"/>
                <w:sz w:val="24"/>
              </w:rPr>
              <w:t>。</w:t>
            </w:r>
          </w:p>
          <w:p>
            <w:pPr>
              <w:widowControl/>
              <w:spacing w:line="360" w:lineRule="auto"/>
              <w:ind w:firstLine="470" w:firstLineChars="196"/>
              <w:rPr>
                <w:rFonts w:eastAsiaTheme="minorEastAsia"/>
                <w:color w:val="auto"/>
                <w:sz w:val="24"/>
              </w:rPr>
            </w:pPr>
            <w:r>
              <w:rPr>
                <w:rFonts w:eastAsiaTheme="minorEastAsia"/>
                <w:color w:val="auto"/>
                <w:sz w:val="24"/>
              </w:rPr>
              <w:t>（3）环境风险评价等级确定</w:t>
            </w:r>
          </w:p>
          <w:p>
            <w:pPr>
              <w:widowControl/>
              <w:spacing w:line="360" w:lineRule="auto"/>
              <w:ind w:firstLine="470" w:firstLineChars="196"/>
              <w:rPr>
                <w:rFonts w:eastAsiaTheme="minorEastAsia"/>
                <w:color w:val="auto"/>
                <w:sz w:val="24"/>
              </w:rPr>
            </w:pPr>
            <w:r>
              <w:rPr>
                <w:rFonts w:eastAsiaTheme="minorEastAsia"/>
                <w:color w:val="auto"/>
                <w:sz w:val="24"/>
              </w:rPr>
              <w:t>根据《建设项目环境风险评价技术导则》（HJ169-2018）中4.3中表1，确定本项目环境风险评价等级为简单分析。</w:t>
            </w:r>
          </w:p>
          <w:p>
            <w:pPr>
              <w:widowControl/>
              <w:spacing w:line="360" w:lineRule="auto"/>
              <w:jc w:val="center"/>
              <w:rPr>
                <w:rFonts w:eastAsiaTheme="minorEastAsia"/>
                <w:b/>
                <w:color w:val="auto"/>
                <w:kern w:val="0"/>
                <w:sz w:val="24"/>
              </w:rPr>
            </w:pPr>
            <w:r>
              <w:rPr>
                <w:rFonts w:eastAsiaTheme="minorEastAsia"/>
                <w:b/>
                <w:color w:val="auto"/>
                <w:kern w:val="0"/>
                <w:sz w:val="24"/>
              </w:rPr>
              <w:t>表73评价工作等级划分</w:t>
            </w:r>
          </w:p>
          <w:tbl>
            <w:tblPr>
              <w:tblStyle w:val="38"/>
              <w:tblW w:w="7905"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1496"/>
              <w:gridCol w:w="1723"/>
              <w:gridCol w:w="1547"/>
              <w:gridCol w:w="154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1592" w:type="dxa"/>
                  <w:vAlign w:val="center"/>
                </w:tcPr>
                <w:p>
                  <w:pPr>
                    <w:jc w:val="center"/>
                    <w:rPr>
                      <w:rFonts w:eastAsiaTheme="minorEastAsia"/>
                      <w:color w:val="auto"/>
                      <w:szCs w:val="21"/>
                    </w:rPr>
                  </w:pPr>
                  <w:r>
                    <w:rPr>
                      <w:rFonts w:eastAsiaTheme="minorEastAsia"/>
                      <w:color w:val="auto"/>
                      <w:szCs w:val="21"/>
                    </w:rPr>
                    <w:t>环境风险潜势</w:t>
                  </w:r>
                </w:p>
              </w:tc>
              <w:tc>
                <w:tcPr>
                  <w:tcW w:w="1496" w:type="dxa"/>
                  <w:vAlign w:val="center"/>
                </w:tcPr>
                <w:p>
                  <w:pPr>
                    <w:jc w:val="center"/>
                    <w:rPr>
                      <w:rFonts w:eastAsiaTheme="minorEastAsia"/>
                      <w:color w:val="auto"/>
                      <w:szCs w:val="21"/>
                    </w:rPr>
                  </w:pPr>
                  <w:r>
                    <w:rPr>
                      <w:rFonts w:hint="eastAsia" w:ascii="宋体" w:hAnsi="宋体" w:cs="宋体"/>
                      <w:color w:val="auto"/>
                      <w:sz w:val="24"/>
                    </w:rPr>
                    <w:t>Ⅳ</w:t>
                  </w:r>
                  <w:r>
                    <w:rPr>
                      <w:rFonts w:eastAsiaTheme="minorEastAsia"/>
                      <w:color w:val="auto"/>
                      <w:sz w:val="24"/>
                    </w:rPr>
                    <w:t>、</w:t>
                  </w:r>
                  <w:r>
                    <w:rPr>
                      <w:rFonts w:hint="eastAsia" w:ascii="宋体" w:hAnsi="宋体" w:cs="宋体"/>
                      <w:color w:val="auto"/>
                      <w:sz w:val="24"/>
                    </w:rPr>
                    <w:t>Ⅳ</w:t>
                  </w:r>
                  <w:r>
                    <w:rPr>
                      <w:rFonts w:eastAsiaTheme="minorEastAsia"/>
                      <w:color w:val="auto"/>
                      <w:sz w:val="24"/>
                      <w:vertAlign w:val="superscript"/>
                    </w:rPr>
                    <w:t>+</w:t>
                  </w:r>
                </w:p>
              </w:tc>
              <w:tc>
                <w:tcPr>
                  <w:tcW w:w="1723" w:type="dxa"/>
                  <w:vAlign w:val="center"/>
                </w:tcPr>
                <w:p>
                  <w:pPr>
                    <w:jc w:val="center"/>
                    <w:rPr>
                      <w:rFonts w:eastAsiaTheme="minorEastAsia"/>
                      <w:color w:val="auto"/>
                      <w:szCs w:val="21"/>
                    </w:rPr>
                  </w:pPr>
                  <w:r>
                    <w:rPr>
                      <w:rFonts w:hint="eastAsia" w:ascii="宋体" w:hAnsi="宋体" w:cs="宋体"/>
                      <w:color w:val="auto"/>
                      <w:sz w:val="24"/>
                    </w:rPr>
                    <w:t>Ⅲ</w:t>
                  </w:r>
                </w:p>
              </w:tc>
              <w:tc>
                <w:tcPr>
                  <w:tcW w:w="1547" w:type="dxa"/>
                  <w:vAlign w:val="center"/>
                </w:tcPr>
                <w:p>
                  <w:pPr>
                    <w:jc w:val="center"/>
                    <w:rPr>
                      <w:rFonts w:eastAsiaTheme="minorEastAsia"/>
                      <w:color w:val="auto"/>
                      <w:szCs w:val="21"/>
                    </w:rPr>
                  </w:pPr>
                  <w:r>
                    <w:rPr>
                      <w:rFonts w:hint="eastAsia" w:ascii="宋体" w:hAnsi="宋体" w:cs="宋体"/>
                      <w:color w:val="auto"/>
                      <w:sz w:val="24"/>
                    </w:rPr>
                    <w:t>Ⅱ</w:t>
                  </w:r>
                </w:p>
              </w:tc>
              <w:tc>
                <w:tcPr>
                  <w:tcW w:w="1547" w:type="dxa"/>
                  <w:vAlign w:val="center"/>
                </w:tcPr>
                <w:p>
                  <w:pPr>
                    <w:jc w:val="center"/>
                    <w:rPr>
                      <w:rFonts w:eastAsiaTheme="minorEastAsia"/>
                      <w:color w:val="auto"/>
                      <w:szCs w:val="21"/>
                    </w:rPr>
                  </w:pPr>
                  <w:r>
                    <w:rPr>
                      <w:rFonts w:hint="eastAsia" w:ascii="宋体" w:hAnsi="宋体" w:cs="宋体"/>
                      <w:color w:val="auto"/>
                      <w:sz w:val="24"/>
                    </w:rPr>
                    <w:t>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1592" w:type="dxa"/>
                  <w:vAlign w:val="center"/>
                </w:tcPr>
                <w:p>
                  <w:pPr>
                    <w:jc w:val="center"/>
                    <w:rPr>
                      <w:rFonts w:eastAsiaTheme="minorEastAsia"/>
                      <w:color w:val="auto"/>
                      <w:szCs w:val="21"/>
                    </w:rPr>
                  </w:pPr>
                  <w:r>
                    <w:rPr>
                      <w:rFonts w:eastAsiaTheme="minorEastAsia"/>
                      <w:color w:val="auto"/>
                      <w:szCs w:val="21"/>
                    </w:rPr>
                    <w:t>评价工作等级</w:t>
                  </w:r>
                </w:p>
              </w:tc>
              <w:tc>
                <w:tcPr>
                  <w:tcW w:w="1496" w:type="dxa"/>
                  <w:vAlign w:val="center"/>
                </w:tcPr>
                <w:p>
                  <w:pPr>
                    <w:jc w:val="center"/>
                    <w:rPr>
                      <w:rFonts w:eastAsiaTheme="minorEastAsia"/>
                      <w:color w:val="auto"/>
                      <w:szCs w:val="21"/>
                    </w:rPr>
                  </w:pPr>
                  <w:r>
                    <w:rPr>
                      <w:rFonts w:eastAsiaTheme="minorEastAsia"/>
                      <w:color w:val="auto"/>
                      <w:szCs w:val="21"/>
                    </w:rPr>
                    <w:t>一</w:t>
                  </w:r>
                </w:p>
              </w:tc>
              <w:tc>
                <w:tcPr>
                  <w:tcW w:w="1723"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二</w:t>
                  </w:r>
                </w:p>
              </w:tc>
              <w:tc>
                <w:tcPr>
                  <w:tcW w:w="1547"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三</w:t>
                  </w:r>
                </w:p>
              </w:tc>
              <w:tc>
                <w:tcPr>
                  <w:tcW w:w="1547"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简单分析</w:t>
                  </w:r>
                </w:p>
              </w:tc>
            </w:tr>
          </w:tbl>
          <w:p>
            <w:pPr>
              <w:widowControl/>
              <w:spacing w:line="360" w:lineRule="auto"/>
              <w:ind w:firstLine="472" w:firstLineChars="196"/>
              <w:rPr>
                <w:rFonts w:eastAsiaTheme="minorEastAsia"/>
                <w:b/>
                <w:color w:val="auto"/>
                <w:sz w:val="24"/>
              </w:rPr>
            </w:pPr>
            <w:r>
              <w:rPr>
                <w:rFonts w:eastAsiaTheme="minorEastAsia"/>
                <w:b/>
                <w:color w:val="auto"/>
                <w:sz w:val="24"/>
              </w:rPr>
              <w:t>3.2环境敏感目标概况</w:t>
            </w:r>
          </w:p>
          <w:p>
            <w:pPr>
              <w:adjustRightInd w:val="0"/>
              <w:snapToGrid w:val="0"/>
              <w:spacing w:line="360" w:lineRule="auto"/>
              <w:ind w:firstLine="482" w:firstLineChars="200"/>
              <w:jc w:val="center"/>
              <w:rPr>
                <w:rFonts w:eastAsiaTheme="minorEastAsia"/>
                <w:b/>
                <w:color w:val="auto"/>
                <w:sz w:val="24"/>
              </w:rPr>
            </w:pPr>
            <w:r>
              <w:rPr>
                <w:rFonts w:eastAsiaTheme="minorEastAsia"/>
                <w:b/>
                <w:color w:val="auto"/>
                <w:sz w:val="24"/>
              </w:rPr>
              <w:t>表74环境敏感目标概况</w:t>
            </w:r>
          </w:p>
          <w:tbl>
            <w:tblPr>
              <w:tblStyle w:val="38"/>
              <w:tblW w:w="8623"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52"/>
              <w:gridCol w:w="1049"/>
              <w:gridCol w:w="1257"/>
              <w:gridCol w:w="1066"/>
              <w:gridCol w:w="888"/>
              <w:gridCol w:w="1164"/>
              <w:gridCol w:w="1247"/>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63" w:hRule="atLeast"/>
                <w:jc w:val="center"/>
              </w:trPr>
              <w:tc>
                <w:tcPr>
                  <w:tcW w:w="1952" w:type="dxa"/>
                  <w:vMerge w:val="restart"/>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名称</w:t>
                  </w:r>
                </w:p>
              </w:tc>
              <w:tc>
                <w:tcPr>
                  <w:tcW w:w="2306" w:type="dxa"/>
                  <w:gridSpan w:val="2"/>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坐标</w:t>
                  </w:r>
                </w:p>
              </w:tc>
              <w:tc>
                <w:tcPr>
                  <w:tcW w:w="1066" w:type="dxa"/>
                  <w:vMerge w:val="restart"/>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保护</w:t>
                  </w:r>
                </w:p>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对象</w:t>
                  </w:r>
                </w:p>
              </w:tc>
              <w:tc>
                <w:tcPr>
                  <w:tcW w:w="888" w:type="dxa"/>
                  <w:vMerge w:val="restart"/>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保护内容</w:t>
                  </w:r>
                </w:p>
              </w:tc>
              <w:tc>
                <w:tcPr>
                  <w:tcW w:w="1164" w:type="dxa"/>
                  <w:vMerge w:val="restart"/>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相对厂址方位</w:t>
                  </w:r>
                </w:p>
              </w:tc>
              <w:tc>
                <w:tcPr>
                  <w:tcW w:w="1247" w:type="dxa"/>
                  <w:vMerge w:val="restart"/>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相对厂界距离</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15" w:hRule="atLeast"/>
                <w:jc w:val="center"/>
              </w:trPr>
              <w:tc>
                <w:tcPr>
                  <w:tcW w:w="1952" w:type="dxa"/>
                  <w:vMerge w:val="continue"/>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p>
              </w:tc>
              <w:tc>
                <w:tcPr>
                  <w:tcW w:w="1049"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X</w:t>
                  </w:r>
                </w:p>
              </w:tc>
              <w:tc>
                <w:tcPr>
                  <w:tcW w:w="1257"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Y</w:t>
                  </w:r>
                </w:p>
              </w:tc>
              <w:tc>
                <w:tcPr>
                  <w:tcW w:w="1066" w:type="dxa"/>
                  <w:vMerge w:val="continue"/>
                  <w:vAlign w:val="center"/>
                </w:tcPr>
                <w:p>
                  <w:pPr>
                    <w:autoSpaceDE w:val="0"/>
                    <w:autoSpaceDN w:val="0"/>
                    <w:adjustRightInd w:val="0"/>
                    <w:spacing w:line="0" w:lineRule="atLeast"/>
                    <w:jc w:val="center"/>
                    <w:rPr>
                      <w:rFonts w:eastAsiaTheme="minorEastAsia"/>
                      <w:color w:val="auto"/>
                      <w:szCs w:val="21"/>
                      <w:lang w:val="zh-CN"/>
                    </w:rPr>
                  </w:pPr>
                </w:p>
              </w:tc>
              <w:tc>
                <w:tcPr>
                  <w:tcW w:w="888" w:type="dxa"/>
                  <w:vMerge w:val="continue"/>
                  <w:vAlign w:val="center"/>
                </w:tcPr>
                <w:p>
                  <w:pPr>
                    <w:autoSpaceDE w:val="0"/>
                    <w:autoSpaceDN w:val="0"/>
                    <w:adjustRightInd w:val="0"/>
                    <w:spacing w:line="0" w:lineRule="atLeast"/>
                    <w:jc w:val="center"/>
                    <w:rPr>
                      <w:rFonts w:eastAsiaTheme="minorEastAsia"/>
                      <w:color w:val="auto"/>
                      <w:szCs w:val="21"/>
                      <w:lang w:val="zh-CN"/>
                    </w:rPr>
                  </w:pPr>
                </w:p>
              </w:tc>
              <w:tc>
                <w:tcPr>
                  <w:tcW w:w="1164" w:type="dxa"/>
                  <w:vMerge w:val="continue"/>
                  <w:vAlign w:val="center"/>
                </w:tcPr>
                <w:p>
                  <w:pPr>
                    <w:autoSpaceDE w:val="0"/>
                    <w:autoSpaceDN w:val="0"/>
                    <w:adjustRightInd w:val="0"/>
                    <w:spacing w:line="0" w:lineRule="atLeast"/>
                    <w:jc w:val="center"/>
                    <w:rPr>
                      <w:rFonts w:eastAsiaTheme="minorEastAsia"/>
                      <w:color w:val="auto"/>
                      <w:szCs w:val="21"/>
                      <w:lang w:val="zh-CN"/>
                    </w:rPr>
                  </w:pPr>
                </w:p>
              </w:tc>
              <w:tc>
                <w:tcPr>
                  <w:tcW w:w="1247" w:type="dxa"/>
                  <w:vMerge w:val="continue"/>
                  <w:vAlign w:val="center"/>
                </w:tcPr>
                <w:p>
                  <w:pPr>
                    <w:autoSpaceDE w:val="0"/>
                    <w:autoSpaceDN w:val="0"/>
                    <w:adjustRightInd w:val="0"/>
                    <w:spacing w:line="0" w:lineRule="atLeast"/>
                    <w:jc w:val="center"/>
                    <w:rPr>
                      <w:rFonts w:eastAsiaTheme="minorEastAsia"/>
                      <w:color w:val="auto"/>
                      <w:szCs w:val="21"/>
                      <w:lang w:val="zh-CN"/>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80" w:hRule="atLeast"/>
                <w:jc w:val="center"/>
              </w:trPr>
              <w:tc>
                <w:tcPr>
                  <w:tcW w:w="1952"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金村乡初级中学</w:t>
                  </w:r>
                </w:p>
              </w:tc>
              <w:tc>
                <w:tcPr>
                  <w:tcW w:w="1049"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35.6503</w:t>
                  </w:r>
                </w:p>
              </w:tc>
              <w:tc>
                <w:tcPr>
                  <w:tcW w:w="1257"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108.2955</w:t>
                  </w:r>
                </w:p>
              </w:tc>
              <w:tc>
                <w:tcPr>
                  <w:tcW w:w="1066"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学校</w:t>
                  </w:r>
                </w:p>
              </w:tc>
              <w:tc>
                <w:tcPr>
                  <w:tcW w:w="888" w:type="dxa"/>
                  <w:vAlign w:val="center"/>
                </w:tcPr>
                <w:p>
                  <w:pPr>
                    <w:spacing w:line="0" w:lineRule="atLeast"/>
                    <w:jc w:val="center"/>
                    <w:rPr>
                      <w:rFonts w:eastAsiaTheme="minorEastAsia"/>
                      <w:color w:val="auto"/>
                      <w:szCs w:val="21"/>
                    </w:rPr>
                  </w:pPr>
                  <w:r>
                    <w:rPr>
                      <w:rFonts w:eastAsiaTheme="minorEastAsia"/>
                      <w:color w:val="auto"/>
                      <w:szCs w:val="21"/>
                      <w:lang w:val="zh-CN"/>
                    </w:rPr>
                    <w:t>人群</w:t>
                  </w:r>
                </w:p>
              </w:tc>
              <w:tc>
                <w:tcPr>
                  <w:tcW w:w="1164"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E</w:t>
                  </w:r>
                </w:p>
              </w:tc>
              <w:tc>
                <w:tcPr>
                  <w:tcW w:w="1247"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370.8m</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02" w:hRule="atLeast"/>
                <w:jc w:val="center"/>
              </w:trPr>
              <w:tc>
                <w:tcPr>
                  <w:tcW w:w="1952"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金村乡卫生院</w:t>
                  </w:r>
                </w:p>
              </w:tc>
              <w:tc>
                <w:tcPr>
                  <w:tcW w:w="1049" w:type="dxa"/>
                  <w:tcMar>
                    <w:left w:w="28" w:type="dxa"/>
                    <w:right w:w="28" w:type="dxa"/>
                  </w:tcMar>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35.6501</w:t>
                  </w:r>
                </w:p>
              </w:tc>
              <w:tc>
                <w:tcPr>
                  <w:tcW w:w="1257"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108.2935</w:t>
                  </w:r>
                </w:p>
              </w:tc>
              <w:tc>
                <w:tcPr>
                  <w:tcW w:w="1066"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医院</w:t>
                  </w:r>
                </w:p>
              </w:tc>
              <w:tc>
                <w:tcPr>
                  <w:tcW w:w="888" w:type="dxa"/>
                  <w:vAlign w:val="center"/>
                </w:tcPr>
                <w:p>
                  <w:pPr>
                    <w:spacing w:line="0" w:lineRule="atLeast"/>
                    <w:jc w:val="center"/>
                    <w:rPr>
                      <w:rFonts w:eastAsiaTheme="minorEastAsia"/>
                      <w:color w:val="auto"/>
                      <w:szCs w:val="21"/>
                    </w:rPr>
                  </w:pPr>
                  <w:r>
                    <w:rPr>
                      <w:rFonts w:eastAsiaTheme="minorEastAsia"/>
                      <w:color w:val="auto"/>
                      <w:szCs w:val="21"/>
                      <w:lang w:val="zh-CN"/>
                    </w:rPr>
                    <w:t>人群</w:t>
                  </w:r>
                </w:p>
              </w:tc>
              <w:tc>
                <w:tcPr>
                  <w:tcW w:w="1164"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E</w:t>
                  </w:r>
                </w:p>
              </w:tc>
              <w:tc>
                <w:tcPr>
                  <w:tcW w:w="1247" w:type="dxa"/>
                  <w:vAlign w:val="center"/>
                </w:tcPr>
                <w:p>
                  <w:pPr>
                    <w:autoSpaceDE w:val="0"/>
                    <w:autoSpaceDN w:val="0"/>
                    <w:adjustRightInd w:val="0"/>
                    <w:spacing w:line="0" w:lineRule="atLeast"/>
                    <w:jc w:val="center"/>
                    <w:rPr>
                      <w:rFonts w:eastAsiaTheme="minorEastAsia"/>
                      <w:color w:val="auto"/>
                      <w:szCs w:val="21"/>
                      <w:lang w:val="zh-CN"/>
                    </w:rPr>
                  </w:pPr>
                  <w:r>
                    <w:rPr>
                      <w:rFonts w:eastAsiaTheme="minorEastAsia"/>
                      <w:color w:val="auto"/>
                      <w:szCs w:val="21"/>
                      <w:lang w:val="zh-CN"/>
                    </w:rPr>
                    <w:t>250.3m</w:t>
                  </w:r>
                </w:p>
              </w:tc>
            </w:tr>
          </w:tbl>
          <w:p>
            <w:pPr>
              <w:widowControl/>
              <w:spacing w:line="360" w:lineRule="auto"/>
              <w:ind w:firstLine="472" w:firstLineChars="196"/>
              <w:rPr>
                <w:rFonts w:eastAsiaTheme="minorEastAsia"/>
                <w:b/>
                <w:color w:val="auto"/>
                <w:sz w:val="24"/>
              </w:rPr>
            </w:pPr>
            <w:r>
              <w:rPr>
                <w:rFonts w:eastAsiaTheme="minorEastAsia"/>
                <w:b/>
                <w:color w:val="auto"/>
                <w:sz w:val="24"/>
              </w:rPr>
              <w:t>3.3环境风险识别</w:t>
            </w:r>
          </w:p>
          <w:p>
            <w:pPr>
              <w:widowControl/>
              <w:spacing w:line="360" w:lineRule="auto"/>
              <w:ind w:firstLine="470" w:firstLineChars="196"/>
              <w:rPr>
                <w:rFonts w:eastAsiaTheme="minorEastAsia"/>
                <w:color w:val="auto"/>
                <w:sz w:val="24"/>
              </w:rPr>
            </w:pPr>
            <w:r>
              <w:rPr>
                <w:rFonts w:hint="eastAsia" w:ascii="宋体" w:hAnsi="宋体" w:cs="宋体"/>
                <w:color w:val="auto"/>
                <w:sz w:val="24"/>
              </w:rPr>
              <w:t>⑴</w:t>
            </w:r>
            <w:r>
              <w:rPr>
                <w:rFonts w:eastAsiaTheme="minorEastAsia"/>
                <w:color w:val="auto"/>
                <w:sz w:val="24"/>
              </w:rPr>
              <w:t>风险物质识别</w:t>
            </w:r>
          </w:p>
          <w:p>
            <w:pPr>
              <w:widowControl/>
              <w:spacing w:line="360" w:lineRule="auto"/>
              <w:ind w:firstLine="470" w:firstLineChars="196"/>
              <w:rPr>
                <w:rFonts w:eastAsiaTheme="minorEastAsia"/>
                <w:color w:val="auto"/>
                <w:kern w:val="0"/>
                <w:sz w:val="24"/>
              </w:rPr>
            </w:pPr>
            <w:r>
              <w:rPr>
                <w:rFonts w:eastAsiaTheme="minorEastAsia"/>
                <w:color w:val="auto"/>
                <w:kern w:val="0"/>
                <w:sz w:val="24"/>
              </w:rPr>
              <w:t>本项目风险物质主要为污水处理过程中需要投加10%成品次氯酸钠溶液以及处理污水时产生的硫化氢，喷洒使用的除臭剂年使用量为5000ml，用量较少，不构成环境风险，具体详见表75。</w:t>
            </w:r>
          </w:p>
          <w:p>
            <w:pPr>
              <w:widowControl/>
              <w:spacing w:line="360" w:lineRule="auto"/>
              <w:jc w:val="center"/>
              <w:rPr>
                <w:rFonts w:eastAsiaTheme="minorEastAsia"/>
                <w:b/>
                <w:color w:val="auto"/>
                <w:kern w:val="0"/>
                <w:sz w:val="24"/>
              </w:rPr>
            </w:pPr>
            <w:r>
              <w:rPr>
                <w:rFonts w:eastAsiaTheme="minorEastAsia"/>
                <w:b/>
                <w:color w:val="auto"/>
                <w:kern w:val="0"/>
                <w:sz w:val="24"/>
              </w:rPr>
              <w:t>表75项目药剂使用情况一览表</w:t>
            </w:r>
          </w:p>
          <w:tbl>
            <w:tblPr>
              <w:tblStyle w:val="38"/>
              <w:tblW w:w="8451"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2568"/>
              <w:gridCol w:w="2027"/>
              <w:gridCol w:w="285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1005" w:type="dxa"/>
                  <w:vAlign w:val="center"/>
                </w:tcPr>
                <w:p>
                  <w:pPr>
                    <w:jc w:val="center"/>
                    <w:rPr>
                      <w:rFonts w:eastAsiaTheme="minorEastAsia"/>
                      <w:b/>
                      <w:color w:val="auto"/>
                      <w:szCs w:val="21"/>
                    </w:rPr>
                  </w:pPr>
                  <w:r>
                    <w:rPr>
                      <w:rFonts w:eastAsiaTheme="minorEastAsia"/>
                      <w:b/>
                      <w:color w:val="auto"/>
                      <w:szCs w:val="21"/>
                    </w:rPr>
                    <w:t>序号</w:t>
                  </w:r>
                </w:p>
              </w:tc>
              <w:tc>
                <w:tcPr>
                  <w:tcW w:w="2568" w:type="dxa"/>
                  <w:vAlign w:val="center"/>
                </w:tcPr>
                <w:p>
                  <w:pPr>
                    <w:jc w:val="center"/>
                    <w:rPr>
                      <w:rFonts w:eastAsiaTheme="minorEastAsia"/>
                      <w:b/>
                      <w:color w:val="auto"/>
                      <w:szCs w:val="21"/>
                    </w:rPr>
                  </w:pPr>
                  <w:r>
                    <w:rPr>
                      <w:rFonts w:eastAsiaTheme="minorEastAsia"/>
                      <w:b/>
                      <w:color w:val="auto"/>
                      <w:szCs w:val="21"/>
                    </w:rPr>
                    <w:t>名称</w:t>
                  </w:r>
                </w:p>
              </w:tc>
              <w:tc>
                <w:tcPr>
                  <w:tcW w:w="2027" w:type="dxa"/>
                  <w:vAlign w:val="center"/>
                </w:tcPr>
                <w:p>
                  <w:pPr>
                    <w:jc w:val="center"/>
                    <w:rPr>
                      <w:rFonts w:eastAsiaTheme="minorEastAsia"/>
                      <w:b/>
                      <w:color w:val="auto"/>
                      <w:szCs w:val="21"/>
                    </w:rPr>
                  </w:pPr>
                  <w:r>
                    <w:rPr>
                      <w:rFonts w:eastAsiaTheme="minorEastAsia"/>
                      <w:b/>
                      <w:color w:val="auto"/>
                      <w:szCs w:val="21"/>
                    </w:rPr>
                    <w:t>产生量</w:t>
                  </w:r>
                </w:p>
              </w:tc>
              <w:tc>
                <w:tcPr>
                  <w:tcW w:w="2851" w:type="dxa"/>
                </w:tcPr>
                <w:p>
                  <w:pPr>
                    <w:jc w:val="center"/>
                    <w:rPr>
                      <w:rFonts w:eastAsiaTheme="minorEastAsia"/>
                      <w:b/>
                      <w:color w:val="auto"/>
                      <w:szCs w:val="21"/>
                    </w:rPr>
                  </w:pPr>
                  <w:r>
                    <w:rPr>
                      <w:rFonts w:eastAsiaTheme="minorEastAsia"/>
                      <w:b/>
                      <w:color w:val="auto"/>
                      <w:szCs w:val="21"/>
                    </w:rPr>
                    <w:t>来源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005" w:type="dxa"/>
                  <w:vAlign w:val="center"/>
                </w:tcPr>
                <w:p>
                  <w:pPr>
                    <w:jc w:val="center"/>
                    <w:rPr>
                      <w:rFonts w:eastAsiaTheme="minorEastAsia"/>
                      <w:color w:val="auto"/>
                      <w:szCs w:val="21"/>
                    </w:rPr>
                  </w:pPr>
                  <w:r>
                    <w:rPr>
                      <w:rFonts w:eastAsiaTheme="minorEastAsia"/>
                      <w:color w:val="auto"/>
                      <w:szCs w:val="21"/>
                    </w:rPr>
                    <w:t>1</w:t>
                  </w:r>
                </w:p>
              </w:tc>
              <w:tc>
                <w:tcPr>
                  <w:tcW w:w="2568" w:type="dxa"/>
                  <w:vAlign w:val="center"/>
                </w:tcPr>
                <w:p>
                  <w:pPr>
                    <w:jc w:val="center"/>
                    <w:rPr>
                      <w:rFonts w:eastAsiaTheme="minorEastAsia"/>
                      <w:color w:val="auto"/>
                      <w:szCs w:val="21"/>
                    </w:rPr>
                  </w:pPr>
                  <w:r>
                    <w:rPr>
                      <w:rFonts w:eastAsiaTheme="minorEastAsia"/>
                      <w:color w:val="auto"/>
                      <w:szCs w:val="21"/>
                    </w:rPr>
                    <w:t>10%成品次氯酸钠溶液</w:t>
                  </w:r>
                </w:p>
              </w:tc>
              <w:tc>
                <w:tcPr>
                  <w:tcW w:w="2027" w:type="dxa"/>
                  <w:vAlign w:val="center"/>
                </w:tcPr>
                <w:p>
                  <w:pPr>
                    <w:jc w:val="center"/>
                    <w:rPr>
                      <w:rFonts w:eastAsiaTheme="minorEastAsia"/>
                      <w:color w:val="auto"/>
                      <w:szCs w:val="21"/>
                    </w:rPr>
                  </w:pPr>
                  <w:r>
                    <w:rPr>
                      <w:rFonts w:eastAsiaTheme="minorEastAsia"/>
                      <w:color w:val="auto"/>
                      <w:szCs w:val="21"/>
                    </w:rPr>
                    <w:t>0.16kg/d</w:t>
                  </w:r>
                </w:p>
              </w:tc>
              <w:tc>
                <w:tcPr>
                  <w:tcW w:w="2851"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污水消毒制备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1005" w:type="dxa"/>
                  <w:vAlign w:val="center"/>
                </w:tcPr>
                <w:p>
                  <w:pPr>
                    <w:jc w:val="center"/>
                    <w:rPr>
                      <w:rFonts w:eastAsiaTheme="minorEastAsia"/>
                      <w:color w:val="auto"/>
                      <w:szCs w:val="21"/>
                    </w:rPr>
                  </w:pPr>
                  <w:r>
                    <w:rPr>
                      <w:rFonts w:eastAsiaTheme="minorEastAsia"/>
                      <w:color w:val="auto"/>
                      <w:szCs w:val="21"/>
                    </w:rPr>
                    <w:t>2</w:t>
                  </w:r>
                </w:p>
              </w:tc>
              <w:tc>
                <w:tcPr>
                  <w:tcW w:w="2568" w:type="dxa"/>
                  <w:vAlign w:val="center"/>
                </w:tcPr>
                <w:p>
                  <w:pPr>
                    <w:jc w:val="center"/>
                    <w:rPr>
                      <w:rFonts w:eastAsiaTheme="minorEastAsia"/>
                      <w:color w:val="auto"/>
                      <w:szCs w:val="21"/>
                    </w:rPr>
                  </w:pPr>
                  <w:r>
                    <w:rPr>
                      <w:rFonts w:eastAsiaTheme="minorEastAsia"/>
                      <w:color w:val="auto"/>
                      <w:szCs w:val="21"/>
                    </w:rPr>
                    <w:t>硫化氢</w:t>
                  </w:r>
                </w:p>
              </w:tc>
              <w:tc>
                <w:tcPr>
                  <w:tcW w:w="2027" w:type="dxa"/>
                  <w:vAlign w:val="center"/>
                </w:tcPr>
                <w:p>
                  <w:pPr>
                    <w:jc w:val="center"/>
                    <w:rPr>
                      <w:rFonts w:eastAsiaTheme="minorEastAsia"/>
                      <w:color w:val="auto"/>
                      <w:szCs w:val="21"/>
                    </w:rPr>
                  </w:pPr>
                  <w:r>
                    <w:rPr>
                      <w:rFonts w:eastAsiaTheme="minorEastAsia"/>
                      <w:color w:val="auto"/>
                      <w:szCs w:val="21"/>
                    </w:rPr>
                    <w:t>7.611×10</w:t>
                  </w:r>
                  <w:r>
                    <w:rPr>
                      <w:rFonts w:eastAsiaTheme="minorEastAsia"/>
                      <w:color w:val="auto"/>
                      <w:szCs w:val="21"/>
                      <w:vertAlign w:val="superscript"/>
                    </w:rPr>
                    <w:t>-4</w:t>
                  </w:r>
                  <w:r>
                    <w:rPr>
                      <w:rFonts w:eastAsiaTheme="minorEastAsia"/>
                      <w:color w:val="auto"/>
                      <w:szCs w:val="21"/>
                    </w:rPr>
                    <w:t xml:space="preserve"> t/a</w:t>
                  </w:r>
                </w:p>
              </w:tc>
              <w:tc>
                <w:tcPr>
                  <w:tcW w:w="2851"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处理工艺产生</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1005" w:type="dxa"/>
                  <w:vAlign w:val="center"/>
                </w:tcPr>
                <w:p>
                  <w:pPr>
                    <w:jc w:val="center"/>
                    <w:rPr>
                      <w:rFonts w:eastAsiaTheme="minorEastAsia"/>
                      <w:color w:val="auto"/>
                      <w:szCs w:val="21"/>
                    </w:rPr>
                  </w:pPr>
                  <w:r>
                    <w:rPr>
                      <w:rFonts w:eastAsiaTheme="minorEastAsia"/>
                      <w:color w:val="auto"/>
                      <w:szCs w:val="21"/>
                    </w:rPr>
                    <w:t>3</w:t>
                  </w:r>
                </w:p>
              </w:tc>
              <w:tc>
                <w:tcPr>
                  <w:tcW w:w="2568" w:type="dxa"/>
                  <w:vAlign w:val="center"/>
                </w:tcPr>
                <w:p>
                  <w:pPr>
                    <w:jc w:val="center"/>
                    <w:rPr>
                      <w:rFonts w:eastAsiaTheme="minorEastAsia"/>
                      <w:color w:val="auto"/>
                      <w:szCs w:val="21"/>
                    </w:rPr>
                  </w:pPr>
                  <w:r>
                    <w:rPr>
                      <w:rFonts w:eastAsiaTheme="minorEastAsia"/>
                      <w:color w:val="auto"/>
                      <w:szCs w:val="21"/>
                    </w:rPr>
                    <w:t>除臭剂</w:t>
                  </w:r>
                </w:p>
              </w:tc>
              <w:tc>
                <w:tcPr>
                  <w:tcW w:w="2027" w:type="dxa"/>
                  <w:vAlign w:val="center"/>
                </w:tcPr>
                <w:p>
                  <w:pPr>
                    <w:jc w:val="center"/>
                    <w:rPr>
                      <w:rFonts w:eastAsiaTheme="minorEastAsia"/>
                      <w:color w:val="auto"/>
                      <w:szCs w:val="21"/>
                    </w:rPr>
                  </w:pPr>
                  <w:r>
                    <w:rPr>
                      <w:rFonts w:eastAsiaTheme="minorEastAsia"/>
                      <w:color w:val="auto"/>
                      <w:szCs w:val="21"/>
                    </w:rPr>
                    <w:t>5000ml</w:t>
                  </w:r>
                </w:p>
              </w:tc>
              <w:tc>
                <w:tcPr>
                  <w:tcW w:w="2851"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喷洒除臭产生</w:t>
                  </w:r>
                </w:p>
              </w:tc>
            </w:tr>
          </w:tbl>
          <w:p>
            <w:pPr>
              <w:spacing w:line="480" w:lineRule="exact"/>
              <w:ind w:firstLine="480" w:firstLineChars="200"/>
              <w:rPr>
                <w:rFonts w:eastAsiaTheme="minorEastAsia"/>
                <w:color w:val="auto"/>
                <w:sz w:val="24"/>
              </w:rPr>
            </w:pPr>
            <w:r>
              <w:rPr>
                <w:rFonts w:eastAsiaTheme="minorEastAsia"/>
                <w:color w:val="auto"/>
                <w:sz w:val="24"/>
              </w:rPr>
              <w:t>依据《危险化学品目录》（2015年）、《常用危险化学品的分类及标志》（GB13690-92）、《职业性接触毒物危害程度分级》（GB5044-85）识别：次氯酸钠属于腐蚀品。根据（HJ/T169-2004）有关规定，本项目可能发生的风险类型为泄漏、火灾及爆炸。本项目所涉及的3种物质对人体和环境均有不同程度的伤害，严重时甚至会危及生命。各物质的理化性质及毒理性质见表76。</w:t>
            </w:r>
          </w:p>
          <w:p>
            <w:pPr>
              <w:spacing w:beforeLines="50" w:afterLines="50"/>
              <w:jc w:val="center"/>
              <w:rPr>
                <w:rFonts w:eastAsiaTheme="minorEastAsia"/>
                <w:b/>
                <w:color w:val="auto"/>
                <w:sz w:val="24"/>
              </w:rPr>
            </w:pPr>
            <w:r>
              <w:rPr>
                <w:rFonts w:eastAsiaTheme="minorEastAsia"/>
                <w:b/>
                <w:color w:val="auto"/>
                <w:sz w:val="24"/>
              </w:rPr>
              <w:t>表76次氯酸钠的理化性质及毒理性质</w:t>
            </w:r>
          </w:p>
          <w:tbl>
            <w:tblPr>
              <w:tblStyle w:val="38"/>
              <w:tblW w:w="8623" w:type="dxa"/>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76"/>
              <w:gridCol w:w="2385"/>
              <w:gridCol w:w="1126"/>
              <w:gridCol w:w="3936"/>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6" w:type="dxa"/>
                  <w:vAlign w:val="center"/>
                </w:tcPr>
                <w:p>
                  <w:pPr>
                    <w:widowControl/>
                    <w:jc w:val="center"/>
                    <w:rPr>
                      <w:rFonts w:eastAsiaTheme="minorEastAsia"/>
                      <w:b/>
                      <w:color w:val="auto"/>
                      <w:kern w:val="0"/>
                      <w:szCs w:val="21"/>
                    </w:rPr>
                  </w:pPr>
                  <w:r>
                    <w:rPr>
                      <w:rFonts w:eastAsiaTheme="minorEastAsia"/>
                      <w:b/>
                      <w:color w:val="auto"/>
                      <w:kern w:val="0"/>
                      <w:szCs w:val="21"/>
                    </w:rPr>
                    <w:t>分子式</w:t>
                  </w:r>
                </w:p>
              </w:tc>
              <w:tc>
                <w:tcPr>
                  <w:tcW w:w="2385" w:type="dxa"/>
                  <w:vAlign w:val="center"/>
                </w:tcPr>
                <w:p>
                  <w:pPr>
                    <w:widowControl/>
                    <w:jc w:val="center"/>
                    <w:rPr>
                      <w:rFonts w:eastAsiaTheme="minorEastAsia"/>
                      <w:color w:val="auto"/>
                      <w:kern w:val="0"/>
                      <w:szCs w:val="21"/>
                    </w:rPr>
                  </w:pPr>
                  <w:r>
                    <w:rPr>
                      <w:rFonts w:eastAsiaTheme="minorEastAsia"/>
                      <w:color w:val="auto"/>
                      <w:kern w:val="0"/>
                      <w:szCs w:val="21"/>
                    </w:rPr>
                    <w:t>NaClO</w:t>
                  </w:r>
                </w:p>
              </w:tc>
              <w:tc>
                <w:tcPr>
                  <w:tcW w:w="1126" w:type="dxa"/>
                  <w:vAlign w:val="center"/>
                </w:tcPr>
                <w:p>
                  <w:pPr>
                    <w:widowControl/>
                    <w:jc w:val="center"/>
                    <w:rPr>
                      <w:rFonts w:eastAsiaTheme="minorEastAsia"/>
                      <w:b/>
                      <w:color w:val="auto"/>
                      <w:kern w:val="0"/>
                      <w:szCs w:val="21"/>
                    </w:rPr>
                  </w:pPr>
                  <w:r>
                    <w:rPr>
                      <w:rFonts w:eastAsiaTheme="minorEastAsia"/>
                      <w:b/>
                      <w:color w:val="auto"/>
                      <w:kern w:val="0"/>
                      <w:szCs w:val="21"/>
                    </w:rPr>
                    <w:t>性状</w:t>
                  </w:r>
                </w:p>
              </w:tc>
              <w:tc>
                <w:tcPr>
                  <w:tcW w:w="3936" w:type="dxa"/>
                  <w:vAlign w:val="center"/>
                </w:tcPr>
                <w:p>
                  <w:pPr>
                    <w:widowControl/>
                    <w:jc w:val="center"/>
                    <w:rPr>
                      <w:rFonts w:eastAsiaTheme="minorEastAsia"/>
                      <w:color w:val="auto"/>
                      <w:kern w:val="0"/>
                      <w:szCs w:val="21"/>
                    </w:rPr>
                  </w:pPr>
                  <w:r>
                    <w:rPr>
                      <w:rFonts w:eastAsiaTheme="minorEastAsia"/>
                      <w:color w:val="auto"/>
                      <w:kern w:val="0"/>
                      <w:szCs w:val="21"/>
                    </w:rPr>
                    <w:t>微黄溶液，有似氯气的气味</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6" w:type="dxa"/>
                  <w:vAlign w:val="center"/>
                </w:tcPr>
                <w:p>
                  <w:pPr>
                    <w:widowControl/>
                    <w:jc w:val="center"/>
                    <w:rPr>
                      <w:rFonts w:eastAsiaTheme="minorEastAsia"/>
                      <w:b/>
                      <w:color w:val="auto"/>
                      <w:kern w:val="0"/>
                      <w:szCs w:val="21"/>
                    </w:rPr>
                  </w:pPr>
                  <w:r>
                    <w:rPr>
                      <w:rFonts w:eastAsiaTheme="minorEastAsia"/>
                      <w:b/>
                      <w:color w:val="auto"/>
                      <w:kern w:val="0"/>
                      <w:szCs w:val="21"/>
                    </w:rPr>
                    <w:t>分子量</w:t>
                  </w:r>
                </w:p>
              </w:tc>
              <w:tc>
                <w:tcPr>
                  <w:tcW w:w="2385" w:type="dxa"/>
                  <w:vAlign w:val="center"/>
                </w:tcPr>
                <w:p>
                  <w:pPr>
                    <w:widowControl/>
                    <w:jc w:val="center"/>
                    <w:rPr>
                      <w:rFonts w:eastAsiaTheme="minorEastAsia"/>
                      <w:color w:val="auto"/>
                      <w:kern w:val="0"/>
                      <w:szCs w:val="21"/>
                    </w:rPr>
                  </w:pPr>
                  <w:r>
                    <w:rPr>
                      <w:rFonts w:eastAsiaTheme="minorEastAsia"/>
                      <w:color w:val="auto"/>
                      <w:szCs w:val="21"/>
                    </w:rPr>
                    <w:t>74</w:t>
                  </w:r>
                </w:p>
              </w:tc>
              <w:tc>
                <w:tcPr>
                  <w:tcW w:w="1126" w:type="dxa"/>
                  <w:vAlign w:val="center"/>
                </w:tcPr>
                <w:p>
                  <w:pPr>
                    <w:widowControl/>
                    <w:jc w:val="center"/>
                    <w:rPr>
                      <w:rFonts w:eastAsiaTheme="minorEastAsia"/>
                      <w:b/>
                      <w:color w:val="auto"/>
                      <w:kern w:val="0"/>
                      <w:szCs w:val="21"/>
                    </w:rPr>
                  </w:pPr>
                  <w:r>
                    <w:rPr>
                      <w:rFonts w:eastAsiaTheme="minorEastAsia"/>
                      <w:b/>
                      <w:color w:val="auto"/>
                      <w:kern w:val="0"/>
                      <w:szCs w:val="21"/>
                    </w:rPr>
                    <w:t>闪点</w:t>
                  </w:r>
                </w:p>
              </w:tc>
              <w:tc>
                <w:tcPr>
                  <w:tcW w:w="3936" w:type="dxa"/>
                  <w:vAlign w:val="center"/>
                </w:tcPr>
                <w:p>
                  <w:pPr>
                    <w:widowControl/>
                    <w:jc w:val="center"/>
                    <w:rPr>
                      <w:rFonts w:eastAsiaTheme="minorEastAsia"/>
                      <w:color w:val="auto"/>
                      <w:kern w:val="0"/>
                      <w:szCs w:val="21"/>
                    </w:rPr>
                  </w:pPr>
                  <w:r>
                    <w:rPr>
                      <w:rFonts w:eastAsiaTheme="minorEastAsia"/>
                      <w:color w:val="auto"/>
                      <w:szCs w:val="21"/>
                    </w:rPr>
                    <w:t>无意义</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6" w:type="dxa"/>
                  <w:vAlign w:val="center"/>
                </w:tcPr>
                <w:p>
                  <w:pPr>
                    <w:widowControl/>
                    <w:jc w:val="center"/>
                    <w:rPr>
                      <w:rFonts w:eastAsiaTheme="minorEastAsia"/>
                      <w:b/>
                      <w:color w:val="auto"/>
                      <w:kern w:val="0"/>
                      <w:szCs w:val="21"/>
                    </w:rPr>
                  </w:pPr>
                  <w:r>
                    <w:rPr>
                      <w:rFonts w:eastAsiaTheme="minorEastAsia"/>
                      <w:b/>
                      <w:color w:val="auto"/>
                      <w:kern w:val="0"/>
                      <w:szCs w:val="21"/>
                    </w:rPr>
                    <w:t>熔点</w:t>
                  </w:r>
                </w:p>
              </w:tc>
              <w:tc>
                <w:tcPr>
                  <w:tcW w:w="2385" w:type="dxa"/>
                  <w:vAlign w:val="center"/>
                </w:tcPr>
                <w:p>
                  <w:pPr>
                    <w:widowControl/>
                    <w:jc w:val="center"/>
                    <w:rPr>
                      <w:rFonts w:eastAsiaTheme="minorEastAsia"/>
                      <w:color w:val="auto"/>
                      <w:kern w:val="0"/>
                      <w:szCs w:val="21"/>
                    </w:rPr>
                  </w:pPr>
                  <w:r>
                    <w:rPr>
                      <w:rFonts w:eastAsiaTheme="minorEastAsia"/>
                      <w:color w:val="auto"/>
                      <w:szCs w:val="21"/>
                    </w:rPr>
                    <w:t>-6</w:t>
                  </w:r>
                  <w:r>
                    <w:rPr>
                      <w:rFonts w:hint="eastAsia" w:ascii="宋体" w:hAnsi="宋体" w:cs="宋体"/>
                      <w:color w:val="auto"/>
                      <w:szCs w:val="21"/>
                    </w:rPr>
                    <w:t>℃</w:t>
                  </w:r>
                  <w:r>
                    <w:rPr>
                      <w:rFonts w:eastAsiaTheme="minorEastAsia"/>
                      <w:color w:val="auto"/>
                      <w:szCs w:val="21"/>
                    </w:rPr>
                    <w:t>（100%）</w:t>
                  </w:r>
                </w:p>
              </w:tc>
              <w:tc>
                <w:tcPr>
                  <w:tcW w:w="1126" w:type="dxa"/>
                  <w:vAlign w:val="center"/>
                </w:tcPr>
                <w:p>
                  <w:pPr>
                    <w:widowControl/>
                    <w:jc w:val="center"/>
                    <w:rPr>
                      <w:rFonts w:eastAsiaTheme="minorEastAsia"/>
                      <w:b/>
                      <w:color w:val="auto"/>
                      <w:kern w:val="0"/>
                      <w:szCs w:val="21"/>
                    </w:rPr>
                  </w:pPr>
                  <w:r>
                    <w:rPr>
                      <w:rFonts w:eastAsiaTheme="minorEastAsia"/>
                      <w:b/>
                      <w:color w:val="auto"/>
                      <w:kern w:val="0"/>
                      <w:szCs w:val="21"/>
                    </w:rPr>
                    <w:t>沸点</w:t>
                  </w:r>
                </w:p>
              </w:tc>
              <w:tc>
                <w:tcPr>
                  <w:tcW w:w="3936" w:type="dxa"/>
                  <w:vAlign w:val="center"/>
                </w:tcPr>
                <w:p>
                  <w:pPr>
                    <w:widowControl/>
                    <w:jc w:val="center"/>
                    <w:rPr>
                      <w:rFonts w:eastAsiaTheme="minorEastAsia"/>
                      <w:color w:val="auto"/>
                      <w:kern w:val="0"/>
                      <w:szCs w:val="21"/>
                    </w:rPr>
                  </w:pPr>
                  <w:r>
                    <w:rPr>
                      <w:rFonts w:eastAsiaTheme="minorEastAsia"/>
                      <w:color w:val="auto"/>
                      <w:szCs w:val="21"/>
                    </w:rPr>
                    <w:t>102.2</w:t>
                  </w:r>
                  <w:r>
                    <w:rPr>
                      <w:rFonts w:hint="eastAsia" w:ascii="宋体" w:hAnsi="宋体" w:cs="宋体"/>
                      <w:color w:val="auto"/>
                      <w:szCs w:val="21"/>
                    </w:rPr>
                    <w:t>℃</w:t>
                  </w:r>
                  <w:r>
                    <w:rPr>
                      <w:rFonts w:eastAsiaTheme="minorEastAsia"/>
                      <w:color w:val="auto"/>
                      <w:szCs w:val="21"/>
                    </w:rPr>
                    <w:t>（20%）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6" w:type="dxa"/>
                  <w:vAlign w:val="center"/>
                </w:tcPr>
                <w:p>
                  <w:pPr>
                    <w:widowControl/>
                    <w:jc w:val="center"/>
                    <w:rPr>
                      <w:rFonts w:eastAsiaTheme="minorEastAsia"/>
                      <w:b/>
                      <w:color w:val="auto"/>
                      <w:kern w:val="0"/>
                      <w:szCs w:val="21"/>
                    </w:rPr>
                  </w:pPr>
                  <w:r>
                    <w:rPr>
                      <w:rFonts w:eastAsiaTheme="minorEastAsia"/>
                      <w:b/>
                      <w:color w:val="auto"/>
                      <w:kern w:val="0"/>
                      <w:szCs w:val="21"/>
                    </w:rPr>
                    <w:t>密度</w:t>
                  </w:r>
                </w:p>
              </w:tc>
              <w:tc>
                <w:tcPr>
                  <w:tcW w:w="2385" w:type="dxa"/>
                  <w:vAlign w:val="center"/>
                </w:tcPr>
                <w:p>
                  <w:pPr>
                    <w:widowControl/>
                    <w:jc w:val="center"/>
                    <w:rPr>
                      <w:rFonts w:eastAsiaTheme="minorEastAsia"/>
                      <w:color w:val="auto"/>
                      <w:kern w:val="0"/>
                      <w:szCs w:val="21"/>
                    </w:rPr>
                  </w:pPr>
                  <w:r>
                    <w:rPr>
                      <w:rFonts w:eastAsiaTheme="minorEastAsia"/>
                      <w:color w:val="auto"/>
                      <w:szCs w:val="21"/>
                    </w:rPr>
                    <w:t>相对密度(水=1)1.10</w:t>
                  </w:r>
                </w:p>
              </w:tc>
              <w:tc>
                <w:tcPr>
                  <w:tcW w:w="1126" w:type="dxa"/>
                  <w:vAlign w:val="center"/>
                </w:tcPr>
                <w:p>
                  <w:pPr>
                    <w:widowControl/>
                    <w:jc w:val="center"/>
                    <w:rPr>
                      <w:rFonts w:eastAsiaTheme="minorEastAsia"/>
                      <w:b/>
                      <w:color w:val="auto"/>
                      <w:kern w:val="0"/>
                      <w:szCs w:val="21"/>
                    </w:rPr>
                  </w:pPr>
                  <w:r>
                    <w:rPr>
                      <w:rFonts w:eastAsiaTheme="minorEastAsia"/>
                      <w:b/>
                      <w:color w:val="auto"/>
                      <w:kern w:val="0"/>
                      <w:szCs w:val="21"/>
                    </w:rPr>
                    <w:t>溶解性</w:t>
                  </w:r>
                </w:p>
              </w:tc>
              <w:tc>
                <w:tcPr>
                  <w:tcW w:w="3936" w:type="dxa"/>
                  <w:vAlign w:val="center"/>
                </w:tcPr>
                <w:p>
                  <w:pPr>
                    <w:widowControl/>
                    <w:jc w:val="center"/>
                    <w:rPr>
                      <w:rFonts w:eastAsiaTheme="minorEastAsia"/>
                      <w:color w:val="auto"/>
                      <w:kern w:val="0"/>
                      <w:szCs w:val="21"/>
                    </w:rPr>
                  </w:pPr>
                  <w:r>
                    <w:rPr>
                      <w:rFonts w:eastAsiaTheme="minorEastAsia"/>
                      <w:color w:val="auto"/>
                      <w:kern w:val="0"/>
                      <w:szCs w:val="21"/>
                    </w:rPr>
                    <w:t>无意义</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6" w:type="dxa"/>
                  <w:vAlign w:val="center"/>
                </w:tcPr>
                <w:p>
                  <w:pPr>
                    <w:widowControl/>
                    <w:jc w:val="center"/>
                    <w:rPr>
                      <w:rFonts w:eastAsiaTheme="minorEastAsia"/>
                      <w:b/>
                      <w:color w:val="auto"/>
                      <w:kern w:val="0"/>
                      <w:szCs w:val="21"/>
                    </w:rPr>
                  </w:pPr>
                  <w:r>
                    <w:rPr>
                      <w:rFonts w:eastAsiaTheme="minorEastAsia"/>
                      <w:b/>
                      <w:color w:val="auto"/>
                      <w:kern w:val="0"/>
                      <w:szCs w:val="21"/>
                    </w:rPr>
                    <w:t>危险标记</w:t>
                  </w:r>
                </w:p>
              </w:tc>
              <w:tc>
                <w:tcPr>
                  <w:tcW w:w="2385" w:type="dxa"/>
                  <w:vAlign w:val="center"/>
                </w:tcPr>
                <w:p>
                  <w:pPr>
                    <w:widowControl/>
                    <w:jc w:val="center"/>
                    <w:rPr>
                      <w:rFonts w:eastAsiaTheme="minorEastAsia"/>
                      <w:color w:val="auto"/>
                      <w:kern w:val="0"/>
                      <w:szCs w:val="21"/>
                    </w:rPr>
                  </w:pPr>
                  <w:r>
                    <w:rPr>
                      <w:rFonts w:eastAsiaTheme="minorEastAsia"/>
                      <w:color w:val="auto"/>
                      <w:kern w:val="0"/>
                      <w:szCs w:val="21"/>
                    </w:rPr>
                    <w:t>20（酸性腐蚀品）</w:t>
                  </w:r>
                </w:p>
              </w:tc>
              <w:tc>
                <w:tcPr>
                  <w:tcW w:w="1126" w:type="dxa"/>
                  <w:vAlign w:val="center"/>
                </w:tcPr>
                <w:p>
                  <w:pPr>
                    <w:widowControl/>
                    <w:jc w:val="center"/>
                    <w:rPr>
                      <w:rFonts w:eastAsiaTheme="minorEastAsia"/>
                      <w:b/>
                      <w:color w:val="auto"/>
                      <w:kern w:val="0"/>
                      <w:szCs w:val="21"/>
                    </w:rPr>
                  </w:pPr>
                  <w:r>
                    <w:rPr>
                      <w:rFonts w:eastAsiaTheme="minorEastAsia"/>
                      <w:b/>
                      <w:color w:val="auto"/>
                      <w:kern w:val="0"/>
                      <w:szCs w:val="21"/>
                    </w:rPr>
                    <w:t>稳定性</w:t>
                  </w:r>
                </w:p>
              </w:tc>
              <w:tc>
                <w:tcPr>
                  <w:tcW w:w="3936" w:type="dxa"/>
                  <w:vAlign w:val="center"/>
                </w:tcPr>
                <w:p>
                  <w:pPr>
                    <w:widowControl/>
                    <w:jc w:val="center"/>
                    <w:rPr>
                      <w:rFonts w:eastAsiaTheme="minorEastAsia"/>
                      <w:color w:val="auto"/>
                      <w:kern w:val="0"/>
                      <w:szCs w:val="21"/>
                    </w:rPr>
                  </w:pPr>
                  <w:r>
                    <w:rPr>
                      <w:rFonts w:eastAsiaTheme="minorEastAsia"/>
                      <w:color w:val="auto"/>
                      <w:szCs w:val="21"/>
                    </w:rPr>
                    <w:t>稳定</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6" w:type="dxa"/>
                  <w:vAlign w:val="center"/>
                </w:tcPr>
                <w:p>
                  <w:pPr>
                    <w:widowControl/>
                    <w:jc w:val="center"/>
                    <w:rPr>
                      <w:rFonts w:eastAsiaTheme="minorEastAsia"/>
                      <w:b/>
                      <w:color w:val="auto"/>
                      <w:kern w:val="0"/>
                      <w:szCs w:val="21"/>
                    </w:rPr>
                  </w:pPr>
                  <w:r>
                    <w:rPr>
                      <w:rFonts w:eastAsiaTheme="minorEastAsia"/>
                      <w:b/>
                      <w:color w:val="auto"/>
                      <w:kern w:val="0"/>
                      <w:szCs w:val="21"/>
                    </w:rPr>
                    <w:t>主要用途</w:t>
                  </w:r>
                </w:p>
              </w:tc>
              <w:tc>
                <w:tcPr>
                  <w:tcW w:w="7447" w:type="dxa"/>
                  <w:gridSpan w:val="3"/>
                  <w:vAlign w:val="center"/>
                </w:tcPr>
                <w:p>
                  <w:pPr>
                    <w:widowControl/>
                    <w:rPr>
                      <w:rFonts w:eastAsiaTheme="minorEastAsia"/>
                      <w:color w:val="auto"/>
                      <w:szCs w:val="21"/>
                    </w:rPr>
                  </w:pPr>
                  <w:r>
                    <w:rPr>
                      <w:rFonts w:eastAsiaTheme="minorEastAsia"/>
                      <w:color w:val="auto"/>
                      <w:kern w:val="0"/>
                      <w:szCs w:val="21"/>
                    </w:rPr>
                    <w:t>水的净化、消毒剂、纸浆漂白、医药工业中用制氯胺</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6" w:type="dxa"/>
                  <w:vAlign w:val="center"/>
                </w:tcPr>
                <w:p>
                  <w:pPr>
                    <w:widowControl/>
                    <w:jc w:val="center"/>
                    <w:rPr>
                      <w:rFonts w:eastAsiaTheme="minorEastAsia"/>
                      <w:b/>
                      <w:color w:val="auto"/>
                      <w:kern w:val="0"/>
                      <w:szCs w:val="21"/>
                    </w:rPr>
                  </w:pPr>
                  <w:r>
                    <w:rPr>
                      <w:rFonts w:eastAsiaTheme="minorEastAsia"/>
                      <w:b/>
                      <w:color w:val="auto"/>
                      <w:kern w:val="0"/>
                      <w:szCs w:val="21"/>
                    </w:rPr>
                    <w:t>危险特性</w:t>
                  </w:r>
                </w:p>
              </w:tc>
              <w:tc>
                <w:tcPr>
                  <w:tcW w:w="7447" w:type="dxa"/>
                  <w:gridSpan w:val="3"/>
                  <w:vAlign w:val="center"/>
                </w:tcPr>
                <w:p>
                  <w:pPr>
                    <w:widowControl/>
                    <w:rPr>
                      <w:rFonts w:eastAsiaTheme="minorEastAsia"/>
                      <w:color w:val="auto"/>
                      <w:kern w:val="0"/>
                      <w:szCs w:val="21"/>
                    </w:rPr>
                  </w:pPr>
                  <w:r>
                    <w:rPr>
                      <w:rFonts w:eastAsiaTheme="minorEastAsia"/>
                      <w:color w:val="auto"/>
                      <w:kern w:val="0"/>
                      <w:szCs w:val="21"/>
                    </w:rPr>
                    <w:t>腐蚀品</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6" w:type="dxa"/>
                  <w:vAlign w:val="center"/>
                </w:tcPr>
                <w:p>
                  <w:pPr>
                    <w:widowControl/>
                    <w:jc w:val="center"/>
                    <w:rPr>
                      <w:rFonts w:eastAsiaTheme="minorEastAsia"/>
                      <w:b/>
                      <w:color w:val="auto"/>
                      <w:kern w:val="0"/>
                      <w:szCs w:val="21"/>
                    </w:rPr>
                  </w:pPr>
                  <w:r>
                    <w:rPr>
                      <w:rFonts w:eastAsiaTheme="minorEastAsia"/>
                      <w:b/>
                      <w:color w:val="auto"/>
                      <w:kern w:val="0"/>
                      <w:szCs w:val="21"/>
                    </w:rPr>
                    <w:t>侵入途径</w:t>
                  </w:r>
                </w:p>
              </w:tc>
              <w:tc>
                <w:tcPr>
                  <w:tcW w:w="7447" w:type="dxa"/>
                  <w:gridSpan w:val="3"/>
                  <w:vAlign w:val="center"/>
                </w:tcPr>
                <w:p>
                  <w:pPr>
                    <w:widowControl/>
                    <w:rPr>
                      <w:rFonts w:eastAsiaTheme="minorEastAsia"/>
                      <w:color w:val="auto"/>
                      <w:szCs w:val="21"/>
                    </w:rPr>
                  </w:pPr>
                  <w:r>
                    <w:rPr>
                      <w:rFonts w:eastAsiaTheme="minorEastAsia"/>
                      <w:color w:val="auto"/>
                      <w:szCs w:val="21"/>
                    </w:rPr>
                    <w:t>吸入、食入、皮肤接触吸收。</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76" w:type="dxa"/>
                  <w:vAlign w:val="center"/>
                </w:tcPr>
                <w:p>
                  <w:pPr>
                    <w:widowControl/>
                    <w:jc w:val="center"/>
                    <w:rPr>
                      <w:rFonts w:eastAsiaTheme="minorEastAsia"/>
                      <w:b/>
                      <w:color w:val="auto"/>
                      <w:kern w:val="0"/>
                      <w:szCs w:val="21"/>
                    </w:rPr>
                  </w:pPr>
                  <w:r>
                    <w:rPr>
                      <w:rFonts w:eastAsiaTheme="minorEastAsia"/>
                      <w:b/>
                      <w:color w:val="auto"/>
                      <w:kern w:val="0"/>
                      <w:szCs w:val="21"/>
                    </w:rPr>
                    <w:t>健康危害</w:t>
                  </w:r>
                </w:p>
              </w:tc>
              <w:tc>
                <w:tcPr>
                  <w:tcW w:w="7447" w:type="dxa"/>
                  <w:gridSpan w:val="3"/>
                  <w:vAlign w:val="center"/>
                </w:tcPr>
                <w:p>
                  <w:pPr>
                    <w:widowControl/>
                    <w:rPr>
                      <w:rFonts w:eastAsiaTheme="minorEastAsia"/>
                      <w:color w:val="auto"/>
                      <w:szCs w:val="21"/>
                    </w:rPr>
                  </w:pPr>
                  <w:r>
                    <w:rPr>
                      <w:rFonts w:eastAsiaTheme="minorEastAsia"/>
                      <w:color w:val="auto"/>
                      <w:szCs w:val="21"/>
                      <w:shd w:val="clear" w:color="auto" w:fill="FFFFFF"/>
                    </w:rPr>
                    <w:t>经常用手接触本品的工人，手掌大量出汗，指甲变薄，毛发脱落。本品有致敏作用。本品放出的</w:t>
                  </w:r>
                  <w:r>
                    <w:rPr>
                      <w:color w:val="auto"/>
                    </w:rPr>
                    <w:fldChar w:fldCharType="begin"/>
                  </w:r>
                  <w:r>
                    <w:rPr>
                      <w:color w:val="auto"/>
                    </w:rPr>
                    <w:instrText xml:space="preserve"> HYPERLINK "https://baike.baidu.com/item/%E6%B0%AF%E6%B0%94" \t "_blank" </w:instrText>
                  </w:r>
                  <w:r>
                    <w:rPr>
                      <w:color w:val="auto"/>
                    </w:rPr>
                    <w:fldChar w:fldCharType="separate"/>
                  </w:r>
                  <w:r>
                    <w:rPr>
                      <w:rStyle w:val="46"/>
                      <w:rFonts w:eastAsiaTheme="minorEastAsia"/>
                      <w:color w:val="auto"/>
                      <w:szCs w:val="21"/>
                      <w:shd w:val="clear" w:color="auto" w:fill="FFFFFF"/>
                    </w:rPr>
                    <w:t>氯气</w:t>
                  </w:r>
                  <w:r>
                    <w:rPr>
                      <w:rStyle w:val="46"/>
                      <w:rFonts w:eastAsiaTheme="minorEastAsia"/>
                      <w:color w:val="auto"/>
                      <w:szCs w:val="21"/>
                      <w:shd w:val="clear" w:color="auto" w:fill="FFFFFF"/>
                    </w:rPr>
                    <w:fldChar w:fldCharType="end"/>
                  </w:r>
                  <w:r>
                    <w:rPr>
                      <w:rFonts w:eastAsiaTheme="minorEastAsia"/>
                      <w:color w:val="auto"/>
                      <w:szCs w:val="21"/>
                      <w:shd w:val="clear" w:color="auto" w:fill="FFFFFF"/>
                    </w:rPr>
                    <w:t>有可能引起中毒。</w:t>
                  </w:r>
                </w:p>
              </w:tc>
            </w:tr>
          </w:tbl>
          <w:p>
            <w:pPr>
              <w:spacing w:line="480" w:lineRule="exact"/>
              <w:ind w:firstLine="480" w:firstLineChars="200"/>
              <w:rPr>
                <w:rFonts w:eastAsiaTheme="minorEastAsia"/>
                <w:color w:val="auto"/>
                <w:sz w:val="24"/>
              </w:rPr>
            </w:pPr>
            <w:r>
              <w:rPr>
                <w:rFonts w:hint="eastAsia" w:ascii="宋体" w:hAnsi="宋体" w:cs="宋体"/>
                <w:color w:val="auto"/>
                <w:sz w:val="24"/>
              </w:rPr>
              <w:t>⑵</w:t>
            </w:r>
            <w:r>
              <w:rPr>
                <w:rFonts w:eastAsiaTheme="minorEastAsia"/>
                <w:color w:val="auto"/>
                <w:sz w:val="24"/>
              </w:rPr>
              <w:t>风险单元识别</w:t>
            </w:r>
          </w:p>
          <w:p>
            <w:pPr>
              <w:spacing w:line="360" w:lineRule="auto"/>
              <w:ind w:firstLine="480"/>
              <w:rPr>
                <w:rFonts w:eastAsiaTheme="minorEastAsia"/>
                <w:color w:val="auto"/>
                <w:sz w:val="24"/>
              </w:rPr>
            </w:pPr>
            <w:r>
              <w:rPr>
                <w:rFonts w:eastAsiaTheme="minorEastAsia"/>
                <w:color w:val="auto"/>
                <w:sz w:val="24"/>
              </w:rPr>
              <w:t>本项目污水运输过程中设备管道、弯曲连接、阀门、泵、储槽、运输容器等均有可能导致污水的释放与泄露，发生污水泄漏事故。项目风险单元主要为：</w:t>
            </w:r>
          </w:p>
          <w:p>
            <w:pPr>
              <w:spacing w:line="360" w:lineRule="auto"/>
              <w:ind w:firstLine="720" w:firstLineChars="30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 1 \* GB3 </w:instrText>
            </w:r>
            <w:r>
              <w:rPr>
                <w:rFonts w:eastAsiaTheme="minorEastAsia"/>
                <w:color w:val="auto"/>
                <w:sz w:val="24"/>
              </w:rPr>
              <w:fldChar w:fldCharType="separate"/>
            </w:r>
            <w:r>
              <w:rPr>
                <w:rFonts w:hint="eastAsia" w:ascii="宋体" w:hAnsi="宋体" w:cs="宋体"/>
                <w:color w:val="auto"/>
                <w:sz w:val="24"/>
              </w:rPr>
              <w:t>①</w:t>
            </w:r>
            <w:r>
              <w:rPr>
                <w:rFonts w:eastAsiaTheme="minorEastAsia"/>
                <w:color w:val="auto"/>
                <w:sz w:val="24"/>
              </w:rPr>
              <w:fldChar w:fldCharType="end"/>
            </w:r>
            <w:r>
              <w:rPr>
                <w:rFonts w:eastAsiaTheme="minorEastAsia"/>
                <w:color w:val="auto"/>
                <w:sz w:val="24"/>
              </w:rPr>
              <w:t>污水收集过程。</w:t>
            </w:r>
          </w:p>
          <w:p>
            <w:pPr>
              <w:spacing w:line="360" w:lineRule="auto"/>
              <w:ind w:firstLine="720" w:firstLineChars="300"/>
              <w:rPr>
                <w:rFonts w:eastAsiaTheme="minorEastAsia"/>
                <w:color w:val="auto"/>
                <w:kern w:val="11"/>
                <w:sz w:val="24"/>
                <w:szCs w:val="27"/>
              </w:rPr>
            </w:pPr>
            <w:r>
              <w:rPr>
                <w:rFonts w:hint="eastAsia" w:ascii="宋体" w:hAnsi="宋体" w:cs="宋体"/>
                <w:color w:val="auto"/>
                <w:kern w:val="11"/>
                <w:sz w:val="24"/>
                <w:szCs w:val="27"/>
              </w:rPr>
              <w:t>②</w:t>
            </w:r>
            <w:r>
              <w:rPr>
                <w:rFonts w:eastAsiaTheme="minorEastAsia"/>
                <w:color w:val="auto"/>
                <w:kern w:val="11"/>
                <w:sz w:val="24"/>
                <w:szCs w:val="27"/>
              </w:rPr>
              <w:t>污水输送过程。</w:t>
            </w:r>
          </w:p>
          <w:p>
            <w:pPr>
              <w:spacing w:line="360" w:lineRule="auto"/>
              <w:ind w:firstLine="720" w:firstLineChars="300"/>
              <w:rPr>
                <w:rFonts w:eastAsiaTheme="minorEastAsia"/>
                <w:color w:val="auto"/>
                <w:kern w:val="11"/>
                <w:sz w:val="24"/>
                <w:szCs w:val="27"/>
              </w:rPr>
            </w:pPr>
            <w:r>
              <w:rPr>
                <w:rFonts w:hint="eastAsia" w:ascii="宋体" w:hAnsi="宋体" w:cs="宋体"/>
                <w:color w:val="auto"/>
                <w:kern w:val="11"/>
                <w:sz w:val="24"/>
                <w:szCs w:val="27"/>
              </w:rPr>
              <w:t>③</w:t>
            </w:r>
            <w:r>
              <w:rPr>
                <w:rFonts w:eastAsiaTheme="minorEastAsia"/>
                <w:color w:val="auto"/>
                <w:kern w:val="11"/>
                <w:sz w:val="24"/>
                <w:szCs w:val="27"/>
              </w:rPr>
              <w:t>污水厂设备反应过程。</w:t>
            </w:r>
          </w:p>
          <w:p>
            <w:pPr>
              <w:spacing w:line="360" w:lineRule="auto"/>
              <w:ind w:firstLine="735" w:firstLineChars="350"/>
              <w:rPr>
                <w:rFonts w:eastAsiaTheme="minorEastAsia"/>
                <w:color w:val="auto"/>
                <w:kern w:val="11"/>
                <w:sz w:val="24"/>
                <w:szCs w:val="27"/>
              </w:rPr>
            </w:pPr>
            <w:r>
              <w:rPr>
                <w:rFonts w:hint="eastAsia" w:ascii="宋体" w:hAnsi="宋体" w:cs="宋体"/>
                <w:color w:val="auto"/>
                <w:kern w:val="11"/>
                <w:szCs w:val="27"/>
              </w:rPr>
              <w:t>④</w:t>
            </w:r>
            <w:r>
              <w:rPr>
                <w:rFonts w:eastAsiaTheme="minorEastAsia"/>
                <w:color w:val="auto"/>
                <w:kern w:val="11"/>
                <w:sz w:val="24"/>
                <w:szCs w:val="27"/>
              </w:rPr>
              <w:t>处理后的尾水排放过程。</w:t>
            </w:r>
          </w:p>
          <w:p>
            <w:pPr>
              <w:spacing w:line="360" w:lineRule="auto"/>
              <w:ind w:firstLine="720" w:firstLineChars="300"/>
              <w:rPr>
                <w:rFonts w:eastAsiaTheme="minorEastAsia"/>
                <w:color w:val="auto"/>
                <w:sz w:val="24"/>
              </w:rPr>
            </w:pPr>
            <w:r>
              <w:rPr>
                <w:rFonts w:hint="eastAsia" w:ascii="宋体" w:hAnsi="宋体" w:cs="宋体"/>
                <w:color w:val="auto"/>
                <w:sz w:val="24"/>
              </w:rPr>
              <w:t>⑤</w:t>
            </w:r>
            <w:r>
              <w:rPr>
                <w:rFonts w:eastAsiaTheme="minorEastAsia"/>
                <w:color w:val="auto"/>
                <w:sz w:val="24"/>
              </w:rPr>
              <w:t>次氯酸钠泄露过程。</w:t>
            </w:r>
          </w:p>
          <w:p>
            <w:pPr>
              <w:pStyle w:val="12"/>
              <w:ind w:firstLine="720" w:firstLineChars="300"/>
              <w:rPr>
                <w:rFonts w:ascii="Times New Roman" w:eastAsiaTheme="minorEastAsia"/>
                <w:bCs/>
                <w:color w:val="auto"/>
              </w:rPr>
            </w:pPr>
            <w:r>
              <w:rPr>
                <w:rFonts w:hint="eastAsia" w:hAnsi="宋体" w:cs="宋体"/>
                <w:color w:val="auto"/>
              </w:rPr>
              <w:t>⑶</w:t>
            </w:r>
            <w:r>
              <w:rPr>
                <w:rFonts w:ascii="Times New Roman" w:eastAsiaTheme="minorEastAsia"/>
                <w:bCs/>
                <w:color w:val="auto"/>
              </w:rPr>
              <w:t>重大危险源识别</w:t>
            </w:r>
          </w:p>
          <w:p>
            <w:pPr>
              <w:pStyle w:val="19"/>
              <w:spacing w:line="360" w:lineRule="auto"/>
              <w:ind w:firstLine="480" w:firstLineChars="200"/>
              <w:rPr>
                <w:rFonts w:ascii="Times New Roman" w:hAnsi="Times New Roman" w:cs="Times New Roman" w:eastAsiaTheme="minorEastAsia"/>
                <w:color w:val="auto"/>
                <w:sz w:val="24"/>
              </w:rPr>
            </w:pPr>
            <w:r>
              <w:rPr>
                <w:rFonts w:ascii="Times New Roman" w:hAnsi="Times New Roman" w:cs="Times New Roman" w:eastAsiaTheme="minorEastAsia"/>
                <w:color w:val="auto"/>
                <w:sz w:val="24"/>
              </w:rPr>
              <w:t>根据</w:t>
            </w:r>
            <w:r>
              <w:rPr>
                <w:rFonts w:ascii="Times New Roman" w:hAnsi="Times New Roman" w:cs="Times New Roman" w:eastAsiaTheme="minorEastAsia"/>
                <w:color w:val="auto"/>
                <w:kern w:val="11"/>
                <w:sz w:val="24"/>
                <w:szCs w:val="27"/>
              </w:rPr>
              <w:t>《建设项目环境风险评价技术导则》（HJ169-2018）</w:t>
            </w:r>
            <w:r>
              <w:rPr>
                <w:rFonts w:ascii="Times New Roman" w:hAnsi="Times New Roman" w:cs="Times New Roman" w:eastAsiaTheme="minorEastAsia"/>
                <w:color w:val="auto"/>
                <w:sz w:val="24"/>
              </w:rPr>
              <w:t>和《危险化学品重大危险源辨识》（GB18218-2009）的规定，本项目涉及到风险物质及风险单元均不构成重大危险源，故确定本项目没有重大危险源。</w:t>
            </w:r>
          </w:p>
          <w:p>
            <w:pPr>
              <w:spacing w:line="360" w:lineRule="auto"/>
              <w:ind w:firstLine="480" w:firstLineChars="200"/>
              <w:rPr>
                <w:rFonts w:eastAsiaTheme="minorEastAsia"/>
                <w:bCs/>
                <w:color w:val="auto"/>
                <w:szCs w:val="28"/>
              </w:rPr>
            </w:pPr>
            <w:r>
              <w:rPr>
                <w:rFonts w:eastAsiaTheme="minorEastAsia"/>
                <w:color w:val="auto"/>
                <w:sz w:val="24"/>
              </w:rPr>
              <w:t>本项目风险类型主要为泄漏，不考虑自然灾害引起的风险。</w:t>
            </w:r>
          </w:p>
          <w:p>
            <w:pPr>
              <w:spacing w:line="360" w:lineRule="auto"/>
              <w:ind w:firstLine="472" w:firstLineChars="196"/>
              <w:outlineLvl w:val="1"/>
              <w:rPr>
                <w:rFonts w:eastAsiaTheme="minorEastAsia"/>
                <w:b/>
                <w:bCs/>
                <w:color w:val="auto"/>
                <w:sz w:val="24"/>
              </w:rPr>
            </w:pPr>
            <w:bookmarkStart w:id="13" w:name="_Toc416377499"/>
            <w:r>
              <w:rPr>
                <w:rFonts w:eastAsiaTheme="minorEastAsia"/>
                <w:b/>
                <w:bCs/>
                <w:color w:val="auto"/>
                <w:sz w:val="24"/>
              </w:rPr>
              <w:t>3.4环境风险分析</w:t>
            </w:r>
            <w:bookmarkEnd w:id="13"/>
          </w:p>
          <w:p>
            <w:pPr>
              <w:spacing w:line="360" w:lineRule="auto"/>
              <w:ind w:firstLine="470" w:firstLineChars="196"/>
              <w:rPr>
                <w:rFonts w:eastAsiaTheme="minorEastAsia"/>
                <w:color w:val="auto"/>
                <w:sz w:val="24"/>
              </w:rPr>
            </w:pPr>
            <w:r>
              <w:rPr>
                <w:rFonts w:eastAsiaTheme="minorEastAsia"/>
                <w:color w:val="auto"/>
                <w:sz w:val="24"/>
              </w:rPr>
              <w:t>3.4.1</w:t>
            </w:r>
            <w:r>
              <w:rPr>
                <w:rFonts w:eastAsiaTheme="minorEastAsia"/>
                <w:b/>
                <w:bCs/>
                <w:color w:val="auto"/>
                <w:sz w:val="24"/>
              </w:rPr>
              <w:t>环境风险影响分析</w:t>
            </w:r>
          </w:p>
          <w:p>
            <w:pPr>
              <w:pStyle w:val="12"/>
              <w:snapToGrid w:val="0"/>
              <w:ind w:firstLine="480" w:firstLineChars="200"/>
              <w:rPr>
                <w:rFonts w:ascii="Times New Roman" w:eastAsiaTheme="minorEastAsia"/>
                <w:color w:val="auto"/>
              </w:rPr>
            </w:pPr>
            <w:r>
              <w:rPr>
                <w:rFonts w:hint="eastAsia" w:hAnsi="宋体" w:cs="宋体"/>
                <w:color w:val="auto"/>
              </w:rPr>
              <w:t>⑴</w:t>
            </w:r>
            <w:r>
              <w:rPr>
                <w:rFonts w:ascii="Times New Roman" w:eastAsiaTheme="minorEastAsia"/>
                <w:color w:val="auto"/>
                <w:kern w:val="11"/>
              </w:rPr>
              <w:t>污水管网事故风险分析</w:t>
            </w:r>
          </w:p>
          <w:p>
            <w:pPr>
              <w:autoSpaceDE w:val="0"/>
              <w:autoSpaceDN w:val="0"/>
              <w:adjustRightInd w:val="0"/>
              <w:snapToGrid w:val="0"/>
              <w:spacing w:line="360" w:lineRule="auto"/>
              <w:ind w:firstLine="480" w:firstLineChars="200"/>
              <w:jc w:val="left"/>
              <w:rPr>
                <w:rFonts w:eastAsiaTheme="minorEastAsia"/>
                <w:color w:val="auto"/>
                <w:sz w:val="24"/>
              </w:rPr>
            </w:pPr>
            <w:r>
              <w:rPr>
                <w:rFonts w:eastAsiaTheme="minorEastAsia"/>
                <w:color w:val="auto"/>
                <w:sz w:val="24"/>
              </w:rPr>
              <w:t>根据国内污水处理厂事故调查，管网事故性排放主要由以下原因造成：</w:t>
            </w:r>
          </w:p>
          <w:p>
            <w:pPr>
              <w:snapToGrid w:val="0"/>
              <w:spacing w:line="360" w:lineRule="auto"/>
              <w:ind w:firstLine="480" w:firstLineChars="200"/>
              <w:rPr>
                <w:rFonts w:eastAsiaTheme="minorEastAsia"/>
                <w:color w:val="auto"/>
                <w:sz w:val="24"/>
              </w:rPr>
            </w:pPr>
            <w:r>
              <w:rPr>
                <w:color w:val="auto"/>
                <w:sz w:val="24"/>
              </w:rPr>
              <w:t>a.</w:t>
            </w:r>
            <w:r>
              <w:rPr>
                <w:rFonts w:eastAsiaTheme="minorEastAsia"/>
                <w:color w:val="auto"/>
                <w:sz w:val="24"/>
              </w:rPr>
              <w:t>管道破裂造成污水外流。</w:t>
            </w:r>
          </w:p>
          <w:p>
            <w:pPr>
              <w:snapToGrid w:val="0"/>
              <w:spacing w:line="360" w:lineRule="auto"/>
              <w:ind w:firstLine="480" w:firstLineChars="200"/>
              <w:rPr>
                <w:rFonts w:eastAsiaTheme="minorEastAsia"/>
                <w:color w:val="auto"/>
                <w:sz w:val="24"/>
              </w:rPr>
            </w:pPr>
            <w:r>
              <w:rPr>
                <w:color w:val="auto"/>
                <w:sz w:val="24"/>
              </w:rPr>
              <w:t>b.</w:t>
            </w:r>
            <w:r>
              <w:rPr>
                <w:rFonts w:eastAsiaTheme="minorEastAsia"/>
                <w:color w:val="auto"/>
                <w:sz w:val="24"/>
              </w:rPr>
              <w:t>泵房停电或检修，管道更换改造造成污水外溢。</w:t>
            </w:r>
          </w:p>
          <w:p>
            <w:pPr>
              <w:snapToGrid w:val="0"/>
              <w:spacing w:line="360" w:lineRule="auto"/>
              <w:ind w:firstLine="480" w:firstLineChars="200"/>
              <w:rPr>
                <w:rFonts w:eastAsiaTheme="minorEastAsia"/>
                <w:color w:val="auto"/>
                <w:sz w:val="24"/>
              </w:rPr>
            </w:pPr>
            <w:r>
              <w:rPr>
                <w:color w:val="auto"/>
                <w:sz w:val="24"/>
              </w:rPr>
              <w:t>c.</w:t>
            </w:r>
            <w:r>
              <w:rPr>
                <w:rFonts w:eastAsiaTheme="minorEastAsia"/>
                <w:color w:val="auto"/>
                <w:sz w:val="24"/>
              </w:rPr>
              <w:t>放流管破损，造成排放口堵塞或扩散效果减弱。</w:t>
            </w:r>
          </w:p>
          <w:p>
            <w:pPr>
              <w:spacing w:line="360" w:lineRule="auto"/>
              <w:ind w:firstLine="480" w:firstLineChars="200"/>
              <w:rPr>
                <w:rFonts w:eastAsiaTheme="minorEastAsia"/>
                <w:color w:val="auto"/>
                <w:sz w:val="24"/>
              </w:rPr>
            </w:pPr>
            <w:r>
              <w:rPr>
                <w:rFonts w:eastAsiaTheme="minorEastAsia"/>
                <w:color w:val="auto"/>
                <w:sz w:val="24"/>
              </w:rPr>
              <w:t>第一种情况原因：一般是由于其他工程开挖不慎或管线基础隐患等造成的。这类事故发生后表现污水输送不畅或下端污水量急剧减少，外溢污水溢出地面沿地表流入附近河流柏树底河，或者是沿地下潜流进入地下水体，无论以上何种输送方式都将给环境带来较大的影响。一旦发生此类事故要及时组织抢修，尽可能减少污水外溢量及对周围环境的影响。</w:t>
            </w:r>
          </w:p>
          <w:p>
            <w:pPr>
              <w:spacing w:line="360" w:lineRule="auto"/>
              <w:ind w:firstLine="482"/>
              <w:rPr>
                <w:rFonts w:eastAsiaTheme="minorEastAsia"/>
                <w:color w:val="auto"/>
                <w:sz w:val="24"/>
              </w:rPr>
            </w:pPr>
            <w:r>
              <w:rPr>
                <w:rFonts w:eastAsiaTheme="minorEastAsia"/>
                <w:color w:val="auto"/>
                <w:sz w:val="24"/>
              </w:rPr>
              <w:t>第二种情况原因：一般是由于停电、泵房维修、次干管接入更换改造引起管网输送不畅，造成污水外溢时有发生。根据国内一些城市污水输送管网事故统计，事故性排放累积为3～5d/a，污水量约占整个系统污水输送量的1%以下。由于此类事故发生往往是短时间集中排放，对局部受纳水体的水质污染冲击很大。此类事故在设计时就应加以防范，污水泵站应有备用电源（采用双回流电路供电），避免因停电造成的泵站停运事故，另外，泵站内应有备用机组，对付检修和水泵机械故障。</w:t>
            </w:r>
          </w:p>
          <w:p>
            <w:pPr>
              <w:pStyle w:val="12"/>
              <w:ind w:firstLine="480"/>
              <w:rPr>
                <w:rFonts w:ascii="Times New Roman" w:eastAsiaTheme="minorEastAsia"/>
                <w:color w:val="auto"/>
                <w:spacing w:val="7"/>
              </w:rPr>
            </w:pPr>
            <w:r>
              <w:rPr>
                <w:rFonts w:ascii="Times New Roman" w:eastAsiaTheme="minorEastAsia"/>
                <w:color w:val="auto"/>
              </w:rPr>
              <w:t>第三种情况原因：一般是因非人为因素漂浮物撞击及风暴等造成放流管破损，造成排放口堵塞，或减弱扩散效果，使排放口附近水质受到污染。对于此类事故，有关部门应对污水管网加强管理，一旦发现管网破损，应立即采取应急措施，抢修维护，以防止污水事故性外溢造成较大的环境影响。</w:t>
            </w:r>
          </w:p>
          <w:p>
            <w:pPr>
              <w:spacing w:line="360" w:lineRule="auto"/>
              <w:ind w:firstLine="470" w:firstLineChars="196"/>
              <w:rPr>
                <w:rFonts w:eastAsiaTheme="minorEastAsia"/>
                <w:color w:val="auto"/>
                <w:sz w:val="24"/>
              </w:rPr>
            </w:pPr>
            <w:r>
              <w:rPr>
                <w:rFonts w:hint="eastAsia" w:ascii="宋体" w:hAnsi="宋体" w:cs="宋体"/>
                <w:color w:val="auto"/>
                <w:sz w:val="24"/>
              </w:rPr>
              <w:t>⑵</w:t>
            </w:r>
            <w:r>
              <w:rPr>
                <w:rFonts w:eastAsiaTheme="minorEastAsia"/>
                <w:color w:val="auto"/>
                <w:sz w:val="24"/>
              </w:rPr>
              <w:t>污水非正常排放环境风险影响分析</w:t>
            </w:r>
          </w:p>
          <w:p>
            <w:pPr>
              <w:autoSpaceDE w:val="0"/>
              <w:autoSpaceDN w:val="0"/>
              <w:adjustRightInd w:val="0"/>
              <w:snapToGrid w:val="0"/>
              <w:spacing w:line="360" w:lineRule="auto"/>
              <w:ind w:firstLine="480" w:firstLineChars="200"/>
              <w:jc w:val="left"/>
              <w:rPr>
                <w:rFonts w:eastAsiaTheme="minorEastAsia"/>
                <w:color w:val="auto"/>
                <w:kern w:val="0"/>
                <w:sz w:val="24"/>
              </w:rPr>
            </w:pPr>
            <w:r>
              <w:rPr>
                <w:rFonts w:eastAsiaTheme="minorEastAsia"/>
                <w:color w:val="auto"/>
                <w:kern w:val="0"/>
                <w:sz w:val="24"/>
              </w:rPr>
              <w:t>根据对污水生物处理机理及国内同类污水处理厂运行实践分析，城市污水处理厂导致未处理污水溢出的主要原因如下：</w:t>
            </w:r>
          </w:p>
          <w:p>
            <w:pPr>
              <w:autoSpaceDE w:val="0"/>
              <w:autoSpaceDN w:val="0"/>
              <w:adjustRightInd w:val="0"/>
              <w:snapToGrid w:val="0"/>
              <w:spacing w:line="360" w:lineRule="auto"/>
              <w:ind w:firstLine="480" w:firstLineChars="200"/>
              <w:jc w:val="left"/>
              <w:rPr>
                <w:rFonts w:eastAsiaTheme="minorEastAsia"/>
                <w:color w:val="auto"/>
                <w:kern w:val="0"/>
                <w:sz w:val="24"/>
              </w:rPr>
            </w:pPr>
            <w:r>
              <w:rPr>
                <w:color w:val="auto"/>
                <w:kern w:val="0"/>
                <w:sz w:val="24"/>
              </w:rPr>
              <w:t>a.</w:t>
            </w:r>
            <w:r>
              <w:rPr>
                <w:rFonts w:eastAsiaTheme="minorEastAsia"/>
                <w:color w:val="auto"/>
                <w:kern w:val="0"/>
                <w:sz w:val="24"/>
              </w:rPr>
              <w:t>由于污水处理设备、设施质量问题或养护不当，将造成设备、设施故障，导致污水处理效率下降甚至未处理直接排放。</w:t>
            </w:r>
          </w:p>
          <w:p>
            <w:pPr>
              <w:autoSpaceDE w:val="0"/>
              <w:autoSpaceDN w:val="0"/>
              <w:adjustRightInd w:val="0"/>
              <w:snapToGrid w:val="0"/>
              <w:spacing w:line="360" w:lineRule="auto"/>
              <w:ind w:firstLine="480" w:firstLineChars="200"/>
              <w:jc w:val="left"/>
              <w:rPr>
                <w:rFonts w:eastAsiaTheme="minorEastAsia"/>
                <w:color w:val="auto"/>
                <w:kern w:val="0"/>
                <w:sz w:val="24"/>
              </w:rPr>
            </w:pPr>
            <w:r>
              <w:rPr>
                <w:color w:val="auto"/>
                <w:kern w:val="0"/>
                <w:sz w:val="24"/>
              </w:rPr>
              <w:t>b.</w:t>
            </w:r>
            <w:r>
              <w:rPr>
                <w:rFonts w:eastAsiaTheme="minorEastAsia"/>
                <w:color w:val="auto"/>
                <w:kern w:val="0"/>
                <w:sz w:val="24"/>
              </w:rPr>
              <w:t>如遇污水处理厂停电，则直接导致污水未处理直接排放。</w:t>
            </w:r>
          </w:p>
          <w:p>
            <w:pPr>
              <w:spacing w:line="360" w:lineRule="auto"/>
              <w:ind w:firstLine="470" w:firstLineChars="196"/>
              <w:rPr>
                <w:rFonts w:eastAsiaTheme="minorEastAsia"/>
                <w:color w:val="auto"/>
                <w:sz w:val="24"/>
              </w:rPr>
            </w:pPr>
            <w:r>
              <w:rPr>
                <w:rFonts w:eastAsiaTheme="minorEastAsia"/>
                <w:color w:val="auto"/>
                <w:kern w:val="0"/>
                <w:sz w:val="24"/>
              </w:rPr>
              <w:t>以上两种情况都将对柏树底河地表水水质产生较大的影响，预测结果表明</w:t>
            </w:r>
            <w:r>
              <w:rPr>
                <w:rFonts w:eastAsiaTheme="minorEastAsia"/>
                <w:color w:val="auto"/>
                <w:sz w:val="24"/>
                <w:szCs w:val="28"/>
              </w:rPr>
              <w:t>，本项目污水处理厂污水出现事故排放时（去除率降为0%），废水直排</w:t>
            </w:r>
            <w:r>
              <w:rPr>
                <w:rFonts w:eastAsiaTheme="minorEastAsia"/>
                <w:color w:val="auto"/>
                <w:kern w:val="0"/>
                <w:sz w:val="24"/>
              </w:rPr>
              <w:t>沟道至柏树底河</w:t>
            </w:r>
            <w:r>
              <w:rPr>
                <w:rFonts w:eastAsiaTheme="minorEastAsia"/>
                <w:color w:val="auto"/>
                <w:sz w:val="24"/>
                <w:szCs w:val="28"/>
              </w:rPr>
              <w:t>，将对</w:t>
            </w:r>
            <w:r>
              <w:rPr>
                <w:rFonts w:eastAsiaTheme="minorEastAsia"/>
                <w:color w:val="auto"/>
                <w:kern w:val="0"/>
                <w:sz w:val="24"/>
              </w:rPr>
              <w:t>柏树底河</w:t>
            </w:r>
            <w:r>
              <w:rPr>
                <w:rFonts w:eastAsiaTheme="minorEastAsia"/>
                <w:color w:val="auto"/>
                <w:sz w:val="24"/>
                <w:szCs w:val="28"/>
              </w:rPr>
              <w:t>下游带来较大的不利影响。</w:t>
            </w:r>
          </w:p>
          <w:p>
            <w:pPr>
              <w:spacing w:line="360" w:lineRule="auto"/>
              <w:ind w:firstLine="470" w:firstLineChars="196"/>
              <w:rPr>
                <w:rFonts w:eastAsiaTheme="minorEastAsia"/>
                <w:color w:val="auto"/>
                <w:sz w:val="24"/>
              </w:rPr>
            </w:pPr>
            <w:r>
              <w:rPr>
                <w:rFonts w:eastAsiaTheme="minorEastAsia"/>
                <w:color w:val="auto"/>
                <w:sz w:val="24"/>
              </w:rPr>
              <w:t>3.4.2事故风险源分析</w:t>
            </w:r>
          </w:p>
          <w:p>
            <w:pPr>
              <w:autoSpaceDE w:val="0"/>
              <w:autoSpaceDN w:val="0"/>
              <w:adjustRightInd w:val="0"/>
              <w:snapToGrid w:val="0"/>
              <w:spacing w:line="360" w:lineRule="auto"/>
              <w:ind w:firstLine="480" w:firstLineChars="200"/>
              <w:jc w:val="left"/>
              <w:rPr>
                <w:rFonts w:eastAsiaTheme="minorEastAsia"/>
                <w:color w:val="auto"/>
                <w:sz w:val="24"/>
                <w:szCs w:val="21"/>
              </w:rPr>
            </w:pPr>
            <w:r>
              <w:rPr>
                <w:rFonts w:eastAsiaTheme="minorEastAsia"/>
                <w:color w:val="auto"/>
                <w:sz w:val="24"/>
                <w:szCs w:val="21"/>
              </w:rPr>
              <w:t>本项目发生潜在环境风险事故的可能环节及由此产生的影响方式主要有以下几方面：</w:t>
            </w:r>
          </w:p>
          <w:p>
            <w:pPr>
              <w:autoSpaceDE w:val="0"/>
              <w:autoSpaceDN w:val="0"/>
              <w:adjustRightInd w:val="0"/>
              <w:snapToGrid w:val="0"/>
              <w:spacing w:line="360" w:lineRule="auto"/>
              <w:ind w:firstLine="480" w:firstLineChars="200"/>
              <w:jc w:val="left"/>
              <w:rPr>
                <w:rFonts w:eastAsiaTheme="minorEastAsia"/>
                <w:color w:val="auto"/>
                <w:kern w:val="0"/>
                <w:sz w:val="24"/>
              </w:rPr>
            </w:pPr>
            <w:r>
              <w:rPr>
                <w:rFonts w:hint="eastAsia" w:ascii="宋体" w:hAnsi="宋体" w:cs="宋体"/>
                <w:color w:val="auto"/>
                <w:kern w:val="0"/>
                <w:sz w:val="24"/>
              </w:rPr>
              <w:t>⑴</w:t>
            </w:r>
            <w:r>
              <w:rPr>
                <w:rFonts w:eastAsiaTheme="minorEastAsia"/>
                <w:color w:val="auto"/>
                <w:kern w:val="0"/>
                <w:sz w:val="24"/>
              </w:rPr>
              <w:t>污水管网事故</w:t>
            </w:r>
          </w:p>
          <w:p>
            <w:pPr>
              <w:autoSpaceDE w:val="0"/>
              <w:autoSpaceDN w:val="0"/>
              <w:adjustRightInd w:val="0"/>
              <w:snapToGrid w:val="0"/>
              <w:spacing w:line="360" w:lineRule="auto"/>
              <w:ind w:firstLine="480" w:firstLineChars="200"/>
              <w:jc w:val="left"/>
              <w:rPr>
                <w:rFonts w:eastAsiaTheme="minorEastAsia"/>
                <w:color w:val="auto"/>
                <w:kern w:val="0"/>
                <w:sz w:val="24"/>
              </w:rPr>
            </w:pPr>
            <w:r>
              <w:rPr>
                <w:rFonts w:eastAsiaTheme="minorEastAsia"/>
                <w:color w:val="auto"/>
                <w:kern w:val="0"/>
                <w:sz w:val="24"/>
              </w:rPr>
              <w:t>排污管道突然破裂，生活污水随处溢流，将会给周围环境造成较大的影响。</w:t>
            </w:r>
          </w:p>
          <w:p>
            <w:pPr>
              <w:autoSpaceDE w:val="0"/>
              <w:autoSpaceDN w:val="0"/>
              <w:adjustRightInd w:val="0"/>
              <w:snapToGrid w:val="0"/>
              <w:spacing w:line="360" w:lineRule="auto"/>
              <w:ind w:firstLine="480" w:firstLineChars="200"/>
              <w:jc w:val="left"/>
              <w:rPr>
                <w:rFonts w:eastAsiaTheme="minorEastAsia"/>
                <w:color w:val="auto"/>
                <w:kern w:val="0"/>
                <w:sz w:val="24"/>
              </w:rPr>
            </w:pPr>
            <w:r>
              <w:rPr>
                <w:rFonts w:hint="eastAsia" w:ascii="宋体" w:hAnsi="宋体" w:cs="宋体"/>
                <w:color w:val="auto"/>
                <w:kern w:val="0"/>
                <w:sz w:val="24"/>
              </w:rPr>
              <w:t>⑵</w:t>
            </w:r>
            <w:r>
              <w:rPr>
                <w:rFonts w:eastAsiaTheme="minorEastAsia"/>
                <w:color w:val="auto"/>
                <w:kern w:val="0"/>
                <w:sz w:val="24"/>
              </w:rPr>
              <w:t>非正常污水排放</w:t>
            </w:r>
          </w:p>
          <w:p>
            <w:pPr>
              <w:autoSpaceDE w:val="0"/>
              <w:autoSpaceDN w:val="0"/>
              <w:adjustRightInd w:val="0"/>
              <w:snapToGrid w:val="0"/>
              <w:spacing w:line="360" w:lineRule="auto"/>
              <w:ind w:firstLine="480" w:firstLineChars="200"/>
              <w:jc w:val="left"/>
              <w:rPr>
                <w:rFonts w:eastAsiaTheme="minorEastAsia"/>
                <w:color w:val="auto"/>
                <w:kern w:val="0"/>
                <w:sz w:val="24"/>
              </w:rPr>
            </w:pPr>
            <w:r>
              <w:rPr>
                <w:rFonts w:eastAsiaTheme="minorEastAsia"/>
                <w:color w:val="auto"/>
                <w:kern w:val="0"/>
                <w:sz w:val="24"/>
              </w:rPr>
              <w:t>在收水范围内，排污单位不正常排放致使进厂水质负荷突增，或有毒有害物质误入管网，造成生物反应池的微生物活性下降或被毒害，影响污水处理效果。</w:t>
            </w:r>
          </w:p>
          <w:p>
            <w:pPr>
              <w:adjustRightInd w:val="0"/>
              <w:snapToGrid w:val="0"/>
              <w:spacing w:line="360" w:lineRule="auto"/>
              <w:ind w:firstLine="480" w:firstLineChars="200"/>
              <w:rPr>
                <w:rFonts w:eastAsiaTheme="minorEastAsia"/>
                <w:color w:val="auto"/>
                <w:kern w:val="0"/>
                <w:sz w:val="24"/>
              </w:rPr>
            </w:pPr>
            <w:r>
              <w:rPr>
                <w:rFonts w:hint="eastAsia" w:ascii="宋体" w:hAnsi="宋体" w:cs="宋体"/>
                <w:color w:val="auto"/>
                <w:kern w:val="0"/>
                <w:sz w:val="24"/>
              </w:rPr>
              <w:t>⑶</w:t>
            </w:r>
            <w:r>
              <w:rPr>
                <w:rFonts w:eastAsiaTheme="minorEastAsia"/>
                <w:color w:val="auto"/>
                <w:kern w:val="0"/>
                <w:sz w:val="24"/>
              </w:rPr>
              <w:t>次氯酸钠储存和使用过程中发生泄漏会对周围环境造成一定影响</w:t>
            </w:r>
          </w:p>
          <w:p>
            <w:pPr>
              <w:adjustRightInd w:val="0"/>
              <w:snapToGrid w:val="0"/>
              <w:spacing w:line="360" w:lineRule="auto"/>
              <w:ind w:firstLine="480" w:firstLineChars="200"/>
              <w:rPr>
                <w:rFonts w:eastAsiaTheme="minorEastAsia"/>
                <w:color w:val="auto"/>
                <w:kern w:val="0"/>
                <w:sz w:val="24"/>
              </w:rPr>
            </w:pPr>
            <w:r>
              <w:rPr>
                <w:rFonts w:eastAsiaTheme="minorEastAsia"/>
                <w:color w:val="auto"/>
                <w:kern w:val="0"/>
                <w:sz w:val="24"/>
              </w:rPr>
              <w:t>由于出现一些不可抗拒的外部原因，如停电、突发性自然灾害等，造成污水处理设施停止运行，大量未经处理的污水直接排放</w:t>
            </w:r>
            <w:r>
              <w:rPr>
                <w:rFonts w:eastAsiaTheme="minorEastAsia"/>
                <w:color w:val="auto"/>
                <w:sz w:val="24"/>
              </w:rPr>
              <w:t>（非正常排放）</w:t>
            </w:r>
            <w:r>
              <w:rPr>
                <w:rFonts w:eastAsiaTheme="minorEastAsia"/>
                <w:color w:val="auto"/>
                <w:kern w:val="0"/>
                <w:sz w:val="24"/>
              </w:rPr>
              <w:t>。</w:t>
            </w:r>
          </w:p>
          <w:p>
            <w:pPr>
              <w:adjustRightInd w:val="0"/>
              <w:snapToGrid w:val="0"/>
              <w:spacing w:line="360" w:lineRule="auto"/>
              <w:ind w:firstLine="480" w:firstLineChars="200"/>
              <w:rPr>
                <w:rFonts w:eastAsiaTheme="minorEastAsia"/>
                <w:color w:val="auto"/>
                <w:sz w:val="24"/>
                <w:szCs w:val="21"/>
              </w:rPr>
            </w:pPr>
            <w:r>
              <w:rPr>
                <w:rFonts w:eastAsiaTheme="minorEastAsia"/>
                <w:color w:val="auto"/>
                <w:kern w:val="0"/>
                <w:sz w:val="24"/>
              </w:rPr>
              <w:t>此外，污水或污泥处理系统的设备发生故障，使污水处理能力降低，出水水质下降或污泥不能及时浓缩、脱水，引起污泥发酵，贮泥池爆满，散发恶臭。</w:t>
            </w:r>
          </w:p>
          <w:p>
            <w:pPr>
              <w:spacing w:line="360" w:lineRule="auto"/>
              <w:ind w:firstLine="470" w:firstLineChars="196"/>
              <w:rPr>
                <w:rFonts w:eastAsiaTheme="minorEastAsia"/>
                <w:color w:val="auto"/>
                <w:sz w:val="24"/>
              </w:rPr>
            </w:pPr>
            <w:r>
              <w:rPr>
                <w:rFonts w:eastAsiaTheme="minorEastAsia"/>
                <w:color w:val="auto"/>
                <w:sz w:val="24"/>
              </w:rPr>
              <w:t>3.4.3最大可信事故分析</w:t>
            </w:r>
          </w:p>
          <w:p>
            <w:pPr>
              <w:spacing w:line="360" w:lineRule="auto"/>
              <w:ind w:firstLine="480" w:firstLineChars="200"/>
              <w:rPr>
                <w:rFonts w:eastAsiaTheme="minorEastAsia"/>
                <w:color w:val="auto"/>
                <w:sz w:val="24"/>
              </w:rPr>
            </w:pPr>
            <w:r>
              <w:rPr>
                <w:rFonts w:eastAsiaTheme="minorEastAsia"/>
                <w:color w:val="auto"/>
                <w:sz w:val="24"/>
              </w:rPr>
              <w:t>最大可信事故是指在所有预测的概率不为零的事故中，对环境（或健康）危害最严重的重大事故。对本项目而言，因生产装置原因造成的事故中以设备、管道破损污水泄漏出现几率最大；因人为因素造成的事故中以操作失误、违章操作、维护不当出现几率最大。因此，本项目环境风险的最大可信事故主要为污水泄漏对周围环境的影响。</w:t>
            </w:r>
          </w:p>
          <w:p>
            <w:pPr>
              <w:adjustRightInd w:val="0"/>
              <w:snapToGrid w:val="0"/>
              <w:spacing w:line="360" w:lineRule="auto"/>
              <w:ind w:firstLine="482" w:firstLineChars="200"/>
              <w:rPr>
                <w:rFonts w:eastAsiaTheme="minorEastAsia"/>
                <w:b/>
                <w:bCs/>
                <w:color w:val="auto"/>
                <w:sz w:val="24"/>
              </w:rPr>
            </w:pPr>
            <w:r>
              <w:rPr>
                <w:rFonts w:eastAsiaTheme="minorEastAsia"/>
                <w:b/>
                <w:bCs/>
                <w:color w:val="auto"/>
                <w:sz w:val="24"/>
              </w:rPr>
              <w:t>3.5环境风险防范措施及应急要求</w:t>
            </w:r>
          </w:p>
          <w:p>
            <w:pPr>
              <w:adjustRightInd w:val="0"/>
              <w:snapToGrid w:val="0"/>
              <w:spacing w:line="360" w:lineRule="auto"/>
              <w:ind w:firstLine="480" w:firstLineChars="200"/>
              <w:rPr>
                <w:rFonts w:eastAsiaTheme="minorEastAsia"/>
                <w:bCs/>
                <w:color w:val="auto"/>
                <w:sz w:val="24"/>
              </w:rPr>
            </w:pPr>
            <w:r>
              <w:rPr>
                <w:rFonts w:eastAsiaTheme="minorEastAsia"/>
                <w:bCs/>
                <w:color w:val="auto"/>
                <w:sz w:val="24"/>
              </w:rPr>
              <w:t>3.5.1环境风险防范措施</w:t>
            </w:r>
          </w:p>
          <w:p>
            <w:pPr>
              <w:pStyle w:val="12"/>
              <w:adjustRightInd w:val="0"/>
              <w:snapToGrid w:val="0"/>
              <w:ind w:firstLine="480" w:firstLineChars="200"/>
              <w:rPr>
                <w:rFonts w:ascii="Times New Roman" w:eastAsiaTheme="minorEastAsia"/>
                <w:bCs/>
                <w:color w:val="auto"/>
              </w:rPr>
            </w:pPr>
            <w:r>
              <w:rPr>
                <w:rFonts w:ascii="Times New Roman" w:eastAsiaTheme="minorEastAsia"/>
                <w:bCs/>
                <w:color w:val="auto"/>
              </w:rPr>
              <w:t>由上述分析评价可知，本项目存在发生突发性事故对地表水环境的潜在威胁。发生事故时污染物对周围环境的影响程度和范围也比较大，因此首先必须做好事故的预防与应急措施，尽量避免或杜绝事故排放，同时缩短事故排放时间，将事故发生的概率和危害减小到最低程度，减轻突发性事故对环境的影响。根据项目事故排放特征，提出以下防范措施：</w:t>
            </w:r>
          </w:p>
          <w:p>
            <w:pPr>
              <w:pStyle w:val="12"/>
              <w:adjustRightInd w:val="0"/>
              <w:snapToGrid w:val="0"/>
              <w:ind w:firstLine="480" w:firstLineChars="200"/>
              <w:rPr>
                <w:rFonts w:ascii="Times New Roman" w:eastAsiaTheme="minorEastAsia"/>
                <w:bCs/>
                <w:color w:val="auto"/>
              </w:rPr>
            </w:pPr>
            <w:r>
              <w:rPr>
                <w:rFonts w:hint="eastAsia" w:hAnsi="宋体" w:cs="宋体"/>
                <w:bCs/>
                <w:color w:val="auto"/>
              </w:rPr>
              <w:t>⑴</w:t>
            </w:r>
            <w:r>
              <w:rPr>
                <w:rFonts w:ascii="Times New Roman" w:eastAsiaTheme="minorEastAsia"/>
                <w:color w:val="auto"/>
              </w:rPr>
              <w:t>污水处理厂稳定运行与管网的维护关系密切，应十分重视管网的维护及管理，防止泥沙沉积堵塞而影响管道的过水能力；管道衔接应防止泄漏污染地下水和掏空地基，淤塞应及时疏浚，保证管道通畅，同时最大限度地收集生活污水；污水干管和支管设计中，选择适当充满度和最小设计流速，防止污泥沉积；</w:t>
            </w:r>
            <w:bookmarkStart w:id="14" w:name="_Toc203538015"/>
            <w:r>
              <w:rPr>
                <w:rFonts w:ascii="Times New Roman" w:eastAsiaTheme="minorEastAsia"/>
                <w:color w:val="auto"/>
              </w:rPr>
              <w:t>污水管网应制定严格的维修制度，排污用户应严格执行国家、地方的有关排放标准，特别需加强对所接纳工业废水进水水质的管理，确保污水处理厂进水水质。</w:t>
            </w:r>
            <w:bookmarkEnd w:id="14"/>
          </w:p>
          <w:p>
            <w:pPr>
              <w:pStyle w:val="12"/>
              <w:adjustRightInd w:val="0"/>
              <w:snapToGrid w:val="0"/>
              <w:ind w:firstLine="480" w:firstLineChars="200"/>
              <w:rPr>
                <w:rFonts w:ascii="Times New Roman" w:eastAsiaTheme="minorEastAsia"/>
                <w:bCs/>
                <w:color w:val="auto"/>
              </w:rPr>
            </w:pPr>
            <w:r>
              <w:rPr>
                <w:rFonts w:hint="eastAsia" w:hAnsi="宋体" w:cs="宋体"/>
                <w:bCs/>
                <w:color w:val="auto"/>
              </w:rPr>
              <w:t>⑵</w:t>
            </w:r>
            <w:r>
              <w:rPr>
                <w:rFonts w:ascii="Times New Roman" w:eastAsiaTheme="minorEastAsia"/>
                <w:color w:val="auto"/>
              </w:rPr>
              <w:t>采用双路供电，水泵设计考虑备用，机械设备采用性能可靠优质产品</w:t>
            </w:r>
            <w:r>
              <w:rPr>
                <w:rFonts w:ascii="Times New Roman" w:eastAsiaTheme="minorEastAsia"/>
                <w:bCs/>
                <w:color w:val="auto"/>
              </w:rPr>
              <w:t>。</w:t>
            </w:r>
          </w:p>
          <w:p>
            <w:pPr>
              <w:pStyle w:val="12"/>
              <w:adjustRightInd w:val="0"/>
              <w:snapToGrid w:val="0"/>
              <w:ind w:firstLine="480" w:firstLineChars="200"/>
              <w:rPr>
                <w:rFonts w:ascii="Times New Roman" w:eastAsiaTheme="minorEastAsia"/>
                <w:bCs/>
                <w:color w:val="auto"/>
              </w:rPr>
            </w:pPr>
            <w:r>
              <w:rPr>
                <w:rFonts w:hint="eastAsia" w:hAnsi="宋体" w:cs="宋体"/>
                <w:bCs/>
                <w:color w:val="auto"/>
              </w:rPr>
              <w:t>⑶</w:t>
            </w:r>
            <w:r>
              <w:rPr>
                <w:rFonts w:ascii="Times New Roman" w:eastAsiaTheme="minorEastAsia"/>
                <w:color w:val="auto"/>
              </w:rPr>
              <w:t>对项目使用的各种机械电器、仪表等主要设备，必须选择质量优良、事故率低、便于维修的产品；关键设备应一备一用，易损部件要有备用件，在出现事故时能及时更换。</w:t>
            </w:r>
          </w:p>
          <w:p>
            <w:pPr>
              <w:pStyle w:val="12"/>
              <w:adjustRightInd w:val="0"/>
              <w:snapToGrid w:val="0"/>
              <w:ind w:firstLine="480" w:firstLineChars="200"/>
              <w:rPr>
                <w:rFonts w:ascii="Times New Roman" w:eastAsiaTheme="minorEastAsia"/>
                <w:bCs/>
                <w:color w:val="auto"/>
              </w:rPr>
            </w:pPr>
            <w:r>
              <w:rPr>
                <w:rFonts w:hint="eastAsia" w:hAnsi="宋体" w:cs="宋体"/>
                <w:bCs/>
                <w:color w:val="auto"/>
              </w:rPr>
              <w:t>⑷</w:t>
            </w:r>
            <w:r>
              <w:rPr>
                <w:rFonts w:ascii="Times New Roman" w:eastAsiaTheme="minorEastAsia"/>
                <w:color w:val="auto"/>
              </w:rPr>
              <w:t>严格控制处理单元的水量、水质、停留时间、负荷强度等工艺参数，确保处理效果的稳定性；配备流量、水质自动分析监控仪器，定期取样监测；操作人员及时调整，使设备处于最佳工况，如发现不正常现象，必须立即采取预防措施。</w:t>
            </w:r>
          </w:p>
          <w:p>
            <w:pPr>
              <w:pStyle w:val="12"/>
              <w:adjustRightInd w:val="0"/>
              <w:snapToGrid w:val="0"/>
              <w:ind w:firstLine="480" w:firstLineChars="200"/>
              <w:rPr>
                <w:rFonts w:ascii="Times New Roman" w:eastAsiaTheme="minorEastAsia"/>
                <w:bCs/>
                <w:color w:val="auto"/>
              </w:rPr>
            </w:pPr>
            <w:r>
              <w:rPr>
                <w:rFonts w:hint="eastAsia" w:hAnsi="宋体" w:cs="宋体"/>
                <w:bCs/>
                <w:color w:val="auto"/>
              </w:rPr>
              <w:t>⑸</w:t>
            </w:r>
            <w:r>
              <w:rPr>
                <w:rFonts w:ascii="Times New Roman" w:eastAsiaTheme="minorEastAsia"/>
                <w:color w:val="auto"/>
              </w:rPr>
              <w:t>考虑到污水的腐蚀性，淹没于水中的设备、部件所用材料须采用铬镍不锈钢或铸铁等耐腐蚀材料，平台以上部分可为铝合金或碳钢（镀锌或涂刷环氧漆）。</w:t>
            </w:r>
          </w:p>
          <w:p>
            <w:pPr>
              <w:pStyle w:val="12"/>
              <w:adjustRightInd w:val="0"/>
              <w:snapToGrid w:val="0"/>
              <w:ind w:firstLine="480" w:firstLineChars="200"/>
              <w:rPr>
                <w:rFonts w:ascii="Times New Roman" w:eastAsiaTheme="minorEastAsia"/>
                <w:bCs/>
                <w:color w:val="auto"/>
              </w:rPr>
            </w:pPr>
            <w:r>
              <w:rPr>
                <w:rFonts w:hint="eastAsia" w:hAnsi="宋体" w:cs="宋体"/>
                <w:bCs/>
                <w:color w:val="auto"/>
              </w:rPr>
              <w:t>⑹</w:t>
            </w:r>
            <w:r>
              <w:rPr>
                <w:rFonts w:ascii="Times New Roman" w:eastAsiaTheme="minorEastAsia"/>
                <w:color w:val="auto"/>
              </w:rPr>
              <w:t>加强运行管理和进出水的监测工作，未经处理达标的污水严禁外排；加强事故苗头监控，定期巡检、调节、保养、维修，及时发现有可能引起事故的异常运行苗头，消除事故隐患。</w:t>
            </w:r>
          </w:p>
          <w:p>
            <w:pPr>
              <w:pStyle w:val="19"/>
              <w:adjustRightInd w:val="0"/>
              <w:snapToGrid w:val="0"/>
              <w:spacing w:line="360" w:lineRule="auto"/>
              <w:ind w:firstLine="480" w:firstLineChars="200"/>
              <w:rPr>
                <w:rFonts w:ascii="Times New Roman" w:hAnsi="Times New Roman" w:cs="Times New Roman" w:eastAsiaTheme="minorEastAsia"/>
                <w:bCs/>
                <w:color w:val="auto"/>
                <w:sz w:val="24"/>
                <w:szCs w:val="24"/>
              </w:rPr>
            </w:pPr>
            <w:r>
              <w:rPr>
                <w:rFonts w:ascii="Times New Roman" w:hAnsi="Times New Roman" w:cs="Times New Roman" w:eastAsiaTheme="minorEastAsia"/>
                <w:bCs/>
                <w:color w:val="auto"/>
                <w:sz w:val="24"/>
                <w:szCs w:val="24"/>
              </w:rPr>
              <w:fldChar w:fldCharType="begin"/>
            </w:r>
            <w:r>
              <w:rPr>
                <w:rFonts w:ascii="Times New Roman" w:hAnsi="Times New Roman" w:cs="Times New Roman" w:eastAsiaTheme="minorEastAsia"/>
                <w:bCs/>
                <w:color w:val="auto"/>
                <w:sz w:val="24"/>
                <w:szCs w:val="24"/>
              </w:rPr>
              <w:instrText xml:space="preserve"> = 7 \* GB2 </w:instrText>
            </w:r>
            <w:r>
              <w:rPr>
                <w:rFonts w:ascii="Times New Roman" w:hAnsi="Times New Roman" w:cs="Times New Roman" w:eastAsiaTheme="minorEastAsia"/>
                <w:bCs/>
                <w:color w:val="auto"/>
                <w:sz w:val="24"/>
                <w:szCs w:val="24"/>
              </w:rPr>
              <w:fldChar w:fldCharType="separate"/>
            </w:r>
            <w:r>
              <w:rPr>
                <w:rFonts w:hint="eastAsia" w:hAnsi="宋体" w:cs="宋体"/>
                <w:bCs/>
                <w:color w:val="auto"/>
                <w:sz w:val="24"/>
                <w:szCs w:val="24"/>
              </w:rPr>
              <w:t>⑺</w:t>
            </w:r>
            <w:r>
              <w:rPr>
                <w:rFonts w:ascii="Times New Roman" w:hAnsi="Times New Roman" w:cs="Times New Roman" w:eastAsiaTheme="minorEastAsia"/>
                <w:bCs/>
                <w:color w:val="auto"/>
                <w:sz w:val="24"/>
                <w:szCs w:val="24"/>
              </w:rPr>
              <w:fldChar w:fldCharType="end"/>
            </w:r>
            <w:r>
              <w:rPr>
                <w:rFonts w:ascii="Times New Roman" w:hAnsi="Times New Roman" w:cs="Times New Roman" w:eastAsiaTheme="minorEastAsia"/>
                <w:color w:val="auto"/>
                <w:sz w:val="24"/>
              </w:rPr>
              <w:t>为使在事故状态下污水处理厂能够迅速恢复正常运行，应在主要水工建筑物容积上留有相应的缓冲能力，并配有相应设备（如回流泵、回流管道、阀门及仪表等）。</w:t>
            </w:r>
          </w:p>
          <w:p>
            <w:pPr>
              <w:pStyle w:val="19"/>
              <w:adjustRightInd w:val="0"/>
              <w:snapToGrid w:val="0"/>
              <w:spacing w:line="360" w:lineRule="auto"/>
              <w:ind w:firstLine="480" w:firstLineChars="200"/>
              <w:rPr>
                <w:rFonts w:ascii="Times New Roman" w:hAnsi="Times New Roman" w:cs="Times New Roman" w:eastAsiaTheme="minorEastAsia"/>
                <w:bCs/>
                <w:color w:val="auto"/>
                <w:sz w:val="24"/>
                <w:szCs w:val="24"/>
              </w:rPr>
            </w:pPr>
            <w:r>
              <w:rPr>
                <w:rFonts w:ascii="Times New Roman" w:hAnsi="Times New Roman" w:cs="Times New Roman" w:eastAsiaTheme="minorEastAsia"/>
                <w:bCs/>
                <w:color w:val="auto"/>
                <w:sz w:val="24"/>
                <w:szCs w:val="24"/>
              </w:rPr>
              <w:fldChar w:fldCharType="begin"/>
            </w:r>
            <w:r>
              <w:rPr>
                <w:rFonts w:ascii="Times New Roman" w:hAnsi="Times New Roman" w:cs="Times New Roman" w:eastAsiaTheme="minorEastAsia"/>
                <w:bCs/>
                <w:color w:val="auto"/>
                <w:sz w:val="24"/>
                <w:szCs w:val="24"/>
              </w:rPr>
              <w:instrText xml:space="preserve"> = 8 \* GB2 </w:instrText>
            </w:r>
            <w:r>
              <w:rPr>
                <w:rFonts w:ascii="Times New Roman" w:hAnsi="Times New Roman" w:cs="Times New Roman" w:eastAsiaTheme="minorEastAsia"/>
                <w:bCs/>
                <w:color w:val="auto"/>
                <w:sz w:val="24"/>
                <w:szCs w:val="24"/>
              </w:rPr>
              <w:fldChar w:fldCharType="separate"/>
            </w:r>
            <w:r>
              <w:rPr>
                <w:rFonts w:hint="eastAsia" w:hAnsi="宋体" w:cs="宋体"/>
                <w:bCs/>
                <w:color w:val="auto"/>
                <w:sz w:val="24"/>
                <w:szCs w:val="24"/>
              </w:rPr>
              <w:t>⑻</w:t>
            </w:r>
            <w:r>
              <w:rPr>
                <w:rFonts w:ascii="Times New Roman" w:hAnsi="Times New Roman" w:cs="Times New Roman" w:eastAsiaTheme="minorEastAsia"/>
                <w:bCs/>
                <w:color w:val="auto"/>
                <w:sz w:val="24"/>
                <w:szCs w:val="24"/>
              </w:rPr>
              <w:fldChar w:fldCharType="end"/>
            </w:r>
            <w:r>
              <w:rPr>
                <w:rFonts w:ascii="Times New Roman" w:hAnsi="Times New Roman" w:cs="Times New Roman" w:eastAsiaTheme="minorEastAsia"/>
                <w:color w:val="auto"/>
                <w:sz w:val="24"/>
              </w:rPr>
              <w:t>建立由污水处理厂厂长负责制的环境管理机构，从上到下建立起环境目标责任制，规范各部门的运行管理；对工作人员进行必要的审查，组织操作人员进行上岗前的专业培训；组织专业技术人员提前进岗，参与污水处理厂施工、安装、调试和验收的全过程，为今后的正常运行管理奠定基础。</w:t>
            </w:r>
          </w:p>
          <w:p>
            <w:pPr>
              <w:adjustRightInd w:val="0"/>
              <w:snapToGrid w:val="0"/>
              <w:spacing w:line="360" w:lineRule="auto"/>
              <w:ind w:firstLine="480" w:firstLineChars="200"/>
              <w:rPr>
                <w:rFonts w:eastAsiaTheme="minorEastAsia"/>
                <w:color w:val="auto"/>
                <w:sz w:val="24"/>
              </w:rPr>
            </w:pPr>
            <w:r>
              <w:rPr>
                <w:rFonts w:eastAsiaTheme="minorEastAsia"/>
                <w:bCs/>
                <w:color w:val="auto"/>
                <w:sz w:val="24"/>
              </w:rPr>
              <w:fldChar w:fldCharType="begin"/>
            </w:r>
            <w:r>
              <w:rPr>
                <w:rFonts w:eastAsiaTheme="minorEastAsia"/>
                <w:bCs/>
                <w:color w:val="auto"/>
                <w:sz w:val="24"/>
              </w:rPr>
              <w:instrText xml:space="preserve"> = 9 \* GB2 </w:instrText>
            </w:r>
            <w:r>
              <w:rPr>
                <w:rFonts w:eastAsiaTheme="minorEastAsia"/>
                <w:bCs/>
                <w:color w:val="auto"/>
                <w:sz w:val="24"/>
              </w:rPr>
              <w:fldChar w:fldCharType="separate"/>
            </w:r>
            <w:r>
              <w:rPr>
                <w:rFonts w:hint="eastAsia" w:ascii="宋体" w:hAnsi="宋体" w:cs="宋体"/>
                <w:bCs/>
                <w:color w:val="auto"/>
                <w:sz w:val="24"/>
              </w:rPr>
              <w:t>⑼</w:t>
            </w:r>
            <w:r>
              <w:rPr>
                <w:rFonts w:eastAsiaTheme="minorEastAsia"/>
                <w:bCs/>
                <w:color w:val="auto"/>
                <w:sz w:val="24"/>
              </w:rPr>
              <w:fldChar w:fldCharType="end"/>
            </w:r>
            <w:r>
              <w:rPr>
                <w:rFonts w:eastAsiaTheme="minorEastAsia"/>
                <w:color w:val="auto"/>
                <w:sz w:val="24"/>
              </w:rPr>
              <w:t>主动接受和协助地方环保局和其他相关部门的监督和管理；鼓励公众参与对污水处理厂的监督，最大程度减小事故排放的可能性。</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 10 \* GB2 </w:instrText>
            </w:r>
            <w:r>
              <w:rPr>
                <w:rFonts w:eastAsiaTheme="minorEastAsia"/>
                <w:color w:val="auto"/>
                <w:sz w:val="24"/>
              </w:rPr>
              <w:fldChar w:fldCharType="separate"/>
            </w:r>
            <w:r>
              <w:rPr>
                <w:rFonts w:hint="eastAsia" w:ascii="宋体" w:hAnsi="宋体" w:cs="宋体"/>
                <w:color w:val="auto"/>
                <w:sz w:val="24"/>
              </w:rPr>
              <w:t>⑽</w:t>
            </w:r>
            <w:r>
              <w:rPr>
                <w:rFonts w:eastAsiaTheme="minorEastAsia"/>
                <w:color w:val="auto"/>
                <w:sz w:val="24"/>
              </w:rPr>
              <w:fldChar w:fldCharType="end"/>
            </w:r>
            <w:r>
              <w:rPr>
                <w:rFonts w:eastAsiaTheme="minorEastAsia"/>
                <w:color w:val="auto"/>
                <w:sz w:val="24"/>
              </w:rPr>
              <w:t>因需要暂停运转的，须报当地环保部门审查和批准；因事故停止运转，应立即采取措施，停止废水排放，并及时报告当地环境保护行政主管部门。</w:t>
            </w:r>
          </w:p>
          <w:p>
            <w:pPr>
              <w:pStyle w:val="19"/>
              <w:adjustRightInd w:val="0"/>
              <w:snapToGrid w:val="0"/>
              <w:spacing w:line="360" w:lineRule="auto"/>
              <w:ind w:firstLine="480" w:firstLineChars="200"/>
              <w:rPr>
                <w:rFonts w:ascii="Times New Roman" w:hAnsi="Times New Roman" w:cs="Times New Roman" w:eastAsiaTheme="minorEastAsia"/>
                <w:bCs/>
                <w:color w:val="auto"/>
                <w:sz w:val="24"/>
                <w:szCs w:val="24"/>
              </w:rPr>
            </w:pPr>
            <w:r>
              <w:rPr>
                <w:rFonts w:ascii="Times New Roman" w:hAnsi="Times New Roman" w:cs="Times New Roman" w:eastAsiaTheme="minorEastAsia"/>
                <w:bCs/>
                <w:color w:val="auto"/>
                <w:sz w:val="24"/>
                <w:szCs w:val="24"/>
              </w:rPr>
              <w:fldChar w:fldCharType="begin"/>
            </w:r>
            <w:r>
              <w:rPr>
                <w:rFonts w:ascii="Times New Roman" w:hAnsi="Times New Roman" w:cs="Times New Roman" w:eastAsiaTheme="minorEastAsia"/>
                <w:bCs/>
                <w:color w:val="auto"/>
                <w:sz w:val="24"/>
                <w:szCs w:val="24"/>
              </w:rPr>
              <w:instrText xml:space="preserve"> = 11 \* GB2 </w:instrText>
            </w:r>
            <w:r>
              <w:rPr>
                <w:rFonts w:ascii="Times New Roman" w:hAnsi="Times New Roman" w:cs="Times New Roman" w:eastAsiaTheme="minorEastAsia"/>
                <w:bCs/>
                <w:color w:val="auto"/>
                <w:sz w:val="24"/>
                <w:szCs w:val="24"/>
              </w:rPr>
              <w:fldChar w:fldCharType="separate"/>
            </w:r>
            <w:r>
              <w:rPr>
                <w:rFonts w:hint="eastAsia" w:hAnsi="宋体" w:cs="宋体"/>
                <w:bCs/>
                <w:color w:val="auto"/>
                <w:sz w:val="24"/>
                <w:szCs w:val="24"/>
              </w:rPr>
              <w:t>⑾</w:t>
            </w:r>
            <w:r>
              <w:rPr>
                <w:rFonts w:ascii="Times New Roman" w:hAnsi="Times New Roman" w:cs="Times New Roman" w:eastAsiaTheme="minorEastAsia"/>
                <w:bCs/>
                <w:color w:val="auto"/>
                <w:sz w:val="24"/>
                <w:szCs w:val="24"/>
              </w:rPr>
              <w:fldChar w:fldCharType="end"/>
            </w:r>
            <w:r>
              <w:rPr>
                <w:rFonts w:ascii="Times New Roman" w:hAnsi="Times New Roman" w:cs="Times New Roman" w:eastAsiaTheme="minorEastAsia"/>
                <w:color w:val="auto"/>
                <w:kern w:val="0"/>
                <w:sz w:val="24"/>
                <w:szCs w:val="24"/>
              </w:rPr>
              <w:t>发生事故时采取的措施</w:t>
            </w:r>
            <w:r>
              <w:rPr>
                <w:rFonts w:ascii="Times New Roman" w:hAnsi="Times New Roman" w:cs="Times New Roman" w:eastAsiaTheme="minorEastAsia"/>
                <w:bCs/>
                <w:color w:val="auto"/>
                <w:sz w:val="24"/>
                <w:szCs w:val="24"/>
              </w:rPr>
              <w:t>：</w:t>
            </w:r>
          </w:p>
          <w:p>
            <w:pPr>
              <w:pStyle w:val="12"/>
              <w:adjustRightInd w:val="0"/>
              <w:snapToGrid w:val="0"/>
              <w:ind w:firstLine="480" w:firstLineChars="200"/>
              <w:rPr>
                <w:rFonts w:ascii="Times New Roman" w:eastAsiaTheme="minorEastAsia"/>
                <w:bCs/>
                <w:color w:val="auto"/>
              </w:rPr>
            </w:pPr>
            <w:r>
              <w:rPr>
                <w:rFonts w:hint="eastAsia" w:hAnsi="宋体" w:cs="宋体"/>
                <w:bCs/>
                <w:color w:val="auto"/>
              </w:rPr>
              <w:t>①</w:t>
            </w:r>
            <w:r>
              <w:rPr>
                <w:rFonts w:ascii="Times New Roman" w:eastAsiaTheme="minorEastAsia"/>
                <w:color w:val="auto"/>
                <w:kern w:val="0"/>
              </w:rPr>
              <w:t>力争保证格栅和沉砂池正常运行。</w:t>
            </w:r>
          </w:p>
          <w:p>
            <w:pPr>
              <w:pStyle w:val="19"/>
              <w:adjustRightInd w:val="0"/>
              <w:snapToGrid w:val="0"/>
              <w:spacing w:line="360" w:lineRule="auto"/>
              <w:ind w:firstLine="480" w:firstLineChars="200"/>
              <w:rPr>
                <w:rFonts w:ascii="Times New Roman" w:hAnsi="Times New Roman" w:cs="Times New Roman" w:eastAsiaTheme="minorEastAsia"/>
                <w:bCs/>
                <w:color w:val="auto"/>
                <w:sz w:val="24"/>
                <w:szCs w:val="24"/>
              </w:rPr>
            </w:pPr>
            <w:r>
              <w:rPr>
                <w:rFonts w:hint="eastAsia" w:hAnsi="宋体" w:cs="宋体"/>
                <w:bCs/>
                <w:color w:val="auto"/>
                <w:sz w:val="24"/>
                <w:szCs w:val="24"/>
              </w:rPr>
              <w:t>②</w:t>
            </w:r>
            <w:r>
              <w:rPr>
                <w:rFonts w:ascii="Times New Roman" w:hAnsi="Times New Roman" w:cs="Times New Roman" w:eastAsiaTheme="minorEastAsia"/>
                <w:color w:val="auto"/>
                <w:kern w:val="0"/>
                <w:sz w:val="24"/>
                <w:szCs w:val="24"/>
              </w:rPr>
              <w:t>同时从汇水系统的主要污染源查找原因，由有关排污单位采取应急措施，控制对微生物有毒害物质的排放量。</w:t>
            </w:r>
          </w:p>
          <w:p>
            <w:pPr>
              <w:pStyle w:val="19"/>
              <w:adjustRightInd w:val="0"/>
              <w:snapToGrid w:val="0"/>
              <w:spacing w:line="360" w:lineRule="auto"/>
              <w:ind w:firstLine="480" w:firstLineChars="200"/>
              <w:rPr>
                <w:rFonts w:ascii="Times New Roman" w:hAnsi="Times New Roman" w:cs="Times New Roman" w:eastAsiaTheme="minorEastAsia"/>
                <w:bCs/>
                <w:color w:val="auto"/>
                <w:sz w:val="24"/>
                <w:szCs w:val="24"/>
              </w:rPr>
            </w:pPr>
            <w:r>
              <w:rPr>
                <w:rFonts w:hint="eastAsia" w:hAnsi="宋体" w:cs="宋体"/>
                <w:bCs/>
                <w:color w:val="auto"/>
                <w:sz w:val="24"/>
                <w:szCs w:val="24"/>
              </w:rPr>
              <w:t>③</w:t>
            </w:r>
            <w:r>
              <w:rPr>
                <w:rFonts w:ascii="Times New Roman" w:hAnsi="Times New Roman" w:cs="Times New Roman" w:eastAsiaTheme="minorEastAsia"/>
                <w:color w:val="auto"/>
                <w:kern w:val="0"/>
                <w:sz w:val="24"/>
                <w:szCs w:val="24"/>
              </w:rPr>
              <w:t>一旦出现不可抗拒的外部原因，如双回路停电，突发性自然灾害等情况将导致污水未处理外排时，应要求接管工厂部分或全部停止向管道排污，以确保水体功能安全；本项目调节池设计大小为256m</w:t>
            </w:r>
            <w:r>
              <w:rPr>
                <w:rFonts w:ascii="Times New Roman" w:hAnsi="Times New Roman" w:cs="Times New Roman" w:eastAsiaTheme="minorEastAsia"/>
                <w:color w:val="auto"/>
                <w:kern w:val="0"/>
                <w:sz w:val="24"/>
                <w:szCs w:val="24"/>
                <w:vertAlign w:val="superscript"/>
              </w:rPr>
              <w:t>3</w:t>
            </w:r>
            <w:r>
              <w:rPr>
                <w:rFonts w:ascii="Times New Roman" w:hAnsi="Times New Roman" w:cs="Times New Roman" w:eastAsiaTheme="minorEastAsia"/>
                <w:color w:val="auto"/>
                <w:kern w:val="0"/>
                <w:sz w:val="24"/>
                <w:szCs w:val="24"/>
              </w:rPr>
              <w:t>，可座临时事故池使用，在污水未处理时回流至调节池等待后续处理。</w:t>
            </w:r>
          </w:p>
          <w:p>
            <w:pPr>
              <w:pStyle w:val="19"/>
              <w:adjustRightInd w:val="0"/>
              <w:snapToGrid w:val="0"/>
              <w:spacing w:line="360" w:lineRule="auto"/>
              <w:ind w:firstLine="480" w:firstLineChars="200"/>
              <w:rPr>
                <w:rFonts w:ascii="Times New Roman" w:hAnsi="Times New Roman" w:cs="Times New Roman" w:eastAsiaTheme="minorEastAsia"/>
                <w:color w:val="auto"/>
                <w:kern w:val="0"/>
                <w:sz w:val="24"/>
                <w:szCs w:val="24"/>
              </w:rPr>
            </w:pPr>
            <w:r>
              <w:rPr>
                <w:rFonts w:hint="eastAsia" w:hAnsi="宋体" w:cs="宋体"/>
                <w:bCs/>
                <w:color w:val="auto"/>
                <w:sz w:val="24"/>
                <w:szCs w:val="24"/>
              </w:rPr>
              <w:t>④</w:t>
            </w:r>
            <w:r>
              <w:rPr>
                <w:rFonts w:ascii="Times New Roman" w:hAnsi="Times New Roman" w:cs="Times New Roman" w:eastAsiaTheme="minorEastAsia"/>
                <w:color w:val="auto"/>
                <w:kern w:val="0"/>
                <w:sz w:val="24"/>
                <w:szCs w:val="24"/>
              </w:rPr>
              <w:t>在事故发生及处理期间，应在排放口附近水域悬挂标志示警，提醒各有关方面采取防范措施。</w:t>
            </w:r>
          </w:p>
          <w:p>
            <w:pPr>
              <w:pStyle w:val="19"/>
              <w:adjustRightInd w:val="0"/>
              <w:snapToGrid w:val="0"/>
              <w:spacing w:line="360" w:lineRule="auto"/>
              <w:ind w:firstLine="480" w:firstLineChars="200"/>
              <w:rPr>
                <w:rFonts w:ascii="Times New Roman" w:hAnsi="Times New Roman" w:cs="Times New Roman" w:eastAsiaTheme="minorEastAsia"/>
                <w:color w:val="auto"/>
                <w:kern w:val="0"/>
                <w:sz w:val="24"/>
                <w:szCs w:val="24"/>
              </w:rPr>
            </w:pPr>
            <w:r>
              <w:rPr>
                <w:rFonts w:ascii="Times New Roman" w:hAnsi="Times New Roman" w:cs="Times New Roman" w:eastAsiaTheme="minorEastAsia"/>
                <w:color w:val="auto"/>
                <w:kern w:val="0"/>
                <w:sz w:val="24"/>
                <w:szCs w:val="24"/>
              </w:rPr>
              <w:fldChar w:fldCharType="begin"/>
            </w:r>
            <w:r>
              <w:rPr>
                <w:rFonts w:ascii="Times New Roman" w:hAnsi="Times New Roman" w:cs="Times New Roman" w:eastAsiaTheme="minorEastAsia"/>
                <w:color w:val="auto"/>
                <w:kern w:val="0"/>
                <w:sz w:val="24"/>
                <w:szCs w:val="24"/>
              </w:rPr>
              <w:instrText xml:space="preserve"> = 12 \* GB2 </w:instrText>
            </w:r>
            <w:r>
              <w:rPr>
                <w:rFonts w:ascii="Times New Roman" w:hAnsi="Times New Roman" w:cs="Times New Roman" w:eastAsiaTheme="minorEastAsia"/>
                <w:color w:val="auto"/>
                <w:kern w:val="0"/>
                <w:sz w:val="24"/>
                <w:szCs w:val="24"/>
              </w:rPr>
              <w:fldChar w:fldCharType="separate"/>
            </w:r>
            <w:r>
              <w:rPr>
                <w:rFonts w:hint="eastAsia" w:hAnsi="宋体" w:cs="宋体"/>
                <w:color w:val="auto"/>
                <w:kern w:val="0"/>
                <w:sz w:val="24"/>
                <w:szCs w:val="24"/>
              </w:rPr>
              <w:t>⑿</w:t>
            </w:r>
            <w:r>
              <w:rPr>
                <w:rFonts w:ascii="Times New Roman" w:hAnsi="Times New Roman" w:cs="Times New Roman" w:eastAsiaTheme="minorEastAsia"/>
                <w:color w:val="auto"/>
                <w:kern w:val="0"/>
                <w:sz w:val="24"/>
                <w:szCs w:val="24"/>
              </w:rPr>
              <w:fldChar w:fldCharType="end"/>
            </w:r>
            <w:r>
              <w:rPr>
                <w:rFonts w:ascii="Times New Roman" w:hAnsi="Times New Roman" w:cs="Times New Roman" w:eastAsiaTheme="minorEastAsia"/>
                <w:color w:val="auto"/>
                <w:kern w:val="0"/>
                <w:sz w:val="24"/>
                <w:szCs w:val="24"/>
              </w:rPr>
              <w:t>发生</w:t>
            </w:r>
            <w:r>
              <w:rPr>
                <w:rFonts w:ascii="Times New Roman" w:hAnsi="Times New Roman" w:cs="Times New Roman" w:eastAsiaTheme="minorEastAsia"/>
                <w:color w:val="auto"/>
                <w:sz w:val="24"/>
              </w:rPr>
              <w:t>尾水超标</w:t>
            </w:r>
            <w:r>
              <w:rPr>
                <w:rFonts w:ascii="Times New Roman" w:hAnsi="Times New Roman" w:cs="Times New Roman" w:eastAsiaTheme="minorEastAsia"/>
                <w:color w:val="auto"/>
                <w:kern w:val="0"/>
                <w:sz w:val="24"/>
                <w:szCs w:val="24"/>
              </w:rPr>
              <w:t>时采取的措施</w:t>
            </w:r>
            <w:r>
              <w:rPr>
                <w:rFonts w:ascii="Times New Roman" w:hAnsi="Times New Roman" w:cs="Times New Roman" w:eastAsiaTheme="minorEastAsia"/>
                <w:bCs/>
                <w:color w:val="auto"/>
                <w:sz w:val="24"/>
                <w:szCs w:val="24"/>
              </w:rPr>
              <w:t>：</w:t>
            </w:r>
          </w:p>
          <w:p>
            <w:pPr>
              <w:pStyle w:val="19"/>
              <w:adjustRightInd w:val="0"/>
              <w:snapToGrid w:val="0"/>
              <w:spacing w:line="360" w:lineRule="auto"/>
              <w:ind w:firstLine="480" w:firstLineChars="200"/>
              <w:rPr>
                <w:rFonts w:ascii="Times New Roman" w:hAnsi="Times New Roman" w:cs="Times New Roman" w:eastAsiaTheme="minorEastAsia"/>
                <w:bCs/>
                <w:color w:val="auto"/>
                <w:kern w:val="0"/>
                <w:sz w:val="24"/>
                <w:szCs w:val="24"/>
              </w:rPr>
            </w:pPr>
            <w:r>
              <w:rPr>
                <w:rFonts w:hint="eastAsia" w:hAnsi="宋体" w:cs="宋体"/>
                <w:bCs/>
                <w:color w:val="auto"/>
                <w:sz w:val="24"/>
                <w:szCs w:val="24"/>
              </w:rPr>
              <w:t>①</w:t>
            </w:r>
            <w:r>
              <w:rPr>
                <w:rFonts w:ascii="Times New Roman" w:hAnsi="Times New Roman" w:cs="Times New Roman" w:eastAsiaTheme="minorEastAsia"/>
                <w:bCs/>
                <w:color w:val="auto"/>
                <w:sz w:val="24"/>
                <w:szCs w:val="24"/>
              </w:rPr>
              <w:t>当班人员应立即排查造成超标的原因，主要从以下几个方面入手考虑：进水</w:t>
            </w:r>
            <w:r>
              <w:rPr>
                <w:rFonts w:ascii="Times New Roman" w:hAnsi="Times New Roman" w:cs="Times New Roman" w:eastAsiaTheme="minorEastAsia"/>
                <w:color w:val="auto"/>
                <w:sz w:val="24"/>
              </w:rPr>
              <w:t>水质</w:t>
            </w:r>
            <w:r>
              <w:rPr>
                <w:rFonts w:ascii="Times New Roman" w:hAnsi="Times New Roman" w:cs="Times New Roman" w:eastAsiaTheme="minorEastAsia"/>
                <w:bCs/>
                <w:color w:val="auto"/>
                <w:sz w:val="24"/>
                <w:szCs w:val="24"/>
              </w:rPr>
              <w:t>是否超标，进水水量是否超过处理能力，设备是否正常运行等。</w:t>
            </w:r>
          </w:p>
          <w:p>
            <w:pPr>
              <w:pStyle w:val="19"/>
              <w:adjustRightInd w:val="0"/>
              <w:snapToGrid w:val="0"/>
              <w:spacing w:line="360" w:lineRule="auto"/>
              <w:ind w:firstLine="480" w:firstLineChars="200"/>
              <w:rPr>
                <w:rFonts w:ascii="Times New Roman" w:hAnsi="Times New Roman" w:cs="Times New Roman" w:eastAsiaTheme="minorEastAsia"/>
                <w:bCs/>
                <w:color w:val="auto"/>
                <w:sz w:val="24"/>
                <w:szCs w:val="24"/>
              </w:rPr>
            </w:pPr>
            <w:r>
              <w:rPr>
                <w:rFonts w:hint="eastAsia" w:hAnsi="宋体" w:cs="宋体"/>
                <w:bCs/>
                <w:color w:val="auto"/>
                <w:sz w:val="24"/>
                <w:szCs w:val="24"/>
              </w:rPr>
              <w:t>②</w:t>
            </w:r>
            <w:r>
              <w:rPr>
                <w:rFonts w:ascii="Times New Roman" w:hAnsi="Times New Roman" w:cs="Times New Roman" w:eastAsiaTheme="minorEastAsia"/>
                <w:bCs/>
                <w:color w:val="auto"/>
                <w:sz w:val="24"/>
                <w:szCs w:val="24"/>
              </w:rPr>
              <w:t>若</w:t>
            </w:r>
            <w:r>
              <w:rPr>
                <w:rFonts w:ascii="Times New Roman" w:hAnsi="Times New Roman" w:cs="Times New Roman" w:eastAsiaTheme="minorEastAsia"/>
                <w:color w:val="auto"/>
                <w:sz w:val="24"/>
              </w:rPr>
              <w:t>发现进水水质超标：立即向领导汇报，并通知各进水泵站减少送水量；立即组织化验班组对进水水质、工艺运行参数、出水水质数据进行分析，根据化验数据对相关工艺流程进行及时调整。</w:t>
            </w:r>
          </w:p>
          <w:p>
            <w:pPr>
              <w:pStyle w:val="19"/>
              <w:adjustRightInd w:val="0"/>
              <w:snapToGrid w:val="0"/>
              <w:spacing w:line="360" w:lineRule="auto"/>
              <w:ind w:firstLine="480" w:firstLineChars="200"/>
              <w:rPr>
                <w:rFonts w:ascii="Times New Roman" w:hAnsi="Times New Roman" w:cs="Times New Roman" w:eastAsiaTheme="minorEastAsia"/>
                <w:bCs/>
                <w:color w:val="auto"/>
                <w:sz w:val="24"/>
                <w:szCs w:val="24"/>
              </w:rPr>
            </w:pPr>
            <w:r>
              <w:rPr>
                <w:rFonts w:hint="eastAsia" w:hAnsi="宋体" w:cs="宋体"/>
                <w:bCs/>
                <w:color w:val="auto"/>
                <w:sz w:val="24"/>
                <w:szCs w:val="24"/>
              </w:rPr>
              <w:t>③</w:t>
            </w:r>
            <w:r>
              <w:rPr>
                <w:rFonts w:ascii="Times New Roman" w:hAnsi="Times New Roman" w:cs="Times New Roman" w:eastAsiaTheme="minorEastAsia"/>
                <w:bCs/>
                <w:color w:val="auto"/>
                <w:sz w:val="24"/>
                <w:szCs w:val="24"/>
              </w:rPr>
              <w:t>若发现</w:t>
            </w:r>
            <w:r>
              <w:rPr>
                <w:rFonts w:ascii="Times New Roman" w:hAnsi="Times New Roman" w:cs="Times New Roman" w:eastAsiaTheme="minorEastAsia"/>
                <w:color w:val="auto"/>
                <w:sz w:val="24"/>
              </w:rPr>
              <w:t>进水水量超过处理能力：及时与相关部门联系，</w:t>
            </w:r>
            <w:r>
              <w:rPr>
                <w:rFonts w:ascii="Times New Roman" w:hAnsi="Times New Roman" w:cs="Times New Roman" w:eastAsiaTheme="minorEastAsia"/>
                <w:color w:val="auto"/>
                <w:sz w:val="24"/>
                <w:szCs w:val="24"/>
              </w:rPr>
              <w:t>并取水样化验COD、氨氮，在达到排放标准及征得上级同意后，将超越阀打开，直至与处理能力相当；及时通知中途提升泵站减少进水水量。</w:t>
            </w:r>
          </w:p>
          <w:p>
            <w:pPr>
              <w:adjustRightInd w:val="0"/>
              <w:snapToGrid w:val="0"/>
              <w:spacing w:line="360" w:lineRule="auto"/>
              <w:ind w:firstLine="480" w:firstLineChars="200"/>
              <w:rPr>
                <w:rFonts w:eastAsiaTheme="minorEastAsia"/>
                <w:color w:val="auto"/>
                <w:sz w:val="24"/>
              </w:rPr>
            </w:pPr>
            <w:r>
              <w:rPr>
                <w:rFonts w:hint="eastAsia" w:ascii="宋体" w:hAnsi="宋体" w:cs="宋体"/>
                <w:bCs/>
                <w:color w:val="auto"/>
                <w:sz w:val="24"/>
              </w:rPr>
              <w:t>④</w:t>
            </w:r>
            <w:r>
              <w:rPr>
                <w:rFonts w:eastAsiaTheme="minorEastAsia"/>
                <w:bCs/>
                <w:color w:val="auto"/>
                <w:sz w:val="24"/>
              </w:rPr>
              <w:t>若出现</w:t>
            </w:r>
            <w:r>
              <w:rPr>
                <w:rFonts w:eastAsiaTheme="minorEastAsia"/>
                <w:color w:val="auto"/>
                <w:sz w:val="24"/>
              </w:rPr>
              <w:t>突发暴雨：根据天气预报，组织机修班预先对各设备进行检查，确保完好，组织力量对厂区雨水管线进行疏通，确保畅通；各岗位将门窗关紧，防止雨水流入，影响设备运行；生产运行班组外出巡视，必须两人一组，注意防滑；变电值班人员及时检查避雷是否发挥作用；厂抢修队员、车辆做到随叫随到，以处置突发事故的发生。</w:t>
            </w:r>
          </w:p>
          <w:p>
            <w:pPr>
              <w:adjustRightInd w:val="0"/>
              <w:snapToGrid w:val="0"/>
              <w:spacing w:line="360" w:lineRule="auto"/>
              <w:ind w:firstLine="480" w:firstLineChars="200"/>
              <w:rPr>
                <w:rFonts w:eastAsiaTheme="minorEastAsia"/>
                <w:bCs/>
                <w:color w:val="auto"/>
                <w:sz w:val="24"/>
              </w:rPr>
            </w:pPr>
            <w:r>
              <w:rPr>
                <w:rFonts w:eastAsiaTheme="minorEastAsia"/>
                <w:color w:val="auto"/>
                <w:sz w:val="24"/>
              </w:rPr>
              <w:fldChar w:fldCharType="begin"/>
            </w:r>
            <w:r>
              <w:rPr>
                <w:rFonts w:eastAsiaTheme="minorEastAsia"/>
                <w:color w:val="auto"/>
                <w:sz w:val="24"/>
              </w:rPr>
              <w:instrText xml:space="preserve"> = 13 \* GB2 </w:instrText>
            </w:r>
            <w:r>
              <w:rPr>
                <w:rFonts w:eastAsiaTheme="minorEastAsia"/>
                <w:color w:val="auto"/>
                <w:sz w:val="24"/>
              </w:rPr>
              <w:fldChar w:fldCharType="separate"/>
            </w:r>
            <w:r>
              <w:rPr>
                <w:rFonts w:hint="eastAsia" w:ascii="宋体" w:hAnsi="宋体" w:cs="宋体"/>
                <w:color w:val="auto"/>
                <w:sz w:val="24"/>
              </w:rPr>
              <w:t>⒀</w:t>
            </w:r>
            <w:r>
              <w:rPr>
                <w:rFonts w:eastAsiaTheme="minorEastAsia"/>
                <w:color w:val="auto"/>
                <w:sz w:val="24"/>
              </w:rPr>
              <w:fldChar w:fldCharType="end"/>
            </w:r>
            <w:r>
              <w:rPr>
                <w:rFonts w:eastAsiaTheme="minorEastAsia"/>
                <w:color w:val="auto"/>
                <w:sz w:val="24"/>
              </w:rPr>
              <w:t>污水处理消毒剂风险防范措施</w:t>
            </w:r>
          </w:p>
          <w:p>
            <w:pPr>
              <w:adjustRightInd w:val="0"/>
              <w:snapToGrid w:val="0"/>
              <w:spacing w:line="360" w:lineRule="auto"/>
              <w:ind w:firstLine="480" w:firstLineChars="200"/>
              <w:rPr>
                <w:rFonts w:eastAsiaTheme="minorEastAsia"/>
                <w:bCs/>
                <w:color w:val="auto"/>
                <w:sz w:val="24"/>
              </w:rPr>
            </w:pPr>
            <w:r>
              <w:rPr>
                <w:rFonts w:hint="eastAsia" w:ascii="宋体" w:hAnsi="宋体" w:cs="宋体"/>
                <w:color w:val="auto"/>
                <w:sz w:val="24"/>
                <w:szCs w:val="18"/>
              </w:rPr>
              <w:t>①</w:t>
            </w:r>
            <w:r>
              <w:rPr>
                <w:rFonts w:eastAsiaTheme="minorEastAsia"/>
                <w:color w:val="auto"/>
                <w:sz w:val="24"/>
                <w:szCs w:val="18"/>
              </w:rPr>
              <w:t>严格执行国家《危险化学品安全管理条例》（第344号令）的规定。根据国家有关规定，化学性质相互抵触的化学危险品不能存放在同一房间内。强氧化剂氯酸钠不得用有机物包装，不得与有机物以及次氯酸钠储存在同一库房内，以防造成事故隐患。</w:t>
            </w:r>
          </w:p>
          <w:p>
            <w:pPr>
              <w:pStyle w:val="19"/>
              <w:snapToGrid w:val="0"/>
              <w:spacing w:line="360" w:lineRule="auto"/>
              <w:ind w:firstLine="480" w:firstLineChars="200"/>
              <w:rPr>
                <w:rFonts w:ascii="Times New Roman" w:hAnsi="Times New Roman" w:cs="Times New Roman" w:eastAsiaTheme="minorEastAsia"/>
                <w:color w:val="auto"/>
                <w:sz w:val="24"/>
              </w:rPr>
            </w:pPr>
            <w:r>
              <w:rPr>
                <w:rFonts w:hint="eastAsia" w:hAnsi="宋体" w:cs="宋体"/>
                <w:color w:val="auto"/>
                <w:sz w:val="24"/>
              </w:rPr>
              <w:t>②</w:t>
            </w:r>
            <w:r>
              <w:rPr>
                <w:rFonts w:ascii="Times New Roman" w:hAnsi="Times New Roman" w:cs="Times New Roman" w:eastAsiaTheme="minorEastAsia"/>
                <w:color w:val="auto"/>
                <w:sz w:val="24"/>
              </w:rPr>
              <w:t>凡有毒及腐蚀性的化学物品，必须建立严格的管理贮存制度，设有专人管理，防止闲杂人员进入、接触。</w:t>
            </w:r>
          </w:p>
          <w:p>
            <w:pPr>
              <w:pStyle w:val="19"/>
              <w:snapToGrid w:val="0"/>
              <w:spacing w:line="360" w:lineRule="auto"/>
              <w:ind w:firstLine="480" w:firstLineChars="200"/>
              <w:rPr>
                <w:rFonts w:ascii="Times New Roman" w:hAnsi="Times New Roman" w:cs="Times New Roman" w:eastAsiaTheme="minorEastAsia"/>
                <w:color w:val="auto"/>
                <w:sz w:val="24"/>
              </w:rPr>
            </w:pPr>
            <w:r>
              <w:rPr>
                <w:rFonts w:hint="eastAsia" w:hAnsi="宋体" w:cs="宋体"/>
                <w:color w:val="auto"/>
                <w:sz w:val="24"/>
              </w:rPr>
              <w:t>③</w:t>
            </w:r>
            <w:r>
              <w:rPr>
                <w:rFonts w:ascii="Times New Roman" w:hAnsi="Times New Roman" w:cs="Times New Roman" w:eastAsiaTheme="minorEastAsia"/>
                <w:color w:val="auto"/>
                <w:sz w:val="24"/>
              </w:rPr>
              <w:t>在使用氯酸钠、次氯酸钠等腐蚀性物质时，为防止灼伤人体，操作时必须穿戴好防护用品，并严格按操作规程操作。</w:t>
            </w:r>
          </w:p>
          <w:p>
            <w:pPr>
              <w:pStyle w:val="19"/>
              <w:adjustRightInd w:val="0"/>
              <w:snapToGrid w:val="0"/>
              <w:spacing w:line="360" w:lineRule="auto"/>
              <w:ind w:firstLine="480" w:firstLineChars="200"/>
              <w:rPr>
                <w:rFonts w:ascii="Times New Roman" w:hAnsi="Times New Roman" w:cs="Times New Roman" w:eastAsiaTheme="minorEastAsia"/>
                <w:color w:val="auto"/>
                <w:sz w:val="24"/>
              </w:rPr>
            </w:pPr>
            <w:r>
              <w:rPr>
                <w:rFonts w:hint="eastAsia" w:hAnsi="宋体" w:cs="宋体"/>
                <w:color w:val="auto"/>
                <w:sz w:val="24"/>
              </w:rPr>
              <w:t>④</w:t>
            </w:r>
            <w:r>
              <w:rPr>
                <w:rFonts w:ascii="Times New Roman" w:hAnsi="Times New Roman" w:cs="Times New Roman" w:eastAsiaTheme="minorEastAsia"/>
                <w:color w:val="auto"/>
                <w:sz w:val="24"/>
              </w:rPr>
              <w:t>生成的二氧化氯对人体具有强烈刺激性，当其在空气中达到一定浓度时，易发生爆炸。使用过程中应严防外泄，密切监控其储存场所浓度值。</w:t>
            </w:r>
          </w:p>
          <w:p>
            <w:pPr>
              <w:adjustRightInd w:val="0"/>
              <w:snapToGrid w:val="0"/>
              <w:spacing w:line="360" w:lineRule="auto"/>
              <w:ind w:firstLine="480" w:firstLineChars="200"/>
              <w:rPr>
                <w:rFonts w:eastAsiaTheme="minorEastAsia"/>
                <w:bCs/>
                <w:color w:val="auto"/>
                <w:sz w:val="24"/>
              </w:rPr>
            </w:pPr>
            <w:r>
              <w:rPr>
                <w:rFonts w:eastAsiaTheme="minorEastAsia"/>
                <w:bCs/>
                <w:color w:val="auto"/>
                <w:sz w:val="24"/>
              </w:rPr>
              <w:t>3.5.2环境风险突发事故应急要求</w:t>
            </w:r>
          </w:p>
          <w:p>
            <w:pPr>
              <w:adjustRightInd w:val="0"/>
              <w:snapToGrid w:val="0"/>
              <w:spacing w:line="360" w:lineRule="auto"/>
              <w:ind w:firstLine="480" w:firstLineChars="200"/>
              <w:rPr>
                <w:rFonts w:eastAsiaTheme="minorEastAsia"/>
                <w:color w:val="auto"/>
                <w:sz w:val="24"/>
              </w:rPr>
            </w:pPr>
            <w:r>
              <w:rPr>
                <w:rFonts w:eastAsiaTheme="minorEastAsia"/>
                <w:color w:val="auto"/>
                <w:kern w:val="11"/>
                <w:sz w:val="24"/>
                <w:szCs w:val="27"/>
              </w:rPr>
              <w:t>为保证企业及人民生命财产的安全，防止突发性重大事故发生，并在发生事故时，能迅速有序地开展救援工作，尽最大努力减少事故的危害和损失。根据</w:t>
            </w:r>
            <w:r>
              <w:rPr>
                <w:rFonts w:eastAsiaTheme="minorEastAsia"/>
                <w:color w:val="auto"/>
                <w:sz w:val="24"/>
              </w:rPr>
              <w:t>《建设项目环境风险评价技术导则》（HJ169-2018）</w:t>
            </w:r>
            <w:r>
              <w:rPr>
                <w:rFonts w:eastAsiaTheme="minorEastAsia"/>
                <w:color w:val="auto"/>
                <w:kern w:val="11"/>
                <w:sz w:val="24"/>
                <w:szCs w:val="27"/>
              </w:rPr>
              <w:t>规定，污水处理厂应成立以厂长为总指挥，副厂长为副总指挥的事故应急救援队伍，指挥部下设办公室、工程抢险救援组、医疗救护组、后勤保障组。制定“事故应急救援预案”和实施细则，组织专业队伍学习和演练，提高队伍实战能力，防患于未然，以便应急救援工作的顺利开展。</w:t>
            </w:r>
          </w:p>
          <w:p>
            <w:pPr>
              <w:pStyle w:val="19"/>
              <w:adjustRightInd w:val="0"/>
              <w:snapToGrid w:val="0"/>
              <w:spacing w:line="360" w:lineRule="auto"/>
              <w:ind w:firstLine="480" w:firstLineChars="200"/>
              <w:rPr>
                <w:rFonts w:ascii="Times New Roman" w:hAnsi="Times New Roman" w:cs="Times New Roman" w:eastAsiaTheme="minorEastAsia"/>
                <w:color w:val="auto"/>
                <w:kern w:val="11"/>
                <w:sz w:val="24"/>
                <w:szCs w:val="27"/>
              </w:rPr>
            </w:pPr>
            <w:r>
              <w:rPr>
                <w:rFonts w:ascii="Times New Roman" w:hAnsi="Times New Roman" w:cs="Times New Roman" w:eastAsiaTheme="minorEastAsia"/>
                <w:color w:val="auto"/>
                <w:kern w:val="11"/>
                <w:sz w:val="24"/>
                <w:szCs w:val="27"/>
              </w:rPr>
              <w:t>根据本项目环境风险分析的结果，对于可能造成环境风险的突发性事故制定应急预案纲要，见表77，供项目决策人参考。</w:t>
            </w:r>
          </w:p>
          <w:p>
            <w:pPr>
              <w:adjustRightInd w:val="0"/>
              <w:snapToGrid w:val="0"/>
              <w:spacing w:line="360" w:lineRule="auto"/>
              <w:jc w:val="center"/>
              <w:rPr>
                <w:rFonts w:eastAsiaTheme="minorEastAsia"/>
                <w:b/>
                <w:color w:val="auto"/>
                <w:sz w:val="24"/>
              </w:rPr>
            </w:pPr>
            <w:r>
              <w:rPr>
                <w:rFonts w:eastAsiaTheme="minorEastAsia"/>
                <w:b/>
                <w:color w:val="auto"/>
                <w:sz w:val="24"/>
              </w:rPr>
              <w:t>表77环境风险突发事故应急预案</w:t>
            </w:r>
          </w:p>
          <w:tbl>
            <w:tblPr>
              <w:tblStyle w:val="38"/>
              <w:tblW w:w="8623" w:type="dxa"/>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66"/>
              <w:gridCol w:w="1549"/>
              <w:gridCol w:w="6308"/>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3" w:hRule="atLeast"/>
              </w:trPr>
              <w:tc>
                <w:tcPr>
                  <w:tcW w:w="766" w:type="dxa"/>
                  <w:vAlign w:val="center"/>
                </w:tcPr>
                <w:p>
                  <w:pPr>
                    <w:jc w:val="center"/>
                    <w:rPr>
                      <w:rFonts w:eastAsiaTheme="minorEastAsia"/>
                      <w:color w:val="auto"/>
                    </w:rPr>
                  </w:pPr>
                  <w:r>
                    <w:rPr>
                      <w:rFonts w:eastAsiaTheme="minorEastAsia"/>
                      <w:color w:val="auto"/>
                    </w:rPr>
                    <w:t>序号</w:t>
                  </w:r>
                </w:p>
              </w:tc>
              <w:tc>
                <w:tcPr>
                  <w:tcW w:w="1549" w:type="dxa"/>
                  <w:vAlign w:val="center"/>
                </w:tcPr>
                <w:p>
                  <w:pPr>
                    <w:jc w:val="center"/>
                    <w:rPr>
                      <w:rFonts w:eastAsiaTheme="minorEastAsia"/>
                      <w:color w:val="auto"/>
                    </w:rPr>
                  </w:pPr>
                  <w:r>
                    <w:rPr>
                      <w:rFonts w:eastAsiaTheme="minorEastAsia"/>
                      <w:color w:val="auto"/>
                    </w:rPr>
                    <w:t>项目</w:t>
                  </w:r>
                </w:p>
              </w:tc>
              <w:tc>
                <w:tcPr>
                  <w:tcW w:w="6308" w:type="dxa"/>
                  <w:vAlign w:val="center"/>
                </w:tcPr>
                <w:p>
                  <w:pPr>
                    <w:jc w:val="center"/>
                    <w:rPr>
                      <w:rFonts w:eastAsiaTheme="minorEastAsia"/>
                      <w:color w:val="auto"/>
                    </w:rPr>
                  </w:pPr>
                  <w:r>
                    <w:rPr>
                      <w:rFonts w:eastAsiaTheme="minorEastAsia"/>
                      <w:color w:val="auto"/>
                    </w:rPr>
                    <w:t>内容及要求</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9" w:hRule="atLeast"/>
              </w:trPr>
              <w:tc>
                <w:tcPr>
                  <w:tcW w:w="766" w:type="dxa"/>
                  <w:vAlign w:val="center"/>
                </w:tcPr>
                <w:p>
                  <w:pPr>
                    <w:jc w:val="center"/>
                    <w:rPr>
                      <w:rFonts w:eastAsiaTheme="minorEastAsia"/>
                      <w:color w:val="auto"/>
                    </w:rPr>
                  </w:pPr>
                  <w:r>
                    <w:rPr>
                      <w:rFonts w:eastAsiaTheme="minorEastAsia"/>
                      <w:color w:val="auto"/>
                    </w:rPr>
                    <w:t>1</w:t>
                  </w:r>
                </w:p>
              </w:tc>
              <w:tc>
                <w:tcPr>
                  <w:tcW w:w="1549" w:type="dxa"/>
                  <w:vAlign w:val="center"/>
                </w:tcPr>
                <w:p>
                  <w:pPr>
                    <w:jc w:val="center"/>
                    <w:rPr>
                      <w:rFonts w:eastAsiaTheme="minorEastAsia"/>
                      <w:color w:val="auto"/>
                    </w:rPr>
                  </w:pPr>
                  <w:r>
                    <w:rPr>
                      <w:rFonts w:eastAsiaTheme="minorEastAsia"/>
                      <w:color w:val="auto"/>
                    </w:rPr>
                    <w:t>危险源情况</w:t>
                  </w:r>
                </w:p>
              </w:tc>
              <w:tc>
                <w:tcPr>
                  <w:tcW w:w="6308" w:type="dxa"/>
                  <w:vAlign w:val="center"/>
                </w:tcPr>
                <w:p>
                  <w:pPr>
                    <w:rPr>
                      <w:rFonts w:eastAsiaTheme="minorEastAsia"/>
                      <w:color w:val="auto"/>
                    </w:rPr>
                  </w:pPr>
                  <w:r>
                    <w:rPr>
                      <w:rFonts w:eastAsiaTheme="minorEastAsia"/>
                      <w:color w:val="auto"/>
                    </w:rPr>
                    <w:t>详细说明危险源类型、数量、分布及其对环境的风险。</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1" w:hRule="atLeast"/>
              </w:trPr>
              <w:tc>
                <w:tcPr>
                  <w:tcW w:w="766" w:type="dxa"/>
                  <w:vAlign w:val="center"/>
                </w:tcPr>
                <w:p>
                  <w:pPr>
                    <w:jc w:val="center"/>
                    <w:rPr>
                      <w:rFonts w:eastAsiaTheme="minorEastAsia"/>
                      <w:color w:val="auto"/>
                    </w:rPr>
                  </w:pPr>
                  <w:r>
                    <w:rPr>
                      <w:rFonts w:eastAsiaTheme="minorEastAsia"/>
                      <w:color w:val="auto"/>
                    </w:rPr>
                    <w:t>2</w:t>
                  </w:r>
                </w:p>
              </w:tc>
              <w:tc>
                <w:tcPr>
                  <w:tcW w:w="1549" w:type="dxa"/>
                  <w:vAlign w:val="center"/>
                </w:tcPr>
                <w:p>
                  <w:pPr>
                    <w:jc w:val="center"/>
                    <w:rPr>
                      <w:rFonts w:eastAsiaTheme="minorEastAsia"/>
                      <w:color w:val="auto"/>
                    </w:rPr>
                  </w:pPr>
                  <w:r>
                    <w:rPr>
                      <w:rFonts w:eastAsiaTheme="minorEastAsia"/>
                      <w:color w:val="auto"/>
                    </w:rPr>
                    <w:t>应急计划区</w:t>
                  </w:r>
                </w:p>
              </w:tc>
              <w:tc>
                <w:tcPr>
                  <w:tcW w:w="6308" w:type="dxa"/>
                  <w:vAlign w:val="center"/>
                </w:tcPr>
                <w:p>
                  <w:pPr>
                    <w:rPr>
                      <w:rFonts w:eastAsiaTheme="minorEastAsia"/>
                      <w:color w:val="auto"/>
                    </w:rPr>
                  </w:pPr>
                  <w:r>
                    <w:rPr>
                      <w:rFonts w:eastAsiaTheme="minorEastAsia"/>
                      <w:color w:val="auto"/>
                    </w:rPr>
                    <w:t>污水收集区、污水处理设施区、仓储区、临近地区。</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 w:hRule="atLeast"/>
              </w:trPr>
              <w:tc>
                <w:tcPr>
                  <w:tcW w:w="766" w:type="dxa"/>
                  <w:vAlign w:val="center"/>
                </w:tcPr>
                <w:p>
                  <w:pPr>
                    <w:jc w:val="center"/>
                    <w:rPr>
                      <w:rFonts w:eastAsiaTheme="minorEastAsia"/>
                      <w:color w:val="auto"/>
                    </w:rPr>
                  </w:pPr>
                  <w:r>
                    <w:rPr>
                      <w:rFonts w:eastAsiaTheme="minorEastAsia"/>
                      <w:color w:val="auto"/>
                    </w:rPr>
                    <w:t>3</w:t>
                  </w:r>
                </w:p>
              </w:tc>
              <w:tc>
                <w:tcPr>
                  <w:tcW w:w="1549" w:type="dxa"/>
                  <w:vAlign w:val="center"/>
                </w:tcPr>
                <w:p>
                  <w:pPr>
                    <w:jc w:val="center"/>
                    <w:rPr>
                      <w:rFonts w:eastAsiaTheme="minorEastAsia"/>
                      <w:color w:val="auto"/>
                    </w:rPr>
                  </w:pPr>
                  <w:r>
                    <w:rPr>
                      <w:rFonts w:eastAsiaTheme="minorEastAsia"/>
                      <w:color w:val="auto"/>
                    </w:rPr>
                    <w:t>应急组织</w:t>
                  </w:r>
                </w:p>
              </w:tc>
              <w:tc>
                <w:tcPr>
                  <w:tcW w:w="6308" w:type="dxa"/>
                  <w:vAlign w:val="center"/>
                </w:tcPr>
                <w:p>
                  <w:pPr>
                    <w:ind w:left="630" w:hanging="630" w:hangingChars="300"/>
                    <w:rPr>
                      <w:rFonts w:eastAsiaTheme="minorEastAsia"/>
                      <w:color w:val="auto"/>
                    </w:rPr>
                  </w:pPr>
                  <w:r>
                    <w:rPr>
                      <w:rFonts w:eastAsiaTheme="minorEastAsia"/>
                      <w:color w:val="auto"/>
                    </w:rPr>
                    <w:t>企业：成立公司应急指挥小组，由公司最高领导层担任小组长，负责现场全面指挥，专业救援队伍负责事故控制、救援和善后处理。</w:t>
                  </w:r>
                </w:p>
                <w:p>
                  <w:pPr>
                    <w:ind w:left="1050" w:hanging="1050" w:hangingChars="500"/>
                    <w:rPr>
                      <w:rFonts w:eastAsiaTheme="minorEastAsia"/>
                      <w:color w:val="auto"/>
                    </w:rPr>
                  </w:pPr>
                  <w:r>
                    <w:rPr>
                      <w:rFonts w:eastAsiaTheme="minorEastAsia"/>
                      <w:color w:val="auto"/>
                    </w:rPr>
                    <w:t>临近地区：地区指挥部负责企业附近地区全面指挥，救援，管制和疏散</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 w:hRule="atLeast"/>
              </w:trPr>
              <w:tc>
                <w:tcPr>
                  <w:tcW w:w="766" w:type="dxa"/>
                  <w:vAlign w:val="center"/>
                </w:tcPr>
                <w:p>
                  <w:pPr>
                    <w:jc w:val="center"/>
                    <w:rPr>
                      <w:rFonts w:eastAsiaTheme="minorEastAsia"/>
                      <w:color w:val="auto"/>
                    </w:rPr>
                  </w:pPr>
                  <w:r>
                    <w:rPr>
                      <w:rFonts w:eastAsiaTheme="minorEastAsia"/>
                      <w:color w:val="auto"/>
                    </w:rPr>
                    <w:t>4</w:t>
                  </w:r>
                </w:p>
              </w:tc>
              <w:tc>
                <w:tcPr>
                  <w:tcW w:w="1549" w:type="dxa"/>
                  <w:vAlign w:val="center"/>
                </w:tcPr>
                <w:p>
                  <w:pPr>
                    <w:jc w:val="center"/>
                    <w:rPr>
                      <w:rFonts w:eastAsiaTheme="minorEastAsia"/>
                      <w:color w:val="auto"/>
                    </w:rPr>
                  </w:pPr>
                  <w:r>
                    <w:rPr>
                      <w:rFonts w:eastAsiaTheme="minorEastAsia"/>
                      <w:color w:val="auto"/>
                    </w:rPr>
                    <w:t>应急状态分类应急响应程序</w:t>
                  </w:r>
                </w:p>
              </w:tc>
              <w:tc>
                <w:tcPr>
                  <w:tcW w:w="6308" w:type="dxa"/>
                  <w:vAlign w:val="center"/>
                </w:tcPr>
                <w:p>
                  <w:pPr>
                    <w:rPr>
                      <w:rFonts w:eastAsiaTheme="minorEastAsia"/>
                      <w:color w:val="auto"/>
                    </w:rPr>
                  </w:pPr>
                  <w:r>
                    <w:rPr>
                      <w:rFonts w:eastAsiaTheme="minorEastAsia"/>
                      <w:color w:val="auto"/>
                    </w:rPr>
                    <w:t>规定环境风险事故的级别及相应的应急状态分类，以此制定相应的应急响应程序。</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 w:hRule="atLeast"/>
              </w:trPr>
              <w:tc>
                <w:tcPr>
                  <w:tcW w:w="766" w:type="dxa"/>
                  <w:vAlign w:val="center"/>
                </w:tcPr>
                <w:p>
                  <w:pPr>
                    <w:jc w:val="center"/>
                    <w:rPr>
                      <w:rFonts w:eastAsiaTheme="minorEastAsia"/>
                      <w:color w:val="auto"/>
                    </w:rPr>
                  </w:pPr>
                  <w:r>
                    <w:rPr>
                      <w:rFonts w:eastAsiaTheme="minorEastAsia"/>
                      <w:color w:val="auto"/>
                    </w:rPr>
                    <w:t>5</w:t>
                  </w:r>
                </w:p>
              </w:tc>
              <w:tc>
                <w:tcPr>
                  <w:tcW w:w="1549" w:type="dxa"/>
                  <w:vAlign w:val="center"/>
                </w:tcPr>
                <w:p>
                  <w:pPr>
                    <w:jc w:val="center"/>
                    <w:rPr>
                      <w:rFonts w:eastAsiaTheme="minorEastAsia"/>
                      <w:color w:val="auto"/>
                    </w:rPr>
                  </w:pPr>
                  <w:r>
                    <w:rPr>
                      <w:rFonts w:eastAsiaTheme="minorEastAsia"/>
                      <w:color w:val="auto"/>
                    </w:rPr>
                    <w:t>应急设施</w:t>
                  </w:r>
                </w:p>
                <w:p>
                  <w:pPr>
                    <w:jc w:val="center"/>
                    <w:rPr>
                      <w:rFonts w:eastAsiaTheme="minorEastAsia"/>
                      <w:color w:val="auto"/>
                    </w:rPr>
                  </w:pPr>
                  <w:r>
                    <w:rPr>
                      <w:rFonts w:eastAsiaTheme="minorEastAsia"/>
                      <w:color w:val="auto"/>
                    </w:rPr>
                    <w:t>设备与材料</w:t>
                  </w:r>
                </w:p>
              </w:tc>
              <w:tc>
                <w:tcPr>
                  <w:tcW w:w="6308" w:type="dxa"/>
                  <w:vAlign w:val="center"/>
                </w:tcPr>
                <w:p>
                  <w:pPr>
                    <w:rPr>
                      <w:rFonts w:eastAsiaTheme="minorEastAsia"/>
                      <w:color w:val="auto"/>
                    </w:rPr>
                  </w:pPr>
                  <w:r>
                    <w:rPr>
                      <w:rFonts w:eastAsiaTheme="minorEastAsia"/>
                      <w:color w:val="auto"/>
                    </w:rPr>
                    <w:t>生产装置：事故的应急设施、设备与材料，主要为消防器材、消防服等；防有毒有害物质外溢、扩散；中毒人员急救所用的一些药品、器材配备必要的防毒面具。</w:t>
                  </w:r>
                </w:p>
                <w:p>
                  <w:pPr>
                    <w:ind w:left="210" w:hanging="210" w:hangingChars="100"/>
                    <w:rPr>
                      <w:rFonts w:eastAsiaTheme="minorEastAsia"/>
                      <w:color w:val="auto"/>
                    </w:rPr>
                  </w:pPr>
                  <w:r>
                    <w:rPr>
                      <w:rFonts w:eastAsiaTheme="minorEastAsia"/>
                      <w:color w:val="auto"/>
                    </w:rPr>
                    <w:t>临界地区：人员急救所用的一些药品、器材。</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 w:hRule="atLeast"/>
              </w:trPr>
              <w:tc>
                <w:tcPr>
                  <w:tcW w:w="766" w:type="dxa"/>
                  <w:vAlign w:val="center"/>
                </w:tcPr>
                <w:p>
                  <w:pPr>
                    <w:jc w:val="center"/>
                    <w:rPr>
                      <w:rFonts w:eastAsiaTheme="minorEastAsia"/>
                      <w:color w:val="auto"/>
                    </w:rPr>
                  </w:pPr>
                  <w:r>
                    <w:rPr>
                      <w:rFonts w:eastAsiaTheme="minorEastAsia"/>
                      <w:color w:val="auto"/>
                    </w:rPr>
                    <w:t>6</w:t>
                  </w:r>
                </w:p>
              </w:tc>
              <w:tc>
                <w:tcPr>
                  <w:tcW w:w="1549" w:type="dxa"/>
                  <w:vAlign w:val="center"/>
                </w:tcPr>
                <w:p>
                  <w:pPr>
                    <w:jc w:val="center"/>
                    <w:rPr>
                      <w:rFonts w:eastAsiaTheme="minorEastAsia"/>
                      <w:color w:val="auto"/>
                    </w:rPr>
                  </w:pPr>
                  <w:r>
                    <w:rPr>
                      <w:rFonts w:eastAsiaTheme="minorEastAsia"/>
                      <w:color w:val="auto"/>
                    </w:rPr>
                    <w:t>应急通讯</w:t>
                  </w:r>
                </w:p>
                <w:p>
                  <w:pPr>
                    <w:jc w:val="center"/>
                    <w:rPr>
                      <w:rFonts w:eastAsiaTheme="minorEastAsia"/>
                      <w:color w:val="auto"/>
                    </w:rPr>
                  </w:pPr>
                  <w:r>
                    <w:rPr>
                      <w:rFonts w:eastAsiaTheme="minorEastAsia"/>
                      <w:color w:val="auto"/>
                    </w:rPr>
                    <w:t>通告与交通</w:t>
                  </w:r>
                </w:p>
              </w:tc>
              <w:tc>
                <w:tcPr>
                  <w:tcW w:w="6308" w:type="dxa"/>
                  <w:vAlign w:val="center"/>
                </w:tcPr>
                <w:p>
                  <w:pPr>
                    <w:rPr>
                      <w:rFonts w:eastAsiaTheme="minorEastAsia"/>
                      <w:color w:val="auto"/>
                    </w:rPr>
                  </w:pPr>
                  <w:r>
                    <w:rPr>
                      <w:rFonts w:eastAsiaTheme="minorEastAsia"/>
                      <w:color w:val="auto"/>
                    </w:rPr>
                    <w:t>规定应急状态下的通讯、通告方式和交通保障、管理等事项；可充分利用现代化的通信设施，如手机、固定电话、广播、电视等。</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 w:hRule="atLeast"/>
              </w:trPr>
              <w:tc>
                <w:tcPr>
                  <w:tcW w:w="766" w:type="dxa"/>
                  <w:vAlign w:val="center"/>
                </w:tcPr>
                <w:p>
                  <w:pPr>
                    <w:jc w:val="center"/>
                    <w:rPr>
                      <w:rFonts w:eastAsiaTheme="minorEastAsia"/>
                      <w:color w:val="auto"/>
                    </w:rPr>
                  </w:pPr>
                  <w:r>
                    <w:rPr>
                      <w:rFonts w:eastAsiaTheme="minorEastAsia"/>
                      <w:color w:val="auto"/>
                    </w:rPr>
                    <w:t>7</w:t>
                  </w:r>
                </w:p>
              </w:tc>
              <w:tc>
                <w:tcPr>
                  <w:tcW w:w="1549" w:type="dxa"/>
                  <w:vAlign w:val="center"/>
                </w:tcPr>
                <w:p>
                  <w:pPr>
                    <w:jc w:val="center"/>
                    <w:rPr>
                      <w:rFonts w:eastAsiaTheme="minorEastAsia"/>
                      <w:color w:val="auto"/>
                    </w:rPr>
                  </w:pPr>
                  <w:r>
                    <w:rPr>
                      <w:rFonts w:eastAsiaTheme="minorEastAsia"/>
                      <w:color w:val="auto"/>
                    </w:rPr>
                    <w:t>应急环境监测及事故后评价</w:t>
                  </w:r>
                </w:p>
              </w:tc>
              <w:tc>
                <w:tcPr>
                  <w:tcW w:w="6308" w:type="dxa"/>
                  <w:vAlign w:val="center"/>
                </w:tcPr>
                <w:p>
                  <w:pPr>
                    <w:rPr>
                      <w:rFonts w:eastAsiaTheme="minorEastAsia"/>
                      <w:color w:val="auto"/>
                    </w:rPr>
                  </w:pPr>
                  <w:r>
                    <w:rPr>
                      <w:rFonts w:eastAsiaTheme="minorEastAsia"/>
                      <w:color w:val="auto"/>
                    </w:rPr>
                    <w:t>由专业人员对环境分析事故现场进行应急监测，对事故性质、严重程度均所造成的环境危害后果进行评估，吸取经验教训避免再次发生事故，为指挥部门提供决策依据。</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4" w:hRule="atLeast"/>
              </w:trPr>
              <w:tc>
                <w:tcPr>
                  <w:tcW w:w="766" w:type="dxa"/>
                  <w:vAlign w:val="center"/>
                </w:tcPr>
                <w:p>
                  <w:pPr>
                    <w:jc w:val="center"/>
                    <w:rPr>
                      <w:rFonts w:eastAsiaTheme="minorEastAsia"/>
                      <w:color w:val="auto"/>
                    </w:rPr>
                  </w:pPr>
                  <w:r>
                    <w:rPr>
                      <w:rFonts w:eastAsiaTheme="minorEastAsia"/>
                      <w:color w:val="auto"/>
                    </w:rPr>
                    <w:t>8</w:t>
                  </w:r>
                </w:p>
              </w:tc>
              <w:tc>
                <w:tcPr>
                  <w:tcW w:w="1549" w:type="dxa"/>
                  <w:vAlign w:val="center"/>
                </w:tcPr>
                <w:p>
                  <w:pPr>
                    <w:jc w:val="center"/>
                    <w:rPr>
                      <w:rFonts w:eastAsiaTheme="minorEastAsia"/>
                      <w:color w:val="auto"/>
                    </w:rPr>
                  </w:pPr>
                  <w:r>
                    <w:rPr>
                      <w:rFonts w:eastAsiaTheme="minorEastAsia"/>
                      <w:color w:val="auto"/>
                    </w:rPr>
                    <w:t>应急防护措施</w:t>
                  </w:r>
                </w:p>
                <w:p>
                  <w:pPr>
                    <w:jc w:val="center"/>
                    <w:rPr>
                      <w:rFonts w:eastAsiaTheme="minorEastAsia"/>
                      <w:color w:val="auto"/>
                    </w:rPr>
                  </w:pPr>
                  <w:r>
                    <w:rPr>
                      <w:rFonts w:eastAsiaTheme="minorEastAsia"/>
                      <w:color w:val="auto"/>
                    </w:rPr>
                    <w:t>消除泄漏措施及需使用器材</w:t>
                  </w:r>
                </w:p>
              </w:tc>
              <w:tc>
                <w:tcPr>
                  <w:tcW w:w="6308" w:type="dxa"/>
                  <w:vAlign w:val="center"/>
                </w:tcPr>
                <w:p>
                  <w:pPr>
                    <w:pStyle w:val="15"/>
                    <w:spacing w:after="0"/>
                    <w:rPr>
                      <w:rFonts w:eastAsiaTheme="minorEastAsia"/>
                      <w:color w:val="auto"/>
                      <w:sz w:val="21"/>
                      <w:szCs w:val="27"/>
                    </w:rPr>
                  </w:pPr>
                  <w:r>
                    <w:rPr>
                      <w:rFonts w:eastAsiaTheme="minorEastAsia"/>
                      <w:color w:val="auto"/>
                      <w:sz w:val="21"/>
                      <w:szCs w:val="27"/>
                    </w:rPr>
                    <w:t>事故现场：控制事故发展，防止扩大、蔓延及连锁反应；清除现场泄泥物，降低危害；相应的设施器材配备。</w:t>
                  </w:r>
                </w:p>
                <w:p>
                  <w:pPr>
                    <w:rPr>
                      <w:rFonts w:eastAsiaTheme="minorEastAsia"/>
                      <w:color w:val="auto"/>
                    </w:rPr>
                  </w:pPr>
                  <w:r>
                    <w:rPr>
                      <w:rFonts w:eastAsiaTheme="minorEastAsia"/>
                      <w:color w:val="auto"/>
                    </w:rPr>
                    <w:t>临近地区：控制防火区域，控制和消除环境污染的措施及相应的设备配备。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2" w:hRule="atLeast"/>
              </w:trPr>
              <w:tc>
                <w:tcPr>
                  <w:tcW w:w="766" w:type="dxa"/>
                  <w:vAlign w:val="center"/>
                </w:tcPr>
                <w:p>
                  <w:pPr>
                    <w:jc w:val="center"/>
                    <w:rPr>
                      <w:rFonts w:eastAsiaTheme="minorEastAsia"/>
                      <w:color w:val="auto"/>
                    </w:rPr>
                  </w:pPr>
                  <w:r>
                    <w:rPr>
                      <w:rFonts w:eastAsiaTheme="minorEastAsia"/>
                      <w:color w:val="auto"/>
                    </w:rPr>
                    <w:t>9</w:t>
                  </w:r>
                </w:p>
              </w:tc>
              <w:tc>
                <w:tcPr>
                  <w:tcW w:w="1549" w:type="dxa"/>
                  <w:vAlign w:val="center"/>
                </w:tcPr>
                <w:p>
                  <w:pPr>
                    <w:jc w:val="center"/>
                    <w:rPr>
                      <w:rFonts w:eastAsiaTheme="minorEastAsia"/>
                      <w:color w:val="auto"/>
                    </w:rPr>
                  </w:pPr>
                  <w:r>
                    <w:rPr>
                      <w:rFonts w:eastAsiaTheme="minorEastAsia"/>
                      <w:color w:val="auto"/>
                    </w:rPr>
                    <w:t>应急剂量控制</w:t>
                  </w:r>
                </w:p>
                <w:p>
                  <w:pPr>
                    <w:jc w:val="center"/>
                    <w:rPr>
                      <w:rFonts w:eastAsiaTheme="minorEastAsia"/>
                      <w:color w:val="auto"/>
                    </w:rPr>
                  </w:pPr>
                  <w:r>
                    <w:rPr>
                      <w:rFonts w:eastAsiaTheme="minorEastAsia"/>
                      <w:color w:val="auto"/>
                    </w:rPr>
                    <w:t>撤离组织计划</w:t>
                  </w:r>
                </w:p>
                <w:p>
                  <w:pPr>
                    <w:jc w:val="center"/>
                    <w:rPr>
                      <w:rFonts w:eastAsiaTheme="minorEastAsia"/>
                      <w:color w:val="auto"/>
                    </w:rPr>
                  </w:pPr>
                  <w:r>
                    <w:rPr>
                      <w:rFonts w:eastAsiaTheme="minorEastAsia"/>
                      <w:color w:val="auto"/>
                    </w:rPr>
                    <w:t>医疗救护与保护公众健康</w:t>
                  </w:r>
                </w:p>
              </w:tc>
              <w:tc>
                <w:tcPr>
                  <w:tcW w:w="6308" w:type="dxa"/>
                  <w:vAlign w:val="center"/>
                </w:tcPr>
                <w:p>
                  <w:pPr>
                    <w:rPr>
                      <w:rFonts w:eastAsiaTheme="minorEastAsia"/>
                      <w:color w:val="auto"/>
                    </w:rPr>
                  </w:pPr>
                  <w:r>
                    <w:rPr>
                      <w:rFonts w:eastAsiaTheme="minorEastAsia"/>
                      <w:color w:val="auto"/>
                    </w:rPr>
                    <w:t>事故现场：事故处理人员制定毒物的应急剂量、现场及临近装置人员的撤离组织计划和紧急救护方案。</w:t>
                  </w:r>
                </w:p>
                <w:p>
                  <w:pPr>
                    <w:rPr>
                      <w:rFonts w:eastAsiaTheme="minorEastAsia"/>
                      <w:color w:val="auto"/>
                    </w:rPr>
                  </w:pPr>
                  <w:r>
                    <w:rPr>
                      <w:rFonts w:eastAsiaTheme="minorEastAsia"/>
                      <w:color w:val="auto"/>
                    </w:rPr>
                    <w:t>临近地区：制定受事故影响的临近地区内人员对毒物的应急剂量、公众的疏散组织计划和紧急救护方案。</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5" w:hRule="atLeast"/>
              </w:trPr>
              <w:tc>
                <w:tcPr>
                  <w:tcW w:w="766" w:type="dxa"/>
                  <w:vAlign w:val="center"/>
                </w:tcPr>
                <w:p>
                  <w:pPr>
                    <w:jc w:val="center"/>
                    <w:rPr>
                      <w:rFonts w:eastAsiaTheme="minorEastAsia"/>
                      <w:color w:val="auto"/>
                    </w:rPr>
                  </w:pPr>
                  <w:r>
                    <w:rPr>
                      <w:rFonts w:eastAsiaTheme="minorEastAsia"/>
                      <w:color w:val="auto"/>
                    </w:rPr>
                    <w:t>10</w:t>
                  </w:r>
                </w:p>
              </w:tc>
              <w:tc>
                <w:tcPr>
                  <w:tcW w:w="1549" w:type="dxa"/>
                  <w:vAlign w:val="center"/>
                </w:tcPr>
                <w:p>
                  <w:pPr>
                    <w:jc w:val="center"/>
                    <w:rPr>
                      <w:rFonts w:eastAsiaTheme="minorEastAsia"/>
                      <w:color w:val="auto"/>
                    </w:rPr>
                  </w:pPr>
                  <w:r>
                    <w:rPr>
                      <w:rFonts w:eastAsiaTheme="minorEastAsia"/>
                      <w:color w:val="auto"/>
                    </w:rPr>
                    <w:t>应急状态中止</w:t>
                  </w:r>
                </w:p>
                <w:p>
                  <w:pPr>
                    <w:jc w:val="center"/>
                    <w:rPr>
                      <w:rFonts w:eastAsiaTheme="minorEastAsia"/>
                      <w:color w:val="auto"/>
                    </w:rPr>
                  </w:pPr>
                  <w:r>
                    <w:rPr>
                      <w:rFonts w:eastAsiaTheme="minorEastAsia"/>
                      <w:color w:val="auto"/>
                    </w:rPr>
                    <w:t>恢复措施</w:t>
                  </w:r>
                </w:p>
              </w:tc>
              <w:tc>
                <w:tcPr>
                  <w:tcW w:w="6308" w:type="dxa"/>
                  <w:vAlign w:val="center"/>
                </w:tcPr>
                <w:p>
                  <w:pPr>
                    <w:rPr>
                      <w:rFonts w:eastAsiaTheme="minorEastAsia"/>
                      <w:color w:val="auto"/>
                    </w:rPr>
                  </w:pPr>
                  <w:r>
                    <w:rPr>
                      <w:rFonts w:eastAsiaTheme="minorEastAsia"/>
                      <w:color w:val="auto"/>
                    </w:rPr>
                    <w:t>事故现场：规定应急状态终止秩序；事故现场善后处理，回复生产措施。</w:t>
                  </w:r>
                </w:p>
                <w:p>
                  <w:pPr>
                    <w:rPr>
                      <w:rFonts w:eastAsiaTheme="minorEastAsia"/>
                      <w:color w:val="auto"/>
                    </w:rPr>
                  </w:pPr>
                  <w:r>
                    <w:rPr>
                      <w:rFonts w:eastAsiaTheme="minorEastAsia"/>
                      <w:color w:val="auto"/>
                    </w:rPr>
                    <w:t>临近地区：解除事故警戒，公众返回和善后回复措施。</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5" w:hRule="atLeast"/>
              </w:trPr>
              <w:tc>
                <w:tcPr>
                  <w:tcW w:w="766" w:type="dxa"/>
                  <w:vAlign w:val="center"/>
                </w:tcPr>
                <w:p>
                  <w:pPr>
                    <w:jc w:val="center"/>
                    <w:rPr>
                      <w:rFonts w:eastAsiaTheme="minorEastAsia"/>
                      <w:color w:val="auto"/>
                    </w:rPr>
                  </w:pPr>
                  <w:r>
                    <w:rPr>
                      <w:rFonts w:eastAsiaTheme="minorEastAsia"/>
                      <w:color w:val="auto"/>
                    </w:rPr>
                    <w:t>11</w:t>
                  </w:r>
                </w:p>
              </w:tc>
              <w:tc>
                <w:tcPr>
                  <w:tcW w:w="1549" w:type="dxa"/>
                  <w:vAlign w:val="center"/>
                </w:tcPr>
                <w:p>
                  <w:pPr>
                    <w:jc w:val="center"/>
                    <w:rPr>
                      <w:rFonts w:eastAsiaTheme="minorEastAsia"/>
                      <w:color w:val="auto"/>
                    </w:rPr>
                  </w:pPr>
                  <w:r>
                    <w:rPr>
                      <w:rFonts w:eastAsiaTheme="minorEastAsia"/>
                      <w:color w:val="auto"/>
                    </w:rPr>
                    <w:t>人员培训</w:t>
                  </w:r>
                </w:p>
                <w:p>
                  <w:pPr>
                    <w:jc w:val="center"/>
                    <w:rPr>
                      <w:rFonts w:eastAsiaTheme="minorEastAsia"/>
                      <w:color w:val="auto"/>
                    </w:rPr>
                  </w:pPr>
                  <w:r>
                    <w:rPr>
                      <w:rFonts w:eastAsiaTheme="minorEastAsia"/>
                      <w:color w:val="auto"/>
                    </w:rPr>
                    <w:t>与演习</w:t>
                  </w:r>
                </w:p>
              </w:tc>
              <w:tc>
                <w:tcPr>
                  <w:tcW w:w="6308" w:type="dxa"/>
                  <w:vAlign w:val="center"/>
                </w:tcPr>
                <w:p>
                  <w:pPr>
                    <w:rPr>
                      <w:rFonts w:eastAsiaTheme="minorEastAsia"/>
                      <w:color w:val="auto"/>
                    </w:rPr>
                  </w:pPr>
                  <w:r>
                    <w:rPr>
                      <w:rFonts w:eastAsiaTheme="minorEastAsia"/>
                      <w:color w:val="auto"/>
                    </w:rPr>
                    <w:t>应急计划制定后，平时安排事故出路人员进行相关知识培训并进行事故应急处理演习；对工厂工人进行安全卫生教育。</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4" w:hRule="atLeast"/>
              </w:trPr>
              <w:tc>
                <w:tcPr>
                  <w:tcW w:w="766" w:type="dxa"/>
                  <w:vAlign w:val="center"/>
                </w:tcPr>
                <w:p>
                  <w:pPr>
                    <w:jc w:val="center"/>
                    <w:rPr>
                      <w:rFonts w:eastAsiaTheme="minorEastAsia"/>
                      <w:color w:val="auto"/>
                    </w:rPr>
                  </w:pPr>
                  <w:r>
                    <w:rPr>
                      <w:rFonts w:eastAsiaTheme="minorEastAsia"/>
                      <w:color w:val="auto"/>
                    </w:rPr>
                    <w:t>12</w:t>
                  </w:r>
                </w:p>
              </w:tc>
              <w:tc>
                <w:tcPr>
                  <w:tcW w:w="1549" w:type="dxa"/>
                  <w:vAlign w:val="center"/>
                </w:tcPr>
                <w:p>
                  <w:pPr>
                    <w:jc w:val="center"/>
                    <w:rPr>
                      <w:rFonts w:eastAsiaTheme="minorEastAsia"/>
                      <w:color w:val="auto"/>
                    </w:rPr>
                  </w:pPr>
                  <w:r>
                    <w:rPr>
                      <w:rFonts w:eastAsiaTheme="minorEastAsia"/>
                      <w:color w:val="auto"/>
                    </w:rPr>
                    <w:t>公众教育</w:t>
                  </w:r>
                </w:p>
                <w:p>
                  <w:pPr>
                    <w:jc w:val="center"/>
                    <w:rPr>
                      <w:rFonts w:eastAsiaTheme="minorEastAsia"/>
                      <w:color w:val="auto"/>
                    </w:rPr>
                  </w:pPr>
                  <w:r>
                    <w:rPr>
                      <w:rFonts w:eastAsiaTheme="minorEastAsia"/>
                      <w:color w:val="auto"/>
                    </w:rPr>
                    <w:t>信息发布</w:t>
                  </w:r>
                </w:p>
              </w:tc>
              <w:tc>
                <w:tcPr>
                  <w:tcW w:w="6308" w:type="dxa"/>
                  <w:vAlign w:val="center"/>
                </w:tcPr>
                <w:p>
                  <w:pPr>
                    <w:rPr>
                      <w:rFonts w:eastAsiaTheme="minorEastAsia"/>
                      <w:color w:val="auto"/>
                    </w:rPr>
                  </w:pPr>
                  <w:r>
                    <w:rPr>
                      <w:rFonts w:eastAsiaTheme="minorEastAsia"/>
                      <w:color w:val="auto"/>
                    </w:rPr>
                    <w:t>对工厂临近地区公众开展环境风险事故预防教育、应急知识培训并定期发布相关信息。</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66" w:type="dxa"/>
                  <w:vAlign w:val="center"/>
                </w:tcPr>
                <w:p>
                  <w:pPr>
                    <w:jc w:val="center"/>
                    <w:rPr>
                      <w:rFonts w:eastAsiaTheme="minorEastAsia"/>
                      <w:color w:val="auto"/>
                    </w:rPr>
                  </w:pPr>
                  <w:r>
                    <w:rPr>
                      <w:rFonts w:eastAsiaTheme="minorEastAsia"/>
                      <w:color w:val="auto"/>
                    </w:rPr>
                    <w:t>13</w:t>
                  </w:r>
                </w:p>
              </w:tc>
              <w:tc>
                <w:tcPr>
                  <w:tcW w:w="1549" w:type="dxa"/>
                  <w:vAlign w:val="center"/>
                </w:tcPr>
                <w:p>
                  <w:pPr>
                    <w:jc w:val="center"/>
                    <w:rPr>
                      <w:rFonts w:eastAsiaTheme="minorEastAsia"/>
                      <w:color w:val="auto"/>
                    </w:rPr>
                  </w:pPr>
                  <w:r>
                    <w:rPr>
                      <w:rFonts w:eastAsiaTheme="minorEastAsia"/>
                      <w:color w:val="auto"/>
                    </w:rPr>
                    <w:t>记录和报告</w:t>
                  </w:r>
                </w:p>
              </w:tc>
              <w:tc>
                <w:tcPr>
                  <w:tcW w:w="6308" w:type="dxa"/>
                  <w:vAlign w:val="center"/>
                </w:tcPr>
                <w:p>
                  <w:pPr>
                    <w:rPr>
                      <w:rFonts w:eastAsiaTheme="minorEastAsia"/>
                      <w:color w:val="auto"/>
                    </w:rPr>
                  </w:pPr>
                  <w:r>
                    <w:rPr>
                      <w:rFonts w:eastAsiaTheme="minorEastAsia"/>
                      <w:color w:val="auto"/>
                    </w:rPr>
                    <w:t>设应急事故专门记录，建立档案和报告制度，设专门部门负责管理。</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3" w:hRule="atLeast"/>
              </w:trPr>
              <w:tc>
                <w:tcPr>
                  <w:tcW w:w="766" w:type="dxa"/>
                  <w:vAlign w:val="center"/>
                </w:tcPr>
                <w:p>
                  <w:pPr>
                    <w:jc w:val="center"/>
                    <w:rPr>
                      <w:rFonts w:eastAsiaTheme="minorEastAsia"/>
                      <w:color w:val="auto"/>
                    </w:rPr>
                  </w:pPr>
                  <w:r>
                    <w:rPr>
                      <w:rFonts w:eastAsiaTheme="minorEastAsia"/>
                      <w:color w:val="auto"/>
                    </w:rPr>
                    <w:t>14</w:t>
                  </w:r>
                </w:p>
              </w:tc>
              <w:tc>
                <w:tcPr>
                  <w:tcW w:w="1549" w:type="dxa"/>
                  <w:vAlign w:val="center"/>
                </w:tcPr>
                <w:p>
                  <w:pPr>
                    <w:jc w:val="center"/>
                    <w:rPr>
                      <w:rFonts w:eastAsiaTheme="minorEastAsia"/>
                      <w:color w:val="auto"/>
                    </w:rPr>
                  </w:pPr>
                  <w:r>
                    <w:rPr>
                      <w:rFonts w:eastAsiaTheme="minorEastAsia"/>
                      <w:color w:val="auto"/>
                    </w:rPr>
                    <w:t>附件</w:t>
                  </w:r>
                </w:p>
              </w:tc>
              <w:tc>
                <w:tcPr>
                  <w:tcW w:w="6308" w:type="dxa"/>
                  <w:vAlign w:val="center"/>
                </w:tcPr>
                <w:p>
                  <w:pPr>
                    <w:rPr>
                      <w:rFonts w:eastAsiaTheme="minorEastAsia"/>
                      <w:color w:val="auto"/>
                    </w:rPr>
                  </w:pPr>
                  <w:r>
                    <w:rPr>
                      <w:rFonts w:eastAsiaTheme="minorEastAsia"/>
                      <w:color w:val="auto"/>
                    </w:rPr>
                    <w:t>准备并形成环境风险事故应急处理有关的附件材料。</w:t>
                  </w:r>
                </w:p>
              </w:tc>
            </w:tr>
          </w:tbl>
          <w:p>
            <w:pPr>
              <w:spacing w:line="360" w:lineRule="auto"/>
              <w:ind w:firstLine="482" w:firstLineChars="200"/>
              <w:rPr>
                <w:rFonts w:eastAsiaTheme="minorEastAsia"/>
                <w:b/>
                <w:color w:val="auto"/>
                <w:kern w:val="0"/>
                <w:sz w:val="24"/>
              </w:rPr>
            </w:pPr>
            <w:r>
              <w:rPr>
                <w:rFonts w:eastAsiaTheme="minorEastAsia"/>
                <w:b/>
                <w:color w:val="auto"/>
                <w:kern w:val="0"/>
                <w:sz w:val="24"/>
              </w:rPr>
              <w:t>3.6分析结论</w:t>
            </w:r>
          </w:p>
          <w:p>
            <w:pPr>
              <w:spacing w:line="360" w:lineRule="auto"/>
              <w:ind w:firstLine="480" w:firstLineChars="200"/>
              <w:rPr>
                <w:rFonts w:eastAsiaTheme="minorEastAsia"/>
                <w:color w:val="auto"/>
                <w:kern w:val="0"/>
                <w:sz w:val="24"/>
              </w:rPr>
            </w:pPr>
            <w:r>
              <w:rPr>
                <w:rFonts w:eastAsiaTheme="minorEastAsia"/>
                <w:color w:val="auto"/>
                <w:kern w:val="0"/>
                <w:sz w:val="24"/>
              </w:rPr>
              <w:t>综上所述，企业采取了切实有效的风险防范措施，</w:t>
            </w:r>
            <w:r>
              <w:rPr>
                <w:rFonts w:eastAsiaTheme="minorEastAsia"/>
                <w:color w:val="auto"/>
                <w:sz w:val="24"/>
              </w:rPr>
              <w:t>本项目</w:t>
            </w:r>
            <w:r>
              <w:rPr>
                <w:rFonts w:eastAsiaTheme="minorEastAsia"/>
                <w:color w:val="auto"/>
                <w:kern w:val="0"/>
                <w:sz w:val="24"/>
              </w:rPr>
              <w:t>存在一定的环境风险，包括对柏树底河地表水的污染、对环境空气的影响，严重时可能导致人身伤害事故，在设计中应充分考虑到可能的风险事故并采取必要措施，在日常工作中加强管理，预防和及时处理风险事故，减少可能的环境影响及经济损失。因此，针对突发性环境事故，在现有环境风险防范措施、环境风险应急预案与减缓措施下，企业发生环境风险事故的概率及发生环境风险事故后产生的损失及对环境影响的程度为可接受水平。</w:t>
            </w: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tc>
      </w:tr>
    </w:tbl>
    <w:p>
      <w:pPr>
        <w:adjustRightInd w:val="0"/>
        <w:snapToGrid w:val="0"/>
        <w:rPr>
          <w:rFonts w:eastAsiaTheme="minorEastAsia"/>
          <w:b/>
          <w:color w:val="auto"/>
          <w:sz w:val="28"/>
          <w:szCs w:val="28"/>
        </w:rPr>
      </w:pPr>
      <w:r>
        <w:rPr>
          <w:rFonts w:eastAsiaTheme="minorEastAsia"/>
          <w:b/>
          <w:color w:val="auto"/>
          <w:sz w:val="28"/>
          <w:szCs w:val="28"/>
        </w:rPr>
        <w:br w:type="page"/>
      </w:r>
    </w:p>
    <w:p>
      <w:pPr>
        <w:adjustRightInd w:val="0"/>
        <w:snapToGrid w:val="0"/>
        <w:rPr>
          <w:rFonts w:eastAsiaTheme="minorEastAsia"/>
          <w:b/>
          <w:color w:val="auto"/>
          <w:sz w:val="28"/>
          <w:szCs w:val="28"/>
        </w:rPr>
      </w:pPr>
      <w:r>
        <w:rPr>
          <w:rFonts w:eastAsiaTheme="minorEastAsia"/>
          <w:b/>
          <w:color w:val="auto"/>
          <w:sz w:val="28"/>
          <w:szCs w:val="28"/>
        </w:rPr>
        <w:t>建设项目拟采取的防治措施及预期治理效果</w:t>
      </w:r>
    </w:p>
    <w:tbl>
      <w:tblPr>
        <w:tblStyle w:val="38"/>
        <w:tblW w:w="8947" w:type="dxa"/>
        <w:jc w:val="center"/>
        <w:tblLayout w:type="fixed"/>
        <w:tblCellMar>
          <w:top w:w="0" w:type="dxa"/>
          <w:left w:w="108" w:type="dxa"/>
          <w:bottom w:w="0" w:type="dxa"/>
          <w:right w:w="108" w:type="dxa"/>
        </w:tblCellMar>
      </w:tblPr>
      <w:tblGrid>
        <w:gridCol w:w="1384"/>
        <w:gridCol w:w="1007"/>
        <w:gridCol w:w="1617"/>
        <w:gridCol w:w="3078"/>
        <w:gridCol w:w="1861"/>
      </w:tblGrid>
      <w:tr>
        <w:tblPrEx>
          <w:tblCellMar>
            <w:top w:w="0" w:type="dxa"/>
            <w:left w:w="108" w:type="dxa"/>
            <w:bottom w:w="0" w:type="dxa"/>
            <w:right w:w="108" w:type="dxa"/>
          </w:tblCellMar>
        </w:tblPrEx>
        <w:trPr>
          <w:cantSplit/>
          <w:jc w:val="center"/>
        </w:trPr>
        <w:tc>
          <w:tcPr>
            <w:tcW w:w="1384"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eastAsiaTheme="minorEastAsia"/>
                <w:color w:val="auto"/>
                <w:szCs w:val="21"/>
              </w:rPr>
            </w:pPr>
            <w:r>
              <w:rPr>
                <w:rFonts w:eastAsiaTheme="minorEastAsia"/>
                <w:color w:val="auto"/>
              </w:rPr>
              <w:t>内容</w:t>
            </w:r>
          </w:p>
          <w:p>
            <w:pPr>
              <w:jc w:val="center"/>
              <w:rPr>
                <w:rFonts w:eastAsiaTheme="minorEastAsia"/>
                <w:color w:val="auto"/>
                <w:szCs w:val="21"/>
              </w:rPr>
            </w:pPr>
            <w:r>
              <w:rPr>
                <w:rFonts w:eastAsiaTheme="minorEastAsia"/>
                <w:color w:val="auto"/>
              </w:rPr>
              <w:t>类型</w:t>
            </w:r>
          </w:p>
        </w:tc>
        <w:tc>
          <w:tcPr>
            <w:tcW w:w="1007" w:type="dxa"/>
            <w:tcBorders>
              <w:top w:val="single" w:color="auto" w:sz="4" w:space="0"/>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排放源</w:t>
            </w:r>
          </w:p>
        </w:tc>
        <w:tc>
          <w:tcPr>
            <w:tcW w:w="1617" w:type="dxa"/>
            <w:tcBorders>
              <w:top w:val="single" w:color="auto" w:sz="4" w:space="0"/>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污染物名称</w:t>
            </w:r>
          </w:p>
        </w:tc>
        <w:tc>
          <w:tcPr>
            <w:tcW w:w="3078" w:type="dxa"/>
            <w:tcBorders>
              <w:top w:val="single" w:color="auto" w:sz="4" w:space="0"/>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防治措施</w:t>
            </w:r>
          </w:p>
        </w:tc>
        <w:tc>
          <w:tcPr>
            <w:tcW w:w="1861" w:type="dxa"/>
            <w:tcBorders>
              <w:top w:val="single" w:color="auto" w:sz="4" w:space="0"/>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预期治理效果</w:t>
            </w:r>
          </w:p>
        </w:tc>
      </w:tr>
      <w:tr>
        <w:tblPrEx>
          <w:tblCellMar>
            <w:top w:w="0" w:type="dxa"/>
            <w:left w:w="108" w:type="dxa"/>
            <w:bottom w:w="0" w:type="dxa"/>
            <w:right w:w="108" w:type="dxa"/>
          </w:tblCellMar>
        </w:tblPrEx>
        <w:trPr>
          <w:cantSplit/>
          <w:trHeight w:val="538" w:hRule="atLeast"/>
          <w:jc w:val="center"/>
        </w:trPr>
        <w:tc>
          <w:tcPr>
            <w:tcW w:w="1384" w:type="dxa"/>
            <w:vMerge w:val="restart"/>
            <w:tcBorders>
              <w:top w:val="nil"/>
              <w:left w:val="single" w:color="auto" w:sz="4" w:space="0"/>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大</w:t>
            </w:r>
          </w:p>
          <w:p>
            <w:pPr>
              <w:jc w:val="center"/>
              <w:rPr>
                <w:rFonts w:eastAsiaTheme="minorEastAsia"/>
                <w:color w:val="auto"/>
              </w:rPr>
            </w:pPr>
            <w:r>
              <w:rPr>
                <w:rFonts w:eastAsiaTheme="minorEastAsia"/>
                <w:color w:val="auto"/>
              </w:rPr>
              <w:t>气</w:t>
            </w:r>
          </w:p>
          <w:p>
            <w:pPr>
              <w:jc w:val="center"/>
              <w:rPr>
                <w:rFonts w:eastAsiaTheme="minorEastAsia"/>
                <w:color w:val="auto"/>
              </w:rPr>
            </w:pPr>
            <w:r>
              <w:rPr>
                <w:rFonts w:eastAsiaTheme="minorEastAsia"/>
                <w:color w:val="auto"/>
              </w:rPr>
              <w:t>污</w:t>
            </w:r>
          </w:p>
          <w:p>
            <w:pPr>
              <w:jc w:val="center"/>
              <w:rPr>
                <w:rFonts w:eastAsiaTheme="minorEastAsia"/>
                <w:color w:val="auto"/>
              </w:rPr>
            </w:pPr>
            <w:r>
              <w:rPr>
                <w:rFonts w:eastAsiaTheme="minorEastAsia"/>
                <w:color w:val="auto"/>
              </w:rPr>
              <w:t>染</w:t>
            </w:r>
          </w:p>
          <w:p>
            <w:pPr>
              <w:jc w:val="center"/>
              <w:rPr>
                <w:rFonts w:eastAsiaTheme="minorEastAsia"/>
                <w:color w:val="auto"/>
                <w:szCs w:val="21"/>
              </w:rPr>
            </w:pPr>
            <w:r>
              <w:rPr>
                <w:rFonts w:eastAsiaTheme="minorEastAsia"/>
                <w:color w:val="auto"/>
              </w:rPr>
              <w:t>物</w:t>
            </w:r>
          </w:p>
        </w:tc>
        <w:tc>
          <w:tcPr>
            <w:tcW w:w="1007" w:type="dxa"/>
            <w:vMerge w:val="restart"/>
            <w:tcBorders>
              <w:top w:val="nil"/>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施工期</w:t>
            </w:r>
          </w:p>
        </w:tc>
        <w:tc>
          <w:tcPr>
            <w:tcW w:w="1617" w:type="dxa"/>
            <w:tcBorders>
              <w:top w:val="single" w:color="auto" w:sz="4" w:space="0"/>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扬尘</w:t>
            </w:r>
          </w:p>
        </w:tc>
        <w:tc>
          <w:tcPr>
            <w:tcW w:w="3078" w:type="dxa"/>
            <w:tcBorders>
              <w:top w:val="single" w:color="auto" w:sz="4" w:space="0"/>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设置围挡、施工场地洒水抑尘等</w:t>
            </w:r>
          </w:p>
        </w:tc>
        <w:tc>
          <w:tcPr>
            <w:tcW w:w="1861" w:type="dxa"/>
            <w:vMerge w:val="restart"/>
            <w:tcBorders>
              <w:top w:val="nil"/>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对周边环境影响较小</w:t>
            </w:r>
          </w:p>
        </w:tc>
      </w:tr>
      <w:tr>
        <w:tblPrEx>
          <w:tblCellMar>
            <w:top w:w="0" w:type="dxa"/>
            <w:left w:w="108" w:type="dxa"/>
            <w:bottom w:w="0" w:type="dxa"/>
            <w:right w:w="108" w:type="dxa"/>
          </w:tblCellMar>
        </w:tblPrEx>
        <w:trPr>
          <w:cantSplit/>
          <w:trHeight w:val="700" w:hRule="atLeast"/>
          <w:jc w:val="center"/>
        </w:trPr>
        <w:tc>
          <w:tcPr>
            <w:tcW w:w="1384" w:type="dxa"/>
            <w:vMerge w:val="continue"/>
            <w:tcBorders>
              <w:top w:val="nil"/>
              <w:left w:val="single" w:color="auto" w:sz="4" w:space="0"/>
              <w:bottom w:val="single" w:color="auto" w:sz="4" w:space="0"/>
              <w:right w:val="single" w:color="auto" w:sz="4" w:space="0"/>
            </w:tcBorders>
            <w:vAlign w:val="center"/>
          </w:tcPr>
          <w:p>
            <w:pPr>
              <w:widowControl/>
              <w:jc w:val="left"/>
              <w:rPr>
                <w:rFonts w:eastAsiaTheme="minorEastAsia"/>
                <w:color w:val="auto"/>
                <w:szCs w:val="21"/>
              </w:rPr>
            </w:pPr>
          </w:p>
        </w:tc>
        <w:tc>
          <w:tcPr>
            <w:tcW w:w="1007" w:type="dxa"/>
            <w:vMerge w:val="continue"/>
            <w:tcBorders>
              <w:top w:val="nil"/>
              <w:left w:val="nil"/>
              <w:bottom w:val="single" w:color="auto" w:sz="4" w:space="0"/>
              <w:right w:val="single" w:color="auto" w:sz="4" w:space="0"/>
            </w:tcBorders>
            <w:vAlign w:val="center"/>
          </w:tcPr>
          <w:p>
            <w:pPr>
              <w:widowControl/>
              <w:jc w:val="left"/>
              <w:rPr>
                <w:rFonts w:eastAsiaTheme="minorEastAsia"/>
                <w:color w:val="auto"/>
                <w:szCs w:val="21"/>
              </w:rPr>
            </w:pPr>
          </w:p>
        </w:tc>
        <w:tc>
          <w:tcPr>
            <w:tcW w:w="1617" w:type="dxa"/>
            <w:tcBorders>
              <w:top w:val="single" w:color="auto" w:sz="4" w:space="0"/>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燃油废气</w:t>
            </w:r>
          </w:p>
        </w:tc>
        <w:tc>
          <w:tcPr>
            <w:tcW w:w="3078" w:type="dxa"/>
            <w:tcBorders>
              <w:top w:val="single" w:color="auto" w:sz="4" w:space="0"/>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选用合格的施工机械并对施工机械定期保养</w:t>
            </w:r>
          </w:p>
        </w:tc>
        <w:tc>
          <w:tcPr>
            <w:tcW w:w="1861" w:type="dxa"/>
            <w:vMerge w:val="continue"/>
            <w:tcBorders>
              <w:top w:val="nil"/>
              <w:left w:val="nil"/>
              <w:bottom w:val="single" w:color="auto" w:sz="4" w:space="0"/>
              <w:right w:val="single" w:color="auto" w:sz="4" w:space="0"/>
            </w:tcBorders>
            <w:vAlign w:val="center"/>
          </w:tcPr>
          <w:p>
            <w:pPr>
              <w:widowControl/>
              <w:jc w:val="left"/>
              <w:rPr>
                <w:rFonts w:eastAsiaTheme="minorEastAsia"/>
                <w:color w:val="auto"/>
                <w:szCs w:val="21"/>
              </w:rPr>
            </w:pPr>
          </w:p>
        </w:tc>
      </w:tr>
      <w:tr>
        <w:tblPrEx>
          <w:tblCellMar>
            <w:top w:w="0" w:type="dxa"/>
            <w:left w:w="108" w:type="dxa"/>
            <w:bottom w:w="0" w:type="dxa"/>
            <w:right w:w="108" w:type="dxa"/>
          </w:tblCellMar>
        </w:tblPrEx>
        <w:trPr>
          <w:cantSplit/>
          <w:trHeight w:val="1547" w:hRule="atLeast"/>
          <w:jc w:val="center"/>
        </w:trPr>
        <w:tc>
          <w:tcPr>
            <w:tcW w:w="1384" w:type="dxa"/>
            <w:vMerge w:val="continue"/>
            <w:tcBorders>
              <w:top w:val="nil"/>
              <w:left w:val="single" w:color="auto" w:sz="4" w:space="0"/>
              <w:bottom w:val="single" w:color="auto" w:sz="4" w:space="0"/>
              <w:right w:val="single" w:color="auto" w:sz="4" w:space="0"/>
            </w:tcBorders>
            <w:vAlign w:val="center"/>
          </w:tcPr>
          <w:p>
            <w:pPr>
              <w:widowControl/>
              <w:jc w:val="left"/>
              <w:rPr>
                <w:rFonts w:eastAsiaTheme="minorEastAsia"/>
                <w:color w:val="auto"/>
                <w:szCs w:val="21"/>
              </w:rPr>
            </w:pPr>
          </w:p>
        </w:tc>
        <w:tc>
          <w:tcPr>
            <w:tcW w:w="1007" w:type="dxa"/>
            <w:tcBorders>
              <w:top w:val="nil"/>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运营期</w:t>
            </w:r>
          </w:p>
        </w:tc>
        <w:tc>
          <w:tcPr>
            <w:tcW w:w="1617" w:type="dxa"/>
            <w:tcBorders>
              <w:top w:val="single" w:color="auto" w:sz="4" w:space="0"/>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szCs w:val="21"/>
              </w:rPr>
              <w:t>恶臭气体</w:t>
            </w:r>
          </w:p>
        </w:tc>
        <w:tc>
          <w:tcPr>
            <w:tcW w:w="3078" w:type="dxa"/>
            <w:tcBorders>
              <w:top w:val="single" w:color="auto" w:sz="4" w:space="0"/>
              <w:left w:val="nil"/>
              <w:bottom w:val="single" w:color="auto" w:sz="4" w:space="0"/>
              <w:right w:val="single" w:color="auto" w:sz="4" w:space="0"/>
            </w:tcBorders>
            <w:vAlign w:val="center"/>
          </w:tcPr>
          <w:p>
            <w:pPr>
              <w:adjustRightInd w:val="0"/>
              <w:snapToGrid w:val="0"/>
              <w:jc w:val="center"/>
              <w:rPr>
                <w:rFonts w:eastAsiaTheme="minorEastAsia"/>
                <w:color w:val="auto"/>
                <w:szCs w:val="21"/>
              </w:rPr>
            </w:pPr>
            <w:r>
              <w:rPr>
                <w:rFonts w:eastAsiaTheme="minorEastAsia"/>
                <w:color w:val="auto"/>
                <w:szCs w:val="21"/>
              </w:rPr>
              <w:t>储泥池，池顶采用玻璃钢盖板密封，污泥脱水机房和设备间产生臭气的设备采用全封闭式设计，定期喷洒除臭剂，同时本工程对厂区进行绿化</w:t>
            </w:r>
          </w:p>
        </w:tc>
        <w:tc>
          <w:tcPr>
            <w:tcW w:w="1861" w:type="dxa"/>
            <w:tcBorders>
              <w:top w:val="nil"/>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达标排放</w:t>
            </w:r>
          </w:p>
        </w:tc>
      </w:tr>
      <w:tr>
        <w:tblPrEx>
          <w:tblCellMar>
            <w:top w:w="0" w:type="dxa"/>
            <w:left w:w="108" w:type="dxa"/>
            <w:bottom w:w="0" w:type="dxa"/>
            <w:right w:w="108" w:type="dxa"/>
          </w:tblCellMar>
        </w:tblPrEx>
        <w:trPr>
          <w:cantSplit/>
          <w:trHeight w:val="1130" w:hRule="atLeast"/>
          <w:jc w:val="center"/>
        </w:trPr>
        <w:tc>
          <w:tcPr>
            <w:tcW w:w="1384" w:type="dxa"/>
            <w:vMerge w:val="restart"/>
            <w:tcBorders>
              <w:top w:val="nil"/>
              <w:left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废</w:t>
            </w:r>
          </w:p>
          <w:p>
            <w:pPr>
              <w:jc w:val="center"/>
              <w:rPr>
                <w:rFonts w:eastAsiaTheme="minorEastAsia"/>
                <w:color w:val="auto"/>
              </w:rPr>
            </w:pPr>
            <w:r>
              <w:rPr>
                <w:rFonts w:eastAsiaTheme="minorEastAsia"/>
                <w:color w:val="auto"/>
              </w:rPr>
              <w:t>水</w:t>
            </w:r>
          </w:p>
          <w:p>
            <w:pPr>
              <w:jc w:val="center"/>
              <w:rPr>
                <w:rFonts w:eastAsiaTheme="minorEastAsia"/>
                <w:color w:val="auto"/>
              </w:rPr>
            </w:pPr>
            <w:r>
              <w:rPr>
                <w:rFonts w:eastAsiaTheme="minorEastAsia"/>
                <w:color w:val="auto"/>
              </w:rPr>
              <w:t>污</w:t>
            </w:r>
          </w:p>
          <w:p>
            <w:pPr>
              <w:jc w:val="center"/>
              <w:rPr>
                <w:rFonts w:eastAsiaTheme="minorEastAsia"/>
                <w:color w:val="auto"/>
              </w:rPr>
            </w:pPr>
            <w:r>
              <w:rPr>
                <w:rFonts w:eastAsiaTheme="minorEastAsia"/>
                <w:color w:val="auto"/>
              </w:rPr>
              <w:t>染</w:t>
            </w:r>
          </w:p>
          <w:p>
            <w:pPr>
              <w:jc w:val="center"/>
              <w:rPr>
                <w:rFonts w:eastAsiaTheme="minorEastAsia"/>
                <w:color w:val="auto"/>
                <w:szCs w:val="21"/>
              </w:rPr>
            </w:pPr>
            <w:r>
              <w:rPr>
                <w:rFonts w:eastAsiaTheme="minorEastAsia"/>
                <w:color w:val="auto"/>
              </w:rPr>
              <w:t>物</w:t>
            </w:r>
          </w:p>
        </w:tc>
        <w:tc>
          <w:tcPr>
            <w:tcW w:w="1007" w:type="dxa"/>
            <w:vMerge w:val="restart"/>
            <w:tcBorders>
              <w:top w:val="single" w:color="auto" w:sz="4" w:space="0"/>
              <w:left w:val="nil"/>
              <w:right w:val="single" w:color="auto" w:sz="4" w:space="0"/>
            </w:tcBorders>
            <w:vAlign w:val="center"/>
          </w:tcPr>
          <w:p>
            <w:pPr>
              <w:jc w:val="center"/>
              <w:rPr>
                <w:rFonts w:eastAsiaTheme="minorEastAsia"/>
                <w:color w:val="auto"/>
                <w:szCs w:val="21"/>
              </w:rPr>
            </w:pPr>
            <w:r>
              <w:rPr>
                <w:rFonts w:eastAsiaTheme="minorEastAsia"/>
                <w:color w:val="auto"/>
              </w:rPr>
              <w:t>施工期</w:t>
            </w:r>
          </w:p>
        </w:tc>
        <w:tc>
          <w:tcPr>
            <w:tcW w:w="1617" w:type="dxa"/>
            <w:tcBorders>
              <w:top w:val="single" w:color="auto" w:sz="4" w:space="0"/>
              <w:left w:val="nil"/>
              <w:bottom w:val="single" w:color="auto" w:sz="4" w:space="0"/>
              <w:right w:val="single" w:color="auto" w:sz="4" w:space="0"/>
            </w:tcBorders>
            <w:vAlign w:val="center"/>
          </w:tcPr>
          <w:p>
            <w:pPr>
              <w:jc w:val="center"/>
              <w:rPr>
                <w:rFonts w:eastAsiaTheme="minorEastAsia"/>
                <w:color w:val="auto"/>
                <w:szCs w:val="21"/>
                <w:vertAlign w:val="subscript"/>
              </w:rPr>
            </w:pPr>
            <w:r>
              <w:rPr>
                <w:rFonts w:eastAsiaTheme="minorEastAsia"/>
                <w:color w:val="auto"/>
              </w:rPr>
              <w:t>生活废水</w:t>
            </w:r>
          </w:p>
        </w:tc>
        <w:tc>
          <w:tcPr>
            <w:tcW w:w="3078" w:type="dxa"/>
            <w:tcBorders>
              <w:top w:val="single" w:color="auto" w:sz="4" w:space="0"/>
              <w:left w:val="nil"/>
              <w:bottom w:val="single" w:color="000000" w:sz="8" w:space="0"/>
              <w:right w:val="single" w:color="auto" w:sz="4" w:space="0"/>
            </w:tcBorders>
            <w:vAlign w:val="center"/>
          </w:tcPr>
          <w:p>
            <w:pPr>
              <w:jc w:val="center"/>
              <w:rPr>
                <w:rFonts w:eastAsiaTheme="minorEastAsia"/>
                <w:color w:val="auto"/>
                <w:szCs w:val="21"/>
              </w:rPr>
            </w:pPr>
            <w:r>
              <w:rPr>
                <w:rFonts w:eastAsiaTheme="minorEastAsia"/>
                <w:color w:val="auto"/>
              </w:rPr>
              <w:t>施工人员使用现有工程生活设施，生活污水纳入污水处理系统，经处理达标后排放</w:t>
            </w:r>
          </w:p>
        </w:tc>
        <w:tc>
          <w:tcPr>
            <w:tcW w:w="1861" w:type="dxa"/>
            <w:tcBorders>
              <w:top w:val="single" w:color="auto" w:sz="4" w:space="0"/>
              <w:left w:val="nil"/>
              <w:bottom w:val="single" w:color="000000" w:sz="8" w:space="0"/>
              <w:right w:val="single" w:color="auto" w:sz="4" w:space="0"/>
            </w:tcBorders>
            <w:vAlign w:val="center"/>
          </w:tcPr>
          <w:p>
            <w:pPr>
              <w:jc w:val="center"/>
              <w:rPr>
                <w:rFonts w:eastAsiaTheme="minorEastAsia"/>
                <w:color w:val="auto"/>
                <w:szCs w:val="21"/>
              </w:rPr>
            </w:pPr>
            <w:r>
              <w:rPr>
                <w:rFonts w:eastAsiaTheme="minorEastAsia"/>
                <w:color w:val="auto"/>
              </w:rPr>
              <w:t>达标排放</w:t>
            </w:r>
          </w:p>
        </w:tc>
      </w:tr>
      <w:tr>
        <w:tblPrEx>
          <w:tblCellMar>
            <w:top w:w="0" w:type="dxa"/>
            <w:left w:w="108" w:type="dxa"/>
            <w:bottom w:w="0" w:type="dxa"/>
            <w:right w:w="108" w:type="dxa"/>
          </w:tblCellMar>
        </w:tblPrEx>
        <w:trPr>
          <w:cantSplit/>
          <w:trHeight w:val="555" w:hRule="atLeast"/>
          <w:jc w:val="center"/>
        </w:trPr>
        <w:tc>
          <w:tcPr>
            <w:tcW w:w="1384" w:type="dxa"/>
            <w:vMerge w:val="continue"/>
            <w:tcBorders>
              <w:top w:val="nil"/>
              <w:left w:val="single" w:color="auto" w:sz="4" w:space="0"/>
              <w:right w:val="single" w:color="auto" w:sz="4" w:space="0"/>
            </w:tcBorders>
            <w:vAlign w:val="center"/>
          </w:tcPr>
          <w:p>
            <w:pPr>
              <w:jc w:val="center"/>
              <w:rPr>
                <w:rFonts w:eastAsiaTheme="minorEastAsia"/>
                <w:color w:val="auto"/>
              </w:rPr>
            </w:pPr>
          </w:p>
        </w:tc>
        <w:tc>
          <w:tcPr>
            <w:tcW w:w="1007" w:type="dxa"/>
            <w:vMerge w:val="continue"/>
            <w:tcBorders>
              <w:left w:val="nil"/>
              <w:bottom w:val="single" w:color="auto" w:sz="4" w:space="0"/>
              <w:right w:val="single" w:color="auto" w:sz="4" w:space="0"/>
            </w:tcBorders>
            <w:vAlign w:val="center"/>
          </w:tcPr>
          <w:p>
            <w:pPr>
              <w:jc w:val="center"/>
              <w:rPr>
                <w:rFonts w:eastAsiaTheme="minorEastAsia"/>
                <w:color w:val="auto"/>
              </w:rPr>
            </w:pPr>
          </w:p>
        </w:tc>
        <w:tc>
          <w:tcPr>
            <w:tcW w:w="1617" w:type="dxa"/>
            <w:tcBorders>
              <w:top w:val="single" w:color="auto" w:sz="4" w:space="0"/>
              <w:left w:val="nil"/>
              <w:bottom w:val="single" w:color="auto" w:sz="4" w:space="0"/>
              <w:right w:val="single" w:color="auto" w:sz="4" w:space="0"/>
            </w:tcBorders>
            <w:vAlign w:val="center"/>
          </w:tcPr>
          <w:p>
            <w:pPr>
              <w:jc w:val="center"/>
              <w:rPr>
                <w:rFonts w:eastAsiaTheme="minorEastAsia"/>
                <w:color w:val="auto"/>
              </w:rPr>
            </w:pPr>
            <w:r>
              <w:rPr>
                <w:rFonts w:eastAsiaTheme="minorEastAsia"/>
                <w:color w:val="auto"/>
              </w:rPr>
              <w:t>施工废水</w:t>
            </w:r>
          </w:p>
        </w:tc>
        <w:tc>
          <w:tcPr>
            <w:tcW w:w="3078" w:type="dxa"/>
            <w:tcBorders>
              <w:top w:val="single" w:color="auto" w:sz="4" w:space="0"/>
              <w:left w:val="nil"/>
              <w:bottom w:val="single" w:color="000000" w:sz="8" w:space="0"/>
              <w:right w:val="single" w:color="auto" w:sz="4" w:space="0"/>
            </w:tcBorders>
            <w:vAlign w:val="center"/>
          </w:tcPr>
          <w:p>
            <w:pPr>
              <w:jc w:val="center"/>
              <w:rPr>
                <w:rFonts w:eastAsiaTheme="minorEastAsia"/>
                <w:color w:val="auto"/>
              </w:rPr>
            </w:pPr>
            <w:r>
              <w:rPr>
                <w:rFonts w:eastAsiaTheme="minorEastAsia"/>
                <w:color w:val="auto"/>
              </w:rPr>
              <w:t>临时沉淀池</w:t>
            </w:r>
          </w:p>
        </w:tc>
        <w:tc>
          <w:tcPr>
            <w:tcW w:w="1861" w:type="dxa"/>
            <w:tcBorders>
              <w:top w:val="single" w:color="auto" w:sz="4" w:space="0"/>
              <w:left w:val="nil"/>
              <w:bottom w:val="single" w:color="000000" w:sz="8" w:space="0"/>
              <w:right w:val="single" w:color="auto" w:sz="4" w:space="0"/>
            </w:tcBorders>
            <w:vAlign w:val="center"/>
          </w:tcPr>
          <w:p>
            <w:pPr>
              <w:jc w:val="center"/>
              <w:rPr>
                <w:rFonts w:eastAsiaTheme="minorEastAsia"/>
                <w:color w:val="auto"/>
              </w:rPr>
            </w:pPr>
            <w:r>
              <w:rPr>
                <w:rFonts w:eastAsiaTheme="minorEastAsia"/>
                <w:color w:val="auto"/>
              </w:rPr>
              <w:t>回用，不外排</w:t>
            </w:r>
          </w:p>
        </w:tc>
      </w:tr>
      <w:tr>
        <w:tblPrEx>
          <w:tblCellMar>
            <w:top w:w="0" w:type="dxa"/>
            <w:left w:w="108" w:type="dxa"/>
            <w:bottom w:w="0" w:type="dxa"/>
            <w:right w:w="108" w:type="dxa"/>
          </w:tblCellMar>
        </w:tblPrEx>
        <w:trPr>
          <w:cantSplit/>
          <w:trHeight w:val="519" w:hRule="atLeast"/>
          <w:jc w:val="center"/>
        </w:trPr>
        <w:tc>
          <w:tcPr>
            <w:tcW w:w="1384" w:type="dxa"/>
            <w:vMerge w:val="continue"/>
            <w:tcBorders>
              <w:left w:val="single" w:color="auto" w:sz="4" w:space="0"/>
              <w:right w:val="single" w:color="auto" w:sz="4" w:space="0"/>
            </w:tcBorders>
            <w:vAlign w:val="center"/>
          </w:tcPr>
          <w:p>
            <w:pPr>
              <w:widowControl/>
              <w:jc w:val="left"/>
              <w:rPr>
                <w:rFonts w:eastAsiaTheme="minorEastAsia"/>
                <w:color w:val="auto"/>
                <w:szCs w:val="21"/>
              </w:rPr>
            </w:pPr>
          </w:p>
        </w:tc>
        <w:tc>
          <w:tcPr>
            <w:tcW w:w="1007" w:type="dxa"/>
            <w:vMerge w:val="restart"/>
            <w:tcBorders>
              <w:top w:val="single" w:color="auto" w:sz="4" w:space="0"/>
              <w:left w:val="nil"/>
              <w:right w:val="single" w:color="auto" w:sz="4" w:space="0"/>
            </w:tcBorders>
            <w:vAlign w:val="center"/>
          </w:tcPr>
          <w:p>
            <w:pPr>
              <w:jc w:val="center"/>
              <w:rPr>
                <w:rFonts w:eastAsiaTheme="minorEastAsia"/>
                <w:color w:val="auto"/>
                <w:szCs w:val="21"/>
              </w:rPr>
            </w:pPr>
            <w:r>
              <w:rPr>
                <w:rFonts w:eastAsiaTheme="minorEastAsia"/>
                <w:color w:val="auto"/>
              </w:rPr>
              <w:t>运营期</w:t>
            </w:r>
          </w:p>
        </w:tc>
        <w:tc>
          <w:tcPr>
            <w:tcW w:w="1617" w:type="dxa"/>
            <w:tcBorders>
              <w:top w:val="single" w:color="auto" w:sz="4" w:space="0"/>
              <w:left w:val="nil"/>
              <w:bottom w:val="single" w:color="auto" w:sz="4" w:space="0"/>
              <w:right w:val="single" w:color="000000" w:sz="8" w:space="0"/>
            </w:tcBorders>
            <w:vAlign w:val="center"/>
          </w:tcPr>
          <w:p>
            <w:pPr>
              <w:spacing w:line="0" w:lineRule="atLeast"/>
              <w:jc w:val="center"/>
              <w:rPr>
                <w:rFonts w:eastAsiaTheme="minorEastAsia"/>
                <w:color w:val="auto"/>
                <w:szCs w:val="21"/>
                <w:vertAlign w:val="subscript"/>
              </w:rPr>
            </w:pPr>
            <w:r>
              <w:rPr>
                <w:rFonts w:eastAsiaTheme="minorEastAsia"/>
                <w:color w:val="auto"/>
                <w:szCs w:val="21"/>
              </w:rPr>
              <w:t>生产废水</w:t>
            </w:r>
          </w:p>
        </w:tc>
        <w:tc>
          <w:tcPr>
            <w:tcW w:w="3078" w:type="dxa"/>
            <w:vMerge w:val="restart"/>
            <w:tcBorders>
              <w:top w:val="single" w:color="000000" w:sz="8" w:space="0"/>
              <w:left w:val="single" w:color="000000" w:sz="8" w:space="0"/>
              <w:right w:val="single" w:color="000000" w:sz="8" w:space="0"/>
            </w:tcBorders>
            <w:vAlign w:val="center"/>
          </w:tcPr>
          <w:p>
            <w:pPr>
              <w:jc w:val="center"/>
              <w:rPr>
                <w:rFonts w:eastAsiaTheme="minorEastAsia"/>
                <w:color w:val="auto"/>
                <w:szCs w:val="21"/>
              </w:rPr>
            </w:pPr>
            <w:r>
              <w:rPr>
                <w:rFonts w:eastAsiaTheme="minorEastAsia"/>
                <w:color w:val="auto"/>
                <w:szCs w:val="21"/>
              </w:rPr>
              <w:t>采用 A</w:t>
            </w:r>
            <w:r>
              <w:rPr>
                <w:rFonts w:eastAsiaTheme="minorEastAsia"/>
                <w:color w:val="auto"/>
                <w:szCs w:val="21"/>
                <w:vertAlign w:val="superscript"/>
              </w:rPr>
              <w:t>2</w:t>
            </w:r>
            <w:r>
              <w:rPr>
                <w:rFonts w:eastAsiaTheme="minorEastAsia"/>
                <w:color w:val="auto"/>
                <w:szCs w:val="21"/>
              </w:rPr>
              <w:t>/O+MBR工艺处理后达标排放</w:t>
            </w:r>
          </w:p>
        </w:tc>
        <w:tc>
          <w:tcPr>
            <w:tcW w:w="1861" w:type="dxa"/>
            <w:vMerge w:val="restart"/>
            <w:tcBorders>
              <w:top w:val="single" w:color="000000" w:sz="8" w:space="0"/>
              <w:left w:val="single" w:color="000000" w:sz="8" w:space="0"/>
              <w:right w:val="single" w:color="000000" w:sz="8" w:space="0"/>
            </w:tcBorders>
            <w:vAlign w:val="center"/>
          </w:tcPr>
          <w:p>
            <w:pPr>
              <w:jc w:val="center"/>
              <w:rPr>
                <w:rFonts w:eastAsiaTheme="minorEastAsia"/>
                <w:color w:val="auto"/>
                <w:szCs w:val="21"/>
              </w:rPr>
            </w:pPr>
            <w:r>
              <w:rPr>
                <w:rFonts w:eastAsiaTheme="minorEastAsia"/>
                <w:color w:val="auto"/>
              </w:rPr>
              <w:t>达标排放</w:t>
            </w:r>
          </w:p>
        </w:tc>
      </w:tr>
      <w:tr>
        <w:tblPrEx>
          <w:tblCellMar>
            <w:top w:w="0" w:type="dxa"/>
            <w:left w:w="108" w:type="dxa"/>
            <w:bottom w:w="0" w:type="dxa"/>
            <w:right w:w="108" w:type="dxa"/>
          </w:tblCellMar>
        </w:tblPrEx>
        <w:trPr>
          <w:cantSplit/>
          <w:trHeight w:val="567" w:hRule="atLeast"/>
          <w:jc w:val="center"/>
        </w:trPr>
        <w:tc>
          <w:tcPr>
            <w:tcW w:w="1384" w:type="dxa"/>
            <w:vMerge w:val="continue"/>
            <w:tcBorders>
              <w:left w:val="single" w:color="auto" w:sz="4" w:space="0"/>
              <w:bottom w:val="single" w:color="auto" w:sz="4" w:space="0"/>
              <w:right w:val="single" w:color="auto" w:sz="4" w:space="0"/>
            </w:tcBorders>
            <w:vAlign w:val="center"/>
          </w:tcPr>
          <w:p>
            <w:pPr>
              <w:widowControl/>
              <w:jc w:val="left"/>
              <w:rPr>
                <w:rFonts w:eastAsiaTheme="minorEastAsia"/>
                <w:color w:val="auto"/>
                <w:szCs w:val="21"/>
              </w:rPr>
            </w:pPr>
          </w:p>
        </w:tc>
        <w:tc>
          <w:tcPr>
            <w:tcW w:w="1007" w:type="dxa"/>
            <w:vMerge w:val="continue"/>
            <w:tcBorders>
              <w:left w:val="nil"/>
              <w:bottom w:val="single" w:color="auto" w:sz="4" w:space="0"/>
              <w:right w:val="single" w:color="auto" w:sz="4" w:space="0"/>
            </w:tcBorders>
            <w:vAlign w:val="center"/>
          </w:tcPr>
          <w:p>
            <w:pPr>
              <w:jc w:val="center"/>
              <w:rPr>
                <w:rFonts w:eastAsiaTheme="minorEastAsia"/>
                <w:color w:val="auto"/>
              </w:rPr>
            </w:pPr>
          </w:p>
        </w:tc>
        <w:tc>
          <w:tcPr>
            <w:tcW w:w="1617" w:type="dxa"/>
            <w:tcBorders>
              <w:top w:val="single" w:color="auto" w:sz="4" w:space="0"/>
              <w:left w:val="nil"/>
              <w:bottom w:val="single" w:color="auto" w:sz="4" w:space="0"/>
              <w:right w:val="single" w:color="000000" w:sz="8" w:space="0"/>
            </w:tcBorders>
            <w:vAlign w:val="center"/>
          </w:tcPr>
          <w:p>
            <w:pPr>
              <w:spacing w:line="0" w:lineRule="atLeast"/>
              <w:jc w:val="center"/>
              <w:rPr>
                <w:rFonts w:eastAsiaTheme="minorEastAsia"/>
                <w:color w:val="auto"/>
                <w:szCs w:val="21"/>
              </w:rPr>
            </w:pPr>
            <w:r>
              <w:rPr>
                <w:rFonts w:eastAsiaTheme="minorEastAsia"/>
                <w:color w:val="auto"/>
                <w:szCs w:val="21"/>
              </w:rPr>
              <w:t>生活污水</w:t>
            </w:r>
          </w:p>
        </w:tc>
        <w:tc>
          <w:tcPr>
            <w:tcW w:w="3078" w:type="dxa"/>
            <w:vMerge w:val="continue"/>
            <w:tcBorders>
              <w:left w:val="single" w:color="000000" w:sz="8" w:space="0"/>
              <w:bottom w:val="single" w:color="000000" w:sz="8" w:space="0"/>
              <w:right w:val="single" w:color="000000" w:sz="8" w:space="0"/>
            </w:tcBorders>
            <w:vAlign w:val="center"/>
          </w:tcPr>
          <w:p>
            <w:pPr>
              <w:jc w:val="center"/>
              <w:rPr>
                <w:rFonts w:eastAsiaTheme="minorEastAsia"/>
                <w:color w:val="auto"/>
              </w:rPr>
            </w:pPr>
          </w:p>
        </w:tc>
        <w:tc>
          <w:tcPr>
            <w:tcW w:w="1861" w:type="dxa"/>
            <w:vMerge w:val="continue"/>
            <w:tcBorders>
              <w:left w:val="single" w:color="000000" w:sz="8" w:space="0"/>
              <w:bottom w:val="single" w:color="000000" w:sz="8" w:space="0"/>
              <w:right w:val="single" w:color="000000" w:sz="8" w:space="0"/>
            </w:tcBorders>
            <w:vAlign w:val="center"/>
          </w:tcPr>
          <w:p>
            <w:pPr>
              <w:jc w:val="center"/>
              <w:rPr>
                <w:rFonts w:eastAsiaTheme="minorEastAsia"/>
                <w:color w:val="auto"/>
              </w:rPr>
            </w:pPr>
          </w:p>
        </w:tc>
      </w:tr>
      <w:tr>
        <w:tblPrEx>
          <w:tblCellMar>
            <w:top w:w="0" w:type="dxa"/>
            <w:left w:w="108" w:type="dxa"/>
            <w:bottom w:w="0" w:type="dxa"/>
            <w:right w:w="108" w:type="dxa"/>
          </w:tblCellMar>
        </w:tblPrEx>
        <w:trPr>
          <w:cantSplit/>
          <w:jc w:val="center"/>
        </w:trPr>
        <w:tc>
          <w:tcPr>
            <w:tcW w:w="1384" w:type="dxa"/>
            <w:vMerge w:val="restart"/>
            <w:tcBorders>
              <w:top w:val="nil"/>
              <w:left w:val="single" w:color="auto" w:sz="4" w:space="0"/>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固</w:t>
            </w:r>
          </w:p>
          <w:p>
            <w:pPr>
              <w:jc w:val="center"/>
              <w:rPr>
                <w:rFonts w:eastAsiaTheme="minorEastAsia"/>
                <w:color w:val="auto"/>
              </w:rPr>
            </w:pPr>
            <w:r>
              <w:rPr>
                <w:rFonts w:eastAsiaTheme="minorEastAsia"/>
                <w:color w:val="auto"/>
              </w:rPr>
              <w:t>体</w:t>
            </w:r>
          </w:p>
          <w:p>
            <w:pPr>
              <w:jc w:val="center"/>
              <w:rPr>
                <w:rFonts w:eastAsiaTheme="minorEastAsia"/>
                <w:color w:val="auto"/>
              </w:rPr>
            </w:pPr>
            <w:r>
              <w:rPr>
                <w:rFonts w:eastAsiaTheme="minorEastAsia"/>
                <w:color w:val="auto"/>
              </w:rPr>
              <w:t>废</w:t>
            </w:r>
          </w:p>
          <w:p>
            <w:pPr>
              <w:jc w:val="center"/>
              <w:rPr>
                <w:rFonts w:eastAsiaTheme="minorEastAsia"/>
                <w:color w:val="auto"/>
                <w:szCs w:val="21"/>
              </w:rPr>
            </w:pPr>
            <w:r>
              <w:rPr>
                <w:rFonts w:eastAsiaTheme="minorEastAsia"/>
                <w:color w:val="auto"/>
              </w:rPr>
              <w:t>物</w:t>
            </w:r>
          </w:p>
        </w:tc>
        <w:tc>
          <w:tcPr>
            <w:tcW w:w="1007" w:type="dxa"/>
            <w:vMerge w:val="restart"/>
            <w:tcBorders>
              <w:top w:val="nil"/>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施工期</w:t>
            </w:r>
          </w:p>
        </w:tc>
        <w:tc>
          <w:tcPr>
            <w:tcW w:w="1617" w:type="dxa"/>
            <w:tcBorders>
              <w:top w:val="single" w:color="auto" w:sz="4" w:space="0"/>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建筑圾</w:t>
            </w:r>
          </w:p>
        </w:tc>
        <w:tc>
          <w:tcPr>
            <w:tcW w:w="3078" w:type="dxa"/>
            <w:tcBorders>
              <w:top w:val="single" w:color="000000" w:sz="8" w:space="0"/>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可回收利用部分回收利用，不可回收利用部分运送至指定地点</w:t>
            </w:r>
          </w:p>
        </w:tc>
        <w:tc>
          <w:tcPr>
            <w:tcW w:w="1861" w:type="dxa"/>
            <w:tcBorders>
              <w:top w:val="single" w:color="000000" w:sz="8" w:space="0"/>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合理处置</w:t>
            </w:r>
          </w:p>
        </w:tc>
      </w:tr>
      <w:tr>
        <w:tblPrEx>
          <w:tblCellMar>
            <w:top w:w="0" w:type="dxa"/>
            <w:left w:w="108" w:type="dxa"/>
            <w:bottom w:w="0" w:type="dxa"/>
            <w:right w:w="108" w:type="dxa"/>
          </w:tblCellMar>
        </w:tblPrEx>
        <w:trPr>
          <w:cantSplit/>
          <w:trHeight w:val="471" w:hRule="atLeast"/>
          <w:jc w:val="center"/>
        </w:trPr>
        <w:tc>
          <w:tcPr>
            <w:tcW w:w="1384" w:type="dxa"/>
            <w:vMerge w:val="continue"/>
            <w:tcBorders>
              <w:top w:val="nil"/>
              <w:left w:val="single" w:color="auto" w:sz="4" w:space="0"/>
              <w:bottom w:val="single" w:color="auto" w:sz="4" w:space="0"/>
              <w:right w:val="single" w:color="auto" w:sz="4" w:space="0"/>
            </w:tcBorders>
            <w:vAlign w:val="center"/>
          </w:tcPr>
          <w:p>
            <w:pPr>
              <w:widowControl/>
              <w:jc w:val="left"/>
              <w:rPr>
                <w:rFonts w:eastAsiaTheme="minorEastAsia"/>
                <w:color w:val="auto"/>
                <w:szCs w:val="21"/>
              </w:rPr>
            </w:pPr>
          </w:p>
        </w:tc>
        <w:tc>
          <w:tcPr>
            <w:tcW w:w="1007" w:type="dxa"/>
            <w:vMerge w:val="continue"/>
            <w:tcBorders>
              <w:top w:val="nil"/>
              <w:left w:val="nil"/>
              <w:bottom w:val="single" w:color="auto" w:sz="4" w:space="0"/>
              <w:right w:val="single" w:color="auto" w:sz="4" w:space="0"/>
            </w:tcBorders>
            <w:vAlign w:val="center"/>
          </w:tcPr>
          <w:p>
            <w:pPr>
              <w:widowControl/>
              <w:jc w:val="left"/>
              <w:rPr>
                <w:rFonts w:eastAsiaTheme="minorEastAsia"/>
                <w:color w:val="auto"/>
                <w:szCs w:val="21"/>
              </w:rPr>
            </w:pPr>
          </w:p>
        </w:tc>
        <w:tc>
          <w:tcPr>
            <w:tcW w:w="1617" w:type="dxa"/>
            <w:tcBorders>
              <w:top w:val="single" w:color="auto" w:sz="4" w:space="0"/>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生活垃圾</w:t>
            </w:r>
          </w:p>
        </w:tc>
        <w:tc>
          <w:tcPr>
            <w:tcW w:w="3078" w:type="dxa"/>
            <w:tcBorders>
              <w:top w:val="single" w:color="auto" w:sz="4" w:space="0"/>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由当地环卫部门及时清运</w:t>
            </w:r>
          </w:p>
        </w:tc>
        <w:tc>
          <w:tcPr>
            <w:tcW w:w="1861" w:type="dxa"/>
            <w:tcBorders>
              <w:top w:val="single" w:color="auto" w:sz="4" w:space="0"/>
              <w:left w:val="nil"/>
              <w:bottom w:val="single" w:color="auto" w:sz="4" w:space="0"/>
              <w:right w:val="single" w:color="auto" w:sz="4" w:space="0"/>
            </w:tcBorders>
            <w:vAlign w:val="center"/>
          </w:tcPr>
          <w:p>
            <w:pPr>
              <w:adjustRightInd w:val="0"/>
              <w:snapToGrid w:val="0"/>
              <w:ind w:firstLine="420" w:firstLineChars="200"/>
              <w:rPr>
                <w:rFonts w:eastAsiaTheme="minorEastAsia"/>
                <w:color w:val="auto"/>
                <w:szCs w:val="21"/>
              </w:rPr>
            </w:pPr>
            <w:r>
              <w:rPr>
                <w:rFonts w:eastAsiaTheme="minorEastAsia"/>
                <w:color w:val="auto"/>
              </w:rPr>
              <w:t>合理处置</w:t>
            </w:r>
          </w:p>
        </w:tc>
      </w:tr>
      <w:tr>
        <w:tblPrEx>
          <w:tblCellMar>
            <w:top w:w="0" w:type="dxa"/>
            <w:left w:w="108" w:type="dxa"/>
            <w:bottom w:w="0" w:type="dxa"/>
            <w:right w:w="108" w:type="dxa"/>
          </w:tblCellMar>
        </w:tblPrEx>
        <w:trPr>
          <w:cantSplit/>
          <w:trHeight w:val="832" w:hRule="atLeast"/>
          <w:jc w:val="center"/>
        </w:trPr>
        <w:tc>
          <w:tcPr>
            <w:tcW w:w="1384" w:type="dxa"/>
            <w:vMerge w:val="continue"/>
            <w:tcBorders>
              <w:top w:val="nil"/>
              <w:left w:val="single" w:color="auto" w:sz="4" w:space="0"/>
              <w:bottom w:val="single" w:color="auto" w:sz="4" w:space="0"/>
              <w:right w:val="single" w:color="auto" w:sz="4" w:space="0"/>
            </w:tcBorders>
            <w:vAlign w:val="center"/>
          </w:tcPr>
          <w:p>
            <w:pPr>
              <w:widowControl/>
              <w:jc w:val="left"/>
              <w:rPr>
                <w:rFonts w:eastAsiaTheme="minorEastAsia"/>
                <w:color w:val="auto"/>
                <w:szCs w:val="21"/>
              </w:rPr>
            </w:pPr>
          </w:p>
        </w:tc>
        <w:tc>
          <w:tcPr>
            <w:tcW w:w="1007" w:type="dxa"/>
            <w:vMerge w:val="restart"/>
            <w:tcBorders>
              <w:top w:val="nil"/>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运营期</w:t>
            </w:r>
          </w:p>
        </w:tc>
        <w:tc>
          <w:tcPr>
            <w:tcW w:w="1617" w:type="dxa"/>
            <w:tcBorders>
              <w:top w:val="single" w:color="auto" w:sz="4" w:space="0"/>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szCs w:val="21"/>
              </w:rPr>
              <w:t>栅渣、沉砂及生活垃圾</w:t>
            </w:r>
          </w:p>
        </w:tc>
        <w:tc>
          <w:tcPr>
            <w:tcW w:w="3078" w:type="dxa"/>
            <w:tcBorders>
              <w:top w:val="single" w:color="auto" w:sz="4" w:space="0"/>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szCs w:val="21"/>
              </w:rPr>
              <w:t>送到宁县垃圾填埋场处理</w:t>
            </w:r>
          </w:p>
        </w:tc>
        <w:tc>
          <w:tcPr>
            <w:tcW w:w="1861" w:type="dxa"/>
            <w:tcBorders>
              <w:top w:val="single" w:color="auto" w:sz="4" w:space="0"/>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合理处置</w:t>
            </w:r>
          </w:p>
        </w:tc>
      </w:tr>
      <w:tr>
        <w:tblPrEx>
          <w:tblCellMar>
            <w:top w:w="0" w:type="dxa"/>
            <w:left w:w="108" w:type="dxa"/>
            <w:bottom w:w="0" w:type="dxa"/>
            <w:right w:w="108" w:type="dxa"/>
          </w:tblCellMar>
        </w:tblPrEx>
        <w:trPr>
          <w:cantSplit/>
          <w:jc w:val="center"/>
        </w:trPr>
        <w:tc>
          <w:tcPr>
            <w:tcW w:w="1384" w:type="dxa"/>
            <w:vMerge w:val="continue"/>
            <w:tcBorders>
              <w:top w:val="nil"/>
              <w:left w:val="single" w:color="auto" w:sz="4" w:space="0"/>
              <w:bottom w:val="single" w:color="auto" w:sz="4" w:space="0"/>
              <w:right w:val="single" w:color="auto" w:sz="4" w:space="0"/>
            </w:tcBorders>
            <w:vAlign w:val="center"/>
          </w:tcPr>
          <w:p>
            <w:pPr>
              <w:widowControl/>
              <w:jc w:val="left"/>
              <w:rPr>
                <w:rFonts w:eastAsiaTheme="minorEastAsia"/>
                <w:color w:val="auto"/>
                <w:szCs w:val="21"/>
              </w:rPr>
            </w:pPr>
          </w:p>
        </w:tc>
        <w:tc>
          <w:tcPr>
            <w:tcW w:w="1007" w:type="dxa"/>
            <w:vMerge w:val="continue"/>
            <w:tcBorders>
              <w:top w:val="nil"/>
              <w:left w:val="nil"/>
              <w:bottom w:val="single" w:color="auto" w:sz="4" w:space="0"/>
              <w:right w:val="single" w:color="auto" w:sz="4" w:space="0"/>
            </w:tcBorders>
            <w:vAlign w:val="center"/>
          </w:tcPr>
          <w:p>
            <w:pPr>
              <w:widowControl/>
              <w:jc w:val="left"/>
              <w:rPr>
                <w:rFonts w:eastAsiaTheme="minorEastAsia"/>
                <w:color w:val="auto"/>
                <w:szCs w:val="21"/>
              </w:rPr>
            </w:pPr>
          </w:p>
        </w:tc>
        <w:tc>
          <w:tcPr>
            <w:tcW w:w="1617" w:type="dxa"/>
            <w:tcBorders>
              <w:top w:val="single" w:color="auto" w:sz="4" w:space="0"/>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污泥</w:t>
            </w:r>
          </w:p>
        </w:tc>
        <w:tc>
          <w:tcPr>
            <w:tcW w:w="3078" w:type="dxa"/>
            <w:tcBorders>
              <w:top w:val="single" w:color="auto" w:sz="4" w:space="0"/>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szCs w:val="21"/>
              </w:rPr>
              <w:t>由当地环保部门统一协调，将本县各个乡镇污水处理站产生的有机污泥脱水后集中运输至指定地点，进行统一处理</w:t>
            </w:r>
          </w:p>
        </w:tc>
        <w:tc>
          <w:tcPr>
            <w:tcW w:w="1861" w:type="dxa"/>
            <w:tcBorders>
              <w:top w:val="single" w:color="auto" w:sz="4" w:space="0"/>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合理处置</w:t>
            </w:r>
          </w:p>
        </w:tc>
      </w:tr>
      <w:tr>
        <w:tblPrEx>
          <w:tblCellMar>
            <w:top w:w="0" w:type="dxa"/>
            <w:left w:w="108" w:type="dxa"/>
            <w:bottom w:w="0" w:type="dxa"/>
            <w:right w:w="108" w:type="dxa"/>
          </w:tblCellMar>
        </w:tblPrEx>
        <w:trPr>
          <w:cantSplit/>
          <w:trHeight w:val="989" w:hRule="atLeast"/>
          <w:jc w:val="center"/>
        </w:trPr>
        <w:tc>
          <w:tcPr>
            <w:tcW w:w="1384" w:type="dxa"/>
            <w:vMerge w:val="restart"/>
            <w:tcBorders>
              <w:top w:val="nil"/>
              <w:left w:val="single" w:color="auto" w:sz="4" w:space="0"/>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噪</w:t>
            </w:r>
          </w:p>
          <w:p>
            <w:pPr>
              <w:jc w:val="center"/>
              <w:rPr>
                <w:rFonts w:eastAsiaTheme="minorEastAsia"/>
                <w:color w:val="auto"/>
                <w:szCs w:val="21"/>
              </w:rPr>
            </w:pPr>
            <w:r>
              <w:rPr>
                <w:rFonts w:eastAsiaTheme="minorEastAsia"/>
                <w:color w:val="auto"/>
              </w:rPr>
              <w:t>声</w:t>
            </w:r>
          </w:p>
        </w:tc>
        <w:tc>
          <w:tcPr>
            <w:tcW w:w="1007" w:type="dxa"/>
            <w:tcBorders>
              <w:top w:val="single" w:color="auto" w:sz="4" w:space="0"/>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施工期</w:t>
            </w:r>
          </w:p>
        </w:tc>
        <w:tc>
          <w:tcPr>
            <w:tcW w:w="6556" w:type="dxa"/>
            <w:gridSpan w:val="3"/>
            <w:tcBorders>
              <w:top w:val="single" w:color="auto" w:sz="4" w:space="0"/>
              <w:left w:val="nil"/>
              <w:bottom w:val="single" w:color="auto" w:sz="4" w:space="0"/>
              <w:right w:val="single" w:color="auto" w:sz="4" w:space="0"/>
            </w:tcBorders>
            <w:vAlign w:val="center"/>
          </w:tcPr>
          <w:p>
            <w:pPr>
              <w:ind w:left="-81" w:leftChars="-256" w:hanging="457" w:hangingChars="218"/>
              <w:jc w:val="left"/>
              <w:rPr>
                <w:rFonts w:eastAsiaTheme="minorEastAsia"/>
                <w:color w:val="auto"/>
                <w:szCs w:val="21"/>
              </w:rPr>
            </w:pPr>
            <w:r>
              <w:rPr>
                <w:rFonts w:eastAsiaTheme="minorEastAsia"/>
                <w:color w:val="auto"/>
              </w:rPr>
              <w:t>使用低噪声设备进行施工并定期对施工机械减小维修保养，在施工厂界设置隔声设施，禁止夜间施工</w:t>
            </w:r>
          </w:p>
        </w:tc>
      </w:tr>
      <w:tr>
        <w:tblPrEx>
          <w:tblCellMar>
            <w:top w:w="0" w:type="dxa"/>
            <w:left w:w="108" w:type="dxa"/>
            <w:bottom w:w="0" w:type="dxa"/>
            <w:right w:w="108" w:type="dxa"/>
          </w:tblCellMar>
        </w:tblPrEx>
        <w:trPr>
          <w:cantSplit/>
          <w:trHeight w:val="692" w:hRule="atLeast"/>
          <w:jc w:val="center"/>
        </w:trPr>
        <w:tc>
          <w:tcPr>
            <w:tcW w:w="1384" w:type="dxa"/>
            <w:vMerge w:val="continue"/>
            <w:tcBorders>
              <w:top w:val="nil"/>
              <w:left w:val="single" w:color="auto" w:sz="4" w:space="0"/>
              <w:bottom w:val="single" w:color="auto" w:sz="4" w:space="0"/>
              <w:right w:val="single" w:color="auto" w:sz="4" w:space="0"/>
            </w:tcBorders>
            <w:vAlign w:val="center"/>
          </w:tcPr>
          <w:p>
            <w:pPr>
              <w:widowControl/>
              <w:jc w:val="left"/>
              <w:rPr>
                <w:rFonts w:eastAsiaTheme="minorEastAsia"/>
                <w:color w:val="auto"/>
                <w:szCs w:val="21"/>
              </w:rPr>
            </w:pPr>
          </w:p>
        </w:tc>
        <w:tc>
          <w:tcPr>
            <w:tcW w:w="1007" w:type="dxa"/>
            <w:tcBorders>
              <w:top w:val="single" w:color="auto" w:sz="4" w:space="0"/>
              <w:left w:val="nil"/>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rPr>
              <w:t>运营期</w:t>
            </w:r>
          </w:p>
        </w:tc>
        <w:tc>
          <w:tcPr>
            <w:tcW w:w="6556" w:type="dxa"/>
            <w:gridSpan w:val="3"/>
            <w:tcBorders>
              <w:top w:val="single" w:color="auto" w:sz="4" w:space="0"/>
              <w:left w:val="nil"/>
              <w:bottom w:val="single" w:color="auto" w:sz="4" w:space="0"/>
              <w:right w:val="single" w:color="auto" w:sz="4" w:space="0"/>
            </w:tcBorders>
            <w:vAlign w:val="center"/>
          </w:tcPr>
          <w:p>
            <w:pPr>
              <w:ind w:left="-81" w:leftChars="-256" w:hanging="457" w:hangingChars="218"/>
              <w:jc w:val="left"/>
              <w:rPr>
                <w:rFonts w:eastAsiaTheme="minorEastAsia"/>
                <w:color w:val="auto"/>
                <w:szCs w:val="21"/>
              </w:rPr>
            </w:pPr>
            <w:r>
              <w:rPr>
                <w:rFonts w:eastAsiaTheme="minorEastAsia"/>
                <w:color w:val="auto"/>
                <w:szCs w:val="21"/>
              </w:rPr>
              <w:t>在鼓在风机的气流通道上加装消音器；水泵固定</w:t>
            </w:r>
            <w:r>
              <w:rPr>
                <w:rFonts w:eastAsiaTheme="minorEastAsia"/>
                <w:color w:val="auto"/>
              </w:rPr>
              <w:t>减震基础等措施</w:t>
            </w:r>
          </w:p>
        </w:tc>
      </w:tr>
      <w:tr>
        <w:tblPrEx>
          <w:tblCellMar>
            <w:top w:w="0" w:type="dxa"/>
            <w:left w:w="108" w:type="dxa"/>
            <w:bottom w:w="0" w:type="dxa"/>
            <w:right w:w="108" w:type="dxa"/>
          </w:tblCellMar>
        </w:tblPrEx>
        <w:trPr>
          <w:cantSplit/>
          <w:trHeight w:val="418"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rPr>
                <w:rFonts w:eastAsiaTheme="minorEastAsia"/>
                <w:color w:val="auto"/>
                <w:szCs w:val="21"/>
              </w:rPr>
            </w:pPr>
            <w:r>
              <w:rPr>
                <w:rFonts w:eastAsiaTheme="minorEastAsia"/>
                <w:color w:val="auto"/>
              </w:rPr>
              <w:t>其它</w:t>
            </w:r>
          </w:p>
        </w:tc>
        <w:tc>
          <w:tcPr>
            <w:tcW w:w="7563" w:type="dxa"/>
            <w:gridSpan w:val="4"/>
            <w:tcBorders>
              <w:top w:val="single" w:color="auto" w:sz="4" w:space="0"/>
              <w:left w:val="nil"/>
              <w:bottom w:val="single" w:color="auto" w:sz="4" w:space="0"/>
              <w:right w:val="single" w:color="auto" w:sz="4" w:space="0"/>
            </w:tcBorders>
            <w:vAlign w:val="center"/>
          </w:tcPr>
          <w:p>
            <w:pPr>
              <w:rPr>
                <w:rFonts w:eastAsiaTheme="minorEastAsia"/>
                <w:color w:val="auto"/>
                <w:szCs w:val="21"/>
              </w:rPr>
            </w:pPr>
          </w:p>
        </w:tc>
      </w:tr>
    </w:tbl>
    <w:p>
      <w:pPr>
        <w:adjustRightInd w:val="0"/>
        <w:snapToGrid w:val="0"/>
        <w:rPr>
          <w:rFonts w:eastAsiaTheme="minorEastAsia"/>
          <w:b/>
          <w:color w:val="auto"/>
          <w:sz w:val="28"/>
          <w:szCs w:val="28"/>
        </w:rPr>
      </w:pPr>
    </w:p>
    <w:p>
      <w:pPr>
        <w:adjustRightInd w:val="0"/>
        <w:snapToGrid w:val="0"/>
        <w:rPr>
          <w:rFonts w:eastAsiaTheme="minorEastAsia"/>
          <w:b/>
          <w:color w:val="auto"/>
          <w:sz w:val="28"/>
          <w:szCs w:val="28"/>
        </w:rPr>
      </w:pPr>
      <w:r>
        <w:rPr>
          <w:rFonts w:eastAsiaTheme="minorEastAsia"/>
          <w:b/>
          <w:color w:val="auto"/>
          <w:sz w:val="28"/>
          <w:szCs w:val="28"/>
        </w:rPr>
        <w:br w:type="page"/>
      </w:r>
    </w:p>
    <w:p>
      <w:pPr>
        <w:adjustRightInd w:val="0"/>
        <w:snapToGrid w:val="0"/>
        <w:rPr>
          <w:rFonts w:eastAsiaTheme="minorEastAsia"/>
          <w:b/>
          <w:color w:val="auto"/>
          <w:sz w:val="28"/>
          <w:szCs w:val="28"/>
        </w:rPr>
      </w:pPr>
      <w:r>
        <w:rPr>
          <w:rFonts w:eastAsiaTheme="minorEastAsia"/>
          <w:b/>
          <w:color w:val="auto"/>
          <w:sz w:val="28"/>
          <w:szCs w:val="28"/>
        </w:rPr>
        <w:t>污染治理措施可行性分析</w:t>
      </w:r>
    </w:p>
    <w:tbl>
      <w:tblPr>
        <w:tblStyle w:val="38"/>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820" w:type="dxa"/>
          </w:tcPr>
          <w:p>
            <w:pPr>
              <w:adjustRightInd w:val="0"/>
              <w:snapToGrid w:val="0"/>
              <w:spacing w:beforeLines="50" w:line="360" w:lineRule="auto"/>
              <w:rPr>
                <w:rFonts w:eastAsiaTheme="minorEastAsia"/>
                <w:b/>
                <w:bCs/>
                <w:color w:val="auto"/>
                <w:sz w:val="24"/>
              </w:rPr>
            </w:pPr>
            <w:r>
              <w:rPr>
                <w:rFonts w:eastAsiaTheme="minorEastAsia"/>
                <w:b/>
                <w:bCs/>
                <w:color w:val="auto"/>
                <w:sz w:val="24"/>
              </w:rPr>
              <w:t>1、施工期污染防治措施</w:t>
            </w:r>
          </w:p>
          <w:p>
            <w:pPr>
              <w:adjustRightInd w:val="0"/>
              <w:snapToGrid w:val="0"/>
              <w:spacing w:line="360" w:lineRule="auto"/>
              <w:ind w:firstLine="482" w:firstLineChars="200"/>
              <w:rPr>
                <w:rFonts w:eastAsiaTheme="minorEastAsia"/>
                <w:b/>
                <w:bCs/>
                <w:color w:val="auto"/>
                <w:sz w:val="24"/>
              </w:rPr>
            </w:pPr>
            <w:r>
              <w:rPr>
                <w:rFonts w:eastAsiaTheme="minorEastAsia"/>
                <w:b/>
                <w:bCs/>
                <w:color w:val="auto"/>
                <w:sz w:val="24"/>
              </w:rPr>
              <w:t>1.1环境空气污染控制措施</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为减少项目对环境空气的影响，本次评价针对本项目的特点，提出以下扬尘治理措施：</w:t>
            </w:r>
          </w:p>
          <w:p>
            <w:pPr>
              <w:pStyle w:val="36"/>
              <w:snapToGrid w:val="0"/>
              <w:spacing w:after="0" w:line="360" w:lineRule="auto"/>
              <w:ind w:firstLine="480" w:firstLineChars="200"/>
              <w:rPr>
                <w:rFonts w:ascii="Times New Roman" w:eastAsiaTheme="minorEastAsia"/>
                <w:color w:val="auto"/>
                <w:szCs w:val="24"/>
              </w:rPr>
            </w:pPr>
            <w:r>
              <w:rPr>
                <w:rFonts w:hint="eastAsia" w:hAnsi="宋体" w:cs="宋体"/>
                <w:color w:val="auto"/>
                <w:szCs w:val="24"/>
              </w:rPr>
              <w:t>⑴</w:t>
            </w:r>
            <w:r>
              <w:rPr>
                <w:rFonts w:ascii="Times New Roman" w:eastAsiaTheme="minorEastAsia"/>
                <w:color w:val="auto"/>
                <w:szCs w:val="24"/>
              </w:rPr>
              <w:t>污水处理厂施工区废气治理措施</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①</w:t>
            </w:r>
            <w:r>
              <w:rPr>
                <w:rFonts w:eastAsiaTheme="minorEastAsia"/>
                <w:color w:val="auto"/>
                <w:sz w:val="24"/>
              </w:rPr>
              <w:t>加强施工扬尘综合治理，各类施工工地严格落实“6个100%”抑尘措施。冬季停工前对重点区域采取洒水封冻等措施。</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②</w:t>
            </w:r>
            <w:r>
              <w:rPr>
                <w:rFonts w:eastAsiaTheme="minorEastAsia"/>
                <w:color w:val="auto"/>
                <w:sz w:val="24"/>
              </w:rPr>
              <w:t>施工过程中对进出污水处理厂工地的运输车辆轮胎进行清洗，尽量减少泥土进入集镇道路；</w:t>
            </w:r>
          </w:p>
          <w:p>
            <w:pPr>
              <w:pStyle w:val="36"/>
              <w:snapToGrid w:val="0"/>
              <w:spacing w:after="0" w:line="360" w:lineRule="auto"/>
              <w:ind w:firstLine="480" w:firstLineChars="200"/>
              <w:rPr>
                <w:rFonts w:ascii="Times New Roman" w:eastAsiaTheme="minorEastAsia"/>
                <w:color w:val="auto"/>
                <w:szCs w:val="24"/>
              </w:rPr>
            </w:pPr>
            <w:r>
              <w:rPr>
                <w:rFonts w:hint="eastAsia" w:hAnsi="宋体" w:cs="宋体"/>
                <w:color w:val="auto"/>
              </w:rPr>
              <w:t>③</w:t>
            </w:r>
            <w:r>
              <w:rPr>
                <w:rFonts w:ascii="Times New Roman" w:eastAsiaTheme="minorEastAsia"/>
                <w:color w:val="auto"/>
              </w:rPr>
              <w:t>施工过程推广湿式作业，在晴天对积尘较大的施工区采取适量洒水措施（一般</w:t>
            </w:r>
            <w:r>
              <w:rPr>
                <w:rFonts w:ascii="Times New Roman" w:eastAsiaTheme="minorEastAsia"/>
                <w:color w:val="auto"/>
                <w:szCs w:val="24"/>
              </w:rPr>
              <w:t>4~5次），可使空气中的扬尘量减少70%以上；</w:t>
            </w:r>
          </w:p>
          <w:p>
            <w:pPr>
              <w:pStyle w:val="36"/>
              <w:snapToGrid w:val="0"/>
              <w:spacing w:after="0" w:line="360" w:lineRule="auto"/>
              <w:ind w:firstLine="480" w:firstLineChars="200"/>
              <w:rPr>
                <w:rFonts w:ascii="Times New Roman" w:eastAsiaTheme="minorEastAsia"/>
                <w:color w:val="auto"/>
                <w:szCs w:val="24"/>
              </w:rPr>
            </w:pPr>
            <w:r>
              <w:rPr>
                <w:rFonts w:hint="eastAsia" w:hAnsi="宋体" w:cs="宋体"/>
                <w:color w:val="auto"/>
                <w:szCs w:val="24"/>
              </w:rPr>
              <w:t>④</w:t>
            </w:r>
            <w:r>
              <w:rPr>
                <w:rFonts w:ascii="Times New Roman" w:eastAsiaTheme="minorEastAsia"/>
                <w:color w:val="auto"/>
                <w:szCs w:val="24"/>
              </w:rPr>
              <w:t>设置临时工棚堆放水泥、灰浆、灰膏等易扬撒的物料，并严禁从3m以上高处抛撒易扬撒的物料或建筑垃圾；</w:t>
            </w:r>
          </w:p>
          <w:p>
            <w:pPr>
              <w:pStyle w:val="36"/>
              <w:snapToGrid w:val="0"/>
              <w:spacing w:after="0" w:line="360" w:lineRule="auto"/>
              <w:ind w:firstLine="480" w:firstLineChars="200"/>
              <w:rPr>
                <w:rFonts w:ascii="Times New Roman" w:eastAsiaTheme="minorEastAsia"/>
                <w:color w:val="auto"/>
                <w:szCs w:val="24"/>
              </w:rPr>
            </w:pPr>
            <w:r>
              <w:rPr>
                <w:rFonts w:hint="eastAsia" w:hAnsi="宋体" w:cs="宋体"/>
                <w:color w:val="auto"/>
                <w:szCs w:val="24"/>
              </w:rPr>
              <w:t>⑤</w:t>
            </w:r>
            <w:r>
              <w:rPr>
                <w:rFonts w:ascii="Times New Roman" w:eastAsiaTheme="minorEastAsia"/>
                <w:color w:val="auto"/>
                <w:szCs w:val="24"/>
              </w:rPr>
              <w:t>在场地四周，施工场地应设置不低于3.0m的硬质密闭围挡物，对48小时内不能清运的施工垃圾，应当用防雨布加以覆盖；</w:t>
            </w:r>
          </w:p>
          <w:p>
            <w:pPr>
              <w:pStyle w:val="36"/>
              <w:snapToGrid w:val="0"/>
              <w:spacing w:after="0" w:line="360" w:lineRule="auto"/>
              <w:ind w:firstLine="480" w:firstLineChars="200"/>
              <w:rPr>
                <w:rFonts w:ascii="Times New Roman" w:eastAsiaTheme="minorEastAsia"/>
                <w:bCs/>
                <w:color w:val="auto"/>
              </w:rPr>
            </w:pPr>
            <w:r>
              <w:rPr>
                <w:rFonts w:hint="eastAsia" w:hAnsi="宋体" w:cs="宋体"/>
                <w:bCs/>
                <w:color w:val="auto"/>
              </w:rPr>
              <w:t>⑥</w:t>
            </w:r>
            <w:r>
              <w:rPr>
                <w:rFonts w:ascii="Times New Roman" w:eastAsiaTheme="minorEastAsia"/>
                <w:bCs/>
                <w:color w:val="auto"/>
              </w:rPr>
              <w:t>及时清扫破包及洒落于地面的易扬撒物料或建筑垃圾，以减小粉尘的影响范围和程度，缩短影响时间；</w:t>
            </w:r>
          </w:p>
          <w:p>
            <w:pPr>
              <w:pStyle w:val="36"/>
              <w:snapToGrid w:val="0"/>
              <w:spacing w:after="0" w:line="360" w:lineRule="auto"/>
              <w:ind w:firstLine="480" w:firstLineChars="200"/>
              <w:rPr>
                <w:rFonts w:ascii="Times New Roman" w:eastAsiaTheme="minorEastAsia"/>
                <w:bCs/>
                <w:color w:val="auto"/>
                <w:szCs w:val="24"/>
              </w:rPr>
            </w:pPr>
            <w:r>
              <w:rPr>
                <w:rFonts w:hint="eastAsia" w:hAnsi="宋体" w:cs="宋体"/>
                <w:bCs/>
                <w:color w:val="auto"/>
                <w:szCs w:val="24"/>
              </w:rPr>
              <w:t>⑦</w:t>
            </w:r>
            <w:r>
              <w:rPr>
                <w:rFonts w:ascii="Times New Roman" w:eastAsiaTheme="minorEastAsia"/>
                <w:bCs/>
                <w:color w:val="auto"/>
                <w:szCs w:val="24"/>
              </w:rPr>
              <w:t>加强弃土渣以及其运输过程的监督管理，运土的车辆应加蓬密闭运输，并严禁超重、超高装载，减轻二次扬尘对所经地带沿线空气环境的污染；</w:t>
            </w:r>
          </w:p>
          <w:p>
            <w:pPr>
              <w:pStyle w:val="36"/>
              <w:snapToGrid w:val="0"/>
              <w:spacing w:after="0" w:line="360" w:lineRule="auto"/>
              <w:ind w:firstLine="480" w:firstLineChars="200"/>
              <w:rPr>
                <w:rFonts w:ascii="Times New Roman" w:eastAsiaTheme="minorEastAsia"/>
                <w:bCs/>
                <w:color w:val="auto"/>
                <w:szCs w:val="24"/>
              </w:rPr>
            </w:pPr>
            <w:r>
              <w:rPr>
                <w:rFonts w:hint="eastAsia" w:hAnsi="宋体" w:cs="宋体"/>
                <w:bCs/>
                <w:color w:val="auto"/>
                <w:szCs w:val="24"/>
              </w:rPr>
              <w:t>⑧</w:t>
            </w:r>
            <w:r>
              <w:rPr>
                <w:rFonts w:ascii="Times New Roman" w:eastAsiaTheme="minorEastAsia"/>
                <w:bCs/>
                <w:color w:val="auto"/>
                <w:szCs w:val="24"/>
              </w:rPr>
              <w:t>在满足施工机械性能要求的前提下，应尽可能选择环保型机具。</w:t>
            </w:r>
          </w:p>
          <w:p>
            <w:pPr>
              <w:pStyle w:val="36"/>
              <w:snapToGrid w:val="0"/>
              <w:spacing w:after="0" w:line="360" w:lineRule="auto"/>
              <w:ind w:firstLine="480" w:firstLineChars="200"/>
              <w:rPr>
                <w:rFonts w:ascii="Times New Roman" w:eastAsiaTheme="minorEastAsia"/>
                <w:bCs/>
                <w:color w:val="auto"/>
                <w:szCs w:val="24"/>
              </w:rPr>
            </w:pPr>
            <w:r>
              <w:rPr>
                <w:rFonts w:hint="eastAsia" w:hAnsi="宋体" w:cs="宋体"/>
                <w:bCs/>
                <w:color w:val="auto"/>
                <w:szCs w:val="24"/>
              </w:rPr>
              <w:t>⑵</w:t>
            </w:r>
            <w:r>
              <w:rPr>
                <w:rFonts w:ascii="Times New Roman" w:eastAsiaTheme="minorEastAsia"/>
                <w:bCs/>
                <w:color w:val="auto"/>
                <w:szCs w:val="24"/>
              </w:rPr>
              <w:t>污水管道施工区废气治理措施</w:t>
            </w:r>
          </w:p>
          <w:p>
            <w:pPr>
              <w:pStyle w:val="36"/>
              <w:snapToGrid w:val="0"/>
              <w:spacing w:after="0" w:line="360" w:lineRule="auto"/>
              <w:ind w:firstLine="480" w:firstLineChars="200"/>
              <w:rPr>
                <w:rFonts w:ascii="Times New Roman" w:eastAsiaTheme="minorEastAsia"/>
                <w:bCs/>
                <w:color w:val="auto"/>
              </w:rPr>
            </w:pPr>
            <w:r>
              <w:rPr>
                <w:rFonts w:hint="eastAsia" w:hAnsi="宋体" w:cs="宋体"/>
                <w:bCs/>
                <w:color w:val="auto"/>
              </w:rPr>
              <w:t>①</w:t>
            </w:r>
            <w:r>
              <w:rPr>
                <w:rFonts w:ascii="Times New Roman" w:eastAsiaTheme="minorEastAsia"/>
                <w:bCs/>
                <w:color w:val="auto"/>
              </w:rPr>
              <w:t>洒水抑尘措施，在管线开挖区域采取适量洒水措施（一般4~5次），可使空气中的扬尘量减少70%以上；</w:t>
            </w:r>
          </w:p>
          <w:p>
            <w:pPr>
              <w:pStyle w:val="36"/>
              <w:snapToGrid w:val="0"/>
              <w:spacing w:after="0" w:line="360" w:lineRule="auto"/>
              <w:ind w:firstLine="480" w:firstLineChars="200"/>
              <w:rPr>
                <w:rFonts w:ascii="Times New Roman" w:eastAsiaTheme="minorEastAsia"/>
                <w:bCs/>
                <w:color w:val="auto"/>
              </w:rPr>
            </w:pPr>
            <w:r>
              <w:rPr>
                <w:rFonts w:hint="eastAsia" w:hAnsi="宋体" w:cs="宋体"/>
                <w:bCs/>
                <w:color w:val="auto"/>
              </w:rPr>
              <w:t>②</w:t>
            </w:r>
            <w:r>
              <w:rPr>
                <w:rFonts w:ascii="Times New Roman" w:eastAsiaTheme="minorEastAsia"/>
                <w:bCs/>
                <w:color w:val="auto"/>
              </w:rPr>
              <w:t>管道施工沿线设置临时工棚堆放水泥、灰浆、灰膏等易扬撒的物料，对工棚采取密闭措施，防止物料扬撒；及时清扫破包及洒落于地面的易扬撒物料或建筑垃圾，以减小粉尘的影响范围和程度，缩短影响时间；</w:t>
            </w:r>
          </w:p>
          <w:p>
            <w:pPr>
              <w:pStyle w:val="36"/>
              <w:snapToGrid w:val="0"/>
              <w:spacing w:after="0" w:line="360" w:lineRule="auto"/>
              <w:ind w:firstLine="480" w:firstLineChars="200"/>
              <w:rPr>
                <w:rFonts w:ascii="Times New Roman" w:eastAsiaTheme="minorEastAsia"/>
                <w:bCs/>
                <w:color w:val="auto"/>
              </w:rPr>
            </w:pPr>
            <w:r>
              <w:rPr>
                <w:rFonts w:hint="eastAsia" w:hAnsi="宋体" w:cs="宋体"/>
                <w:bCs/>
                <w:color w:val="auto"/>
              </w:rPr>
              <w:t>③</w:t>
            </w:r>
            <w:r>
              <w:rPr>
                <w:rFonts w:ascii="Times New Roman" w:eastAsiaTheme="minorEastAsia"/>
                <w:bCs/>
                <w:color w:val="auto"/>
              </w:rPr>
              <w:t>在管道施工区两侧应设置不低于1.8m的硬质密闭围挡物</w:t>
            </w:r>
            <w:r>
              <w:rPr>
                <w:rFonts w:ascii="Times New Roman" w:eastAsiaTheme="minorEastAsia"/>
                <w:bCs/>
                <w:color w:val="auto"/>
                <w:szCs w:val="24"/>
              </w:rPr>
              <w:t>；</w:t>
            </w:r>
          </w:p>
          <w:p>
            <w:pPr>
              <w:pStyle w:val="36"/>
              <w:snapToGrid w:val="0"/>
              <w:spacing w:after="0" w:line="360" w:lineRule="auto"/>
              <w:ind w:firstLine="480" w:firstLineChars="200"/>
              <w:rPr>
                <w:rFonts w:ascii="Times New Roman" w:eastAsiaTheme="minorEastAsia"/>
                <w:bCs/>
                <w:color w:val="auto"/>
                <w:szCs w:val="24"/>
              </w:rPr>
            </w:pPr>
            <w:r>
              <w:rPr>
                <w:rFonts w:hint="eastAsia" w:hAnsi="宋体" w:cs="宋体"/>
                <w:bCs/>
                <w:color w:val="auto"/>
              </w:rPr>
              <w:t>④</w:t>
            </w:r>
            <w:r>
              <w:rPr>
                <w:rFonts w:ascii="Times New Roman" w:eastAsiaTheme="minorEastAsia"/>
                <w:bCs/>
                <w:color w:val="auto"/>
                <w:szCs w:val="24"/>
              </w:rPr>
              <w:t>合理规划、分段施工，按施工方案对地面及时进行绿化和硬化。</w:t>
            </w:r>
          </w:p>
          <w:p>
            <w:pPr>
              <w:adjustRightInd w:val="0"/>
              <w:snapToGrid w:val="0"/>
              <w:spacing w:line="360" w:lineRule="auto"/>
              <w:ind w:firstLine="482" w:firstLineChars="200"/>
              <w:rPr>
                <w:rFonts w:eastAsiaTheme="minorEastAsia"/>
                <w:b/>
                <w:bCs/>
                <w:color w:val="auto"/>
                <w:sz w:val="24"/>
              </w:rPr>
            </w:pPr>
            <w:r>
              <w:rPr>
                <w:rFonts w:eastAsiaTheme="minorEastAsia"/>
                <w:b/>
                <w:bCs/>
                <w:color w:val="auto"/>
                <w:sz w:val="24"/>
              </w:rPr>
              <w:t>1.2水污染控制措施</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⑴</w:t>
            </w:r>
            <w:r>
              <w:rPr>
                <w:rFonts w:eastAsiaTheme="minorEastAsia"/>
                <w:color w:val="auto"/>
                <w:sz w:val="24"/>
              </w:rPr>
              <w:t>项目生活污水及生产废水治理措施</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施工期的废水污染主要是施工机械、车辆的冲洗废水以及施工人员产生的少量生活污水。施工场地设置1座容积为10m</w:t>
            </w:r>
            <w:r>
              <w:rPr>
                <w:rFonts w:eastAsiaTheme="minorEastAsia"/>
                <w:color w:val="auto"/>
                <w:sz w:val="24"/>
                <w:vertAlign w:val="superscript"/>
              </w:rPr>
              <w:t>3</w:t>
            </w:r>
            <w:r>
              <w:rPr>
                <w:rFonts w:eastAsiaTheme="minorEastAsia"/>
                <w:color w:val="auto"/>
                <w:sz w:val="24"/>
              </w:rPr>
              <w:t>沉淀池，用来处理施工废水。施工人员的生活污水依托现有工程污水处理设施，但在施工过程中应加强环境管理，尽量避免施工废水任意乱排，以减缓施工废水对周围环境的不利影响。</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⑵</w:t>
            </w:r>
            <w:r>
              <w:rPr>
                <w:rFonts w:eastAsiaTheme="minorEastAsia"/>
                <w:color w:val="auto"/>
                <w:sz w:val="24"/>
              </w:rPr>
              <w:t>地表水环境保护措施</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本项目施工过程中尽量避开雨季，施工期间严禁施工人员冲洗施工机械、倾倒固体废物，同时禁止向河道排放固废以及在河道冲洗施工机械，从源头上保证了原有水资源不被污染，尽量不破坏地表原有的地表水体，以保护地表水环境。</w:t>
            </w:r>
          </w:p>
          <w:p>
            <w:pPr>
              <w:adjustRightInd w:val="0"/>
              <w:snapToGrid w:val="0"/>
              <w:spacing w:line="360" w:lineRule="auto"/>
              <w:ind w:firstLine="482" w:firstLineChars="200"/>
              <w:rPr>
                <w:rFonts w:eastAsiaTheme="minorEastAsia"/>
                <w:b/>
                <w:bCs/>
                <w:color w:val="auto"/>
                <w:sz w:val="24"/>
              </w:rPr>
            </w:pPr>
            <w:r>
              <w:rPr>
                <w:rFonts w:eastAsiaTheme="minorEastAsia"/>
                <w:b/>
                <w:bCs/>
                <w:color w:val="auto"/>
                <w:sz w:val="24"/>
              </w:rPr>
              <w:t>1.3噪声污染控制措施</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根据现场调查，本工程周边200m范围内无声环境敏感点，施工噪声不会对周边声环境产生明显影响。本次评价建议本项目在施工期对施工噪声应做好以下防治工作：</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⑴</w:t>
            </w:r>
            <w:r>
              <w:rPr>
                <w:rFonts w:eastAsiaTheme="minorEastAsia"/>
                <w:color w:val="auto"/>
                <w:sz w:val="24"/>
              </w:rPr>
              <w:t>选用低噪声设备，加强设备的维护与管理；</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⑵</w:t>
            </w:r>
            <w:r>
              <w:rPr>
                <w:rFonts w:eastAsiaTheme="minorEastAsia"/>
                <w:color w:val="auto"/>
                <w:sz w:val="24"/>
              </w:rPr>
              <w:t>施工单位应妥善处理好各种关系，施工中应加强施工机械的运行管理，使各种作业机械保持正常运行，对高噪声设备应采取密闭或基础减振；</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⑶</w:t>
            </w:r>
            <w:r>
              <w:rPr>
                <w:rFonts w:eastAsiaTheme="minorEastAsia"/>
                <w:color w:val="auto"/>
                <w:sz w:val="24"/>
              </w:rPr>
              <w:t>建筑施工单位必须加强对施工人员的文明施工教育，禁止夜晚在施工现场发生大声喧哗等人为的噪声干扰；</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⑷</w:t>
            </w:r>
            <w:r>
              <w:rPr>
                <w:rFonts w:eastAsiaTheme="minorEastAsia"/>
                <w:color w:val="auto"/>
                <w:sz w:val="24"/>
              </w:rPr>
              <w:t>合理制定施工计划，一定要严格控制和管理产生噪声的设备的使用时间，尽可能避免在同一区段安排大量强噪声设备同时施工；</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⑸</w:t>
            </w:r>
            <w:r>
              <w:rPr>
                <w:rFonts w:eastAsiaTheme="minorEastAsia"/>
                <w:color w:val="auto"/>
                <w:sz w:val="24"/>
              </w:rPr>
              <w:t>施工现场合理布局，以避免局部声级过高，尽可能将施工阶段的噪声影响减至最小，严格禁止夜间施工。</w:t>
            </w:r>
          </w:p>
          <w:p>
            <w:pPr>
              <w:adjustRightInd w:val="0"/>
              <w:snapToGrid w:val="0"/>
              <w:spacing w:line="360" w:lineRule="auto"/>
              <w:ind w:firstLine="482" w:firstLineChars="200"/>
              <w:rPr>
                <w:rFonts w:eastAsiaTheme="minorEastAsia"/>
                <w:b/>
                <w:bCs/>
                <w:color w:val="auto"/>
                <w:sz w:val="24"/>
              </w:rPr>
            </w:pPr>
            <w:r>
              <w:rPr>
                <w:rFonts w:eastAsiaTheme="minorEastAsia"/>
                <w:b/>
                <w:bCs/>
                <w:color w:val="auto"/>
                <w:sz w:val="24"/>
              </w:rPr>
              <w:t>1.4固体废物处理处置措施</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本项目施工过程中产生的固体废物应进行如下处理处置：</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⑴</w:t>
            </w:r>
            <w:r>
              <w:rPr>
                <w:rFonts w:eastAsiaTheme="minorEastAsia"/>
                <w:color w:val="auto"/>
                <w:sz w:val="24"/>
              </w:rPr>
              <w:t>施工期产生的土石方应做到挖、填平衡，不产生弃方；</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⑵</w:t>
            </w:r>
            <w:r>
              <w:rPr>
                <w:rFonts w:eastAsiaTheme="minorEastAsia"/>
                <w:color w:val="auto"/>
                <w:sz w:val="24"/>
              </w:rPr>
              <w:t>施工过程中产生的拆除垃圾和建筑垃圾严禁在施工场地内随意乱放和丢弃，可在施工现场建临时垃圾堆放场，可回收利用部分回收利用，不可回收利用部分运送至指定地点定期处置；</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⑶</w:t>
            </w:r>
            <w:r>
              <w:rPr>
                <w:rFonts w:eastAsiaTheme="minorEastAsia"/>
                <w:color w:val="auto"/>
                <w:sz w:val="24"/>
              </w:rPr>
              <w:t>施工人员的生活垃圾采用袋装收集、垃圾桶存放，要集中定点收集，由环卫部门定时清运，不得任意堆放和丢弃，避免产生二次污染；</w:t>
            </w:r>
          </w:p>
          <w:p>
            <w:pPr>
              <w:adjustRightInd w:val="0"/>
              <w:snapToGrid w:val="0"/>
              <w:spacing w:line="360" w:lineRule="auto"/>
              <w:ind w:firstLine="480" w:firstLineChars="200"/>
              <w:rPr>
                <w:rFonts w:eastAsiaTheme="minorEastAsia"/>
                <w:color w:val="auto"/>
              </w:rPr>
            </w:pPr>
            <w:r>
              <w:rPr>
                <w:rFonts w:hint="eastAsia" w:ascii="宋体" w:hAnsi="宋体" w:cs="宋体"/>
                <w:color w:val="auto"/>
                <w:sz w:val="24"/>
              </w:rPr>
              <w:t>⑷</w:t>
            </w:r>
            <w:r>
              <w:rPr>
                <w:rFonts w:eastAsiaTheme="minorEastAsia"/>
                <w:color w:val="auto"/>
                <w:sz w:val="24"/>
              </w:rPr>
              <w:t>加强环境管理，施工过程中的建筑垃圾和生活垃圾严禁在施工场地内乱放和乱丢。</w:t>
            </w:r>
          </w:p>
          <w:p>
            <w:pPr>
              <w:adjustRightInd w:val="0"/>
              <w:snapToGrid w:val="0"/>
              <w:spacing w:line="360" w:lineRule="auto"/>
              <w:ind w:firstLine="482" w:firstLineChars="200"/>
              <w:rPr>
                <w:rFonts w:eastAsiaTheme="minorEastAsia"/>
                <w:b/>
                <w:bCs/>
                <w:color w:val="auto"/>
                <w:sz w:val="24"/>
              </w:rPr>
            </w:pPr>
            <w:r>
              <w:rPr>
                <w:rFonts w:eastAsiaTheme="minorEastAsia"/>
                <w:b/>
                <w:bCs/>
                <w:color w:val="auto"/>
                <w:sz w:val="24"/>
              </w:rPr>
              <w:t>2、营运期污染治理措施</w:t>
            </w:r>
          </w:p>
          <w:p>
            <w:pPr>
              <w:adjustRightInd w:val="0"/>
              <w:snapToGrid w:val="0"/>
              <w:spacing w:line="360" w:lineRule="auto"/>
              <w:ind w:firstLine="482" w:firstLineChars="200"/>
              <w:rPr>
                <w:rFonts w:eastAsiaTheme="minorEastAsia"/>
                <w:b/>
                <w:bCs/>
                <w:color w:val="auto"/>
                <w:sz w:val="24"/>
              </w:rPr>
            </w:pPr>
            <w:r>
              <w:rPr>
                <w:rFonts w:eastAsiaTheme="minorEastAsia"/>
                <w:b/>
                <w:bCs/>
                <w:color w:val="auto"/>
                <w:sz w:val="24"/>
              </w:rPr>
              <w:t>2.1废水污染治理措施</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本项目深度处理工艺采用“A</w:t>
            </w:r>
            <w:r>
              <w:rPr>
                <w:rFonts w:eastAsiaTheme="minorEastAsia"/>
                <w:color w:val="auto"/>
                <w:sz w:val="24"/>
                <w:vertAlign w:val="superscript"/>
              </w:rPr>
              <w:t>2</w:t>
            </w:r>
            <w:r>
              <w:rPr>
                <w:rFonts w:eastAsiaTheme="minorEastAsia"/>
                <w:color w:val="auto"/>
                <w:sz w:val="24"/>
              </w:rPr>
              <w:t>/O+MBR”工艺，经过污水管网收集的生活污水经由各自管道混合进入污水处理站，先经过预处理池，预处理池分为三格，可以去除污水中含有的比重较大的固体污染物，将难降解</w:t>
            </w:r>
            <w:r>
              <w:rPr>
                <w:rFonts w:hint="eastAsia" w:eastAsiaTheme="minorEastAsia"/>
                <w:color w:val="auto"/>
                <w:sz w:val="24"/>
                <w:lang w:eastAsia="zh-CN"/>
              </w:rPr>
              <w:t>的</w:t>
            </w:r>
            <w:r>
              <w:rPr>
                <w:rFonts w:eastAsiaTheme="minorEastAsia"/>
                <w:color w:val="auto"/>
                <w:sz w:val="24"/>
              </w:rPr>
              <w:t>长链大分子有机物水解成易于微生物降解的可溶性小分子有机物，为后续处理设施创造条件。经预处理池处理后的污水自流进入格栅池，去除污水中的悬浮固体物质，为后续处理设施的正常运行创造条件。经过格栅池处理后的污水，自流进入调节池，在调节池中对污水的水质、水量进行调节，调节池内设置曝气装置，对污水进行预曝气，对污水进行动态混合搅拌，降低对后续处理设备的高负荷冲击，为系统稳定运行提供保证。污水经调节池均质均量后，通过提升泵提升到A</w:t>
            </w:r>
            <w:r>
              <w:rPr>
                <w:rFonts w:eastAsiaTheme="minorEastAsia"/>
                <w:color w:val="auto"/>
                <w:sz w:val="24"/>
                <w:vertAlign w:val="superscript"/>
              </w:rPr>
              <w:t>2</w:t>
            </w:r>
            <w:r>
              <w:rPr>
                <w:rFonts w:eastAsiaTheme="minorEastAsia"/>
                <w:color w:val="auto"/>
                <w:sz w:val="24"/>
              </w:rPr>
              <w:t>/O+MBR 反应器中，反应器内部设置厌氧、缺氧及好氧反应区，借助 MBR 膜高效的分离、截留能力，确保设备内细菌不流失。反应器内培养的大量、高浓度驯化细菌，在兼氧、好氧微生物的新陈代谢作用下，将污水中的各类有机污染物去除。</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通过膜的过滤作用可以完全做到“固液分离”，使反应器内的活性污泥浓度达到常规活性污泥浓度的 3～5 倍，结合特别设计的泥水混合系统，使进水与活性污泥最大限度混合均匀，提高生化反应速率，高效去除污水中剩余有机污染物，从而确保出水的稳定达标。借助膜的高效过滤、截留作用，从而保证了出水浊度降至极低。生活污水经过整个处理系统处理后，出水达到</w:t>
            </w:r>
            <w:r>
              <w:rPr>
                <w:rFonts w:eastAsiaTheme="minorEastAsia"/>
                <w:snapToGrid w:val="0"/>
                <w:color w:val="auto"/>
                <w:sz w:val="24"/>
              </w:rPr>
              <w:t>《城镇污水处理厂污染物排放标准》（GB18918-2002）一级A标准后排放。</w:t>
            </w:r>
            <w:r>
              <w:rPr>
                <w:rFonts w:eastAsiaTheme="minorEastAsia"/>
                <w:color w:val="auto"/>
                <w:sz w:val="24"/>
              </w:rPr>
              <w:t>由于其良好性能，应用范围逐渐扩大。故本项目选用该方案作为深度处理工艺可行。</w:t>
            </w:r>
          </w:p>
          <w:p>
            <w:pPr>
              <w:adjustRightInd w:val="0"/>
              <w:snapToGrid w:val="0"/>
              <w:spacing w:line="360" w:lineRule="auto"/>
              <w:ind w:firstLine="482" w:firstLineChars="200"/>
              <w:rPr>
                <w:rFonts w:eastAsiaTheme="minorEastAsia"/>
                <w:b/>
                <w:color w:val="auto"/>
                <w:sz w:val="24"/>
              </w:rPr>
            </w:pPr>
            <w:r>
              <w:rPr>
                <w:rFonts w:eastAsiaTheme="minorEastAsia"/>
                <w:b/>
                <w:color w:val="auto"/>
                <w:sz w:val="24"/>
              </w:rPr>
              <w:t>本次评价对水污染防治要求：</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①</w:t>
            </w:r>
            <w:r>
              <w:rPr>
                <w:rFonts w:eastAsiaTheme="minorEastAsia"/>
                <w:color w:val="auto"/>
                <w:sz w:val="24"/>
              </w:rPr>
              <w:t>必须认真做好污水处理厂的运行管理工作，加强对员工的培训和教育，提高其工作责任心；制定各项规章制度和操作规程，避免因操作失误而造成的污染物超标排放；</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②</w:t>
            </w:r>
            <w:r>
              <w:rPr>
                <w:rFonts w:eastAsiaTheme="minorEastAsia"/>
                <w:color w:val="auto"/>
                <w:sz w:val="24"/>
              </w:rPr>
              <w:t>加强对各类设备的定期检查、维护和管理，以减少事故隐患，污水处理厂应采用双回路供电，防止因停电而造成运转事故；</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③</w:t>
            </w:r>
            <w:r>
              <w:rPr>
                <w:rFonts w:eastAsiaTheme="minorEastAsia"/>
                <w:color w:val="auto"/>
                <w:sz w:val="24"/>
              </w:rPr>
              <w:t>污水厂进水和出水水质要定期监测，以根据不同水量和水质及时调整处理单元的运转状况，保障设施的正常和高效运行；</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④</w:t>
            </w:r>
            <w:r>
              <w:rPr>
                <w:rFonts w:eastAsiaTheme="minorEastAsia"/>
                <w:color w:val="auto"/>
                <w:sz w:val="24"/>
              </w:rPr>
              <w:t>本项目建成后会造成排水管线周围一定量的水土流失，建议建设单位加强排水管线周围的绿化，以降低项目建设对水土流失造成的影响。</w:t>
            </w:r>
          </w:p>
          <w:p>
            <w:pPr>
              <w:adjustRightInd w:val="0"/>
              <w:snapToGrid w:val="0"/>
              <w:spacing w:line="360" w:lineRule="auto"/>
              <w:ind w:firstLine="482" w:firstLineChars="200"/>
              <w:rPr>
                <w:rFonts w:eastAsiaTheme="minorEastAsia"/>
                <w:b/>
                <w:color w:val="auto"/>
                <w:sz w:val="24"/>
              </w:rPr>
            </w:pPr>
            <w:r>
              <w:rPr>
                <w:rFonts w:eastAsiaTheme="minorEastAsia"/>
                <w:b/>
                <w:color w:val="auto"/>
                <w:sz w:val="24"/>
              </w:rPr>
              <w:t>事故排放污染防治建议</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①</w:t>
            </w:r>
            <w:r>
              <w:rPr>
                <w:rFonts w:eastAsiaTheme="minorEastAsia"/>
                <w:color w:val="auto"/>
                <w:sz w:val="24"/>
              </w:rPr>
              <w:t>制定事故排放应急处理方案，落实各工作人员的责任，同时在平时要进行演练，以及时处理事故；</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②</w:t>
            </w:r>
            <w:r>
              <w:rPr>
                <w:rFonts w:eastAsiaTheme="minorEastAsia"/>
                <w:color w:val="auto"/>
                <w:sz w:val="24"/>
              </w:rPr>
              <w:t>事故发生时，应根据事故处理应急，及时通知环保、水利、市政等有关部门，并暂停污染源的废水排放，以减少事故废水排放量，减轻其对附近水环境的污染；</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③</w:t>
            </w:r>
            <w:r>
              <w:rPr>
                <w:rFonts w:eastAsiaTheme="minorEastAsia"/>
                <w:color w:val="auto"/>
                <w:sz w:val="24"/>
              </w:rPr>
              <w:t>建立可靠的运行监控系统，包括计量、采样、监测、报警等设施，发现异常情况，及时调整运行参数，以控制和避免事故的发生；</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④</w:t>
            </w:r>
            <w:r>
              <w:rPr>
                <w:rFonts w:eastAsiaTheme="minorEastAsia"/>
                <w:color w:val="auto"/>
                <w:sz w:val="24"/>
              </w:rPr>
              <w:t>加强设施的维护和管理，提高设备的完好率，关键设备要配备足够的备件，一旦事故发生能够及时处理；</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⑤</w:t>
            </w:r>
            <w:r>
              <w:rPr>
                <w:rFonts w:eastAsiaTheme="minorEastAsia"/>
                <w:color w:val="auto"/>
                <w:sz w:val="24"/>
              </w:rPr>
              <w:t>加强排水管的检查、维护和管理，由于排水管较易受到漂浮物等影响，一旦发现问题，应及时与当地管理部门取得联系，及时维修，保证排水管的安全运行；</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⑥</w:t>
            </w:r>
            <w:r>
              <w:rPr>
                <w:rFonts w:eastAsiaTheme="minorEastAsia"/>
                <w:color w:val="auto"/>
                <w:sz w:val="24"/>
              </w:rPr>
              <w:t>建立完善的档案制度，记录进厂水质水量变化及污水处理设施的处理效果和尾水水质变化状况，尤其要记录事故的工况，以便总结经验，杜绝此类事故的再次发生。</w:t>
            </w:r>
          </w:p>
          <w:p>
            <w:pPr>
              <w:adjustRightInd w:val="0"/>
              <w:snapToGrid w:val="0"/>
              <w:spacing w:line="360" w:lineRule="auto"/>
              <w:ind w:firstLine="482" w:firstLineChars="200"/>
              <w:rPr>
                <w:rFonts w:eastAsiaTheme="minorEastAsia"/>
                <w:color w:val="auto"/>
                <w:sz w:val="24"/>
              </w:rPr>
            </w:pPr>
            <w:r>
              <w:rPr>
                <w:rFonts w:eastAsiaTheme="minorEastAsia"/>
                <w:b/>
                <w:bCs/>
                <w:color w:val="auto"/>
                <w:sz w:val="24"/>
              </w:rPr>
              <w:t>2.2废气污染治理措施分析</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本项目废气污染物主要为恶臭气体，本工程中除储泥池及污泥脱水机房高出地面，其他构筑物均为地埋式，有效的减少了臭气对厂区的影响，对于储泥池，池顶采用玻璃钢盖板密封，污泥脱水机房和设备间产生臭气的设备采用全封闭式设计，定期喷洒除臭剂，同时本工程对厂区进行绿化，改善臭气对环境影响。预计项目设备采用全封闭式设计、定期喷洒除臭剂以及绿化对臭气的消除率为90%。根据估算模式计算得到项目无组织排放H</w:t>
            </w:r>
            <w:r>
              <w:rPr>
                <w:rFonts w:eastAsiaTheme="minorEastAsia"/>
                <w:color w:val="auto"/>
                <w:sz w:val="24"/>
                <w:vertAlign w:val="subscript"/>
              </w:rPr>
              <w:t>2</w:t>
            </w:r>
            <w:r>
              <w:rPr>
                <w:rFonts w:eastAsiaTheme="minorEastAsia"/>
                <w:color w:val="auto"/>
                <w:sz w:val="24"/>
              </w:rPr>
              <w:t>S对各厂界地面浓度的贡献值范围为 0.006~0.189ug</w:t>
            </w:r>
            <w:r>
              <w:rPr>
                <w:rFonts w:eastAsiaTheme="minorEastAsia"/>
                <w:color w:val="auto"/>
                <w:kern w:val="0"/>
                <w:sz w:val="24"/>
              </w:rPr>
              <w:t xml:space="preserve"> /m</w:t>
            </w:r>
            <w:r>
              <w:rPr>
                <w:rFonts w:eastAsiaTheme="minorEastAsia"/>
                <w:color w:val="auto"/>
                <w:kern w:val="0"/>
                <w:sz w:val="24"/>
                <w:vertAlign w:val="superscript"/>
              </w:rPr>
              <w:t>3</w:t>
            </w:r>
            <w:r>
              <w:rPr>
                <w:rFonts w:eastAsiaTheme="minorEastAsia"/>
                <w:color w:val="auto"/>
                <w:sz w:val="24"/>
              </w:rPr>
              <w:t>，下风向最大落地浓度和占标率分别为0.189 ug</w:t>
            </w:r>
            <w:r>
              <w:rPr>
                <w:rFonts w:eastAsiaTheme="minorEastAsia"/>
                <w:color w:val="auto"/>
                <w:kern w:val="0"/>
                <w:sz w:val="24"/>
              </w:rPr>
              <w:t xml:space="preserve"> /m</w:t>
            </w:r>
            <w:r>
              <w:rPr>
                <w:rFonts w:eastAsiaTheme="minorEastAsia"/>
                <w:color w:val="auto"/>
                <w:kern w:val="0"/>
                <w:sz w:val="24"/>
                <w:vertAlign w:val="superscript"/>
              </w:rPr>
              <w:t>3</w:t>
            </w:r>
            <w:r>
              <w:rPr>
                <w:rFonts w:eastAsiaTheme="minorEastAsia"/>
                <w:color w:val="auto"/>
                <w:sz w:val="24"/>
              </w:rPr>
              <w:t>，1.892%，厂界浓度均满足《环境影响评价技术导则-大气环境》 HJ 2.2-2018 附录D无组织排放监控浓度限值10μg/m</w:t>
            </w:r>
            <w:r>
              <w:rPr>
                <w:rFonts w:eastAsiaTheme="minorEastAsia"/>
                <w:color w:val="auto"/>
                <w:sz w:val="24"/>
                <w:vertAlign w:val="superscript"/>
              </w:rPr>
              <w:t>3</w:t>
            </w:r>
            <w:r>
              <w:rPr>
                <w:rFonts w:eastAsiaTheme="minorEastAsia"/>
                <w:color w:val="auto"/>
                <w:sz w:val="24"/>
              </w:rPr>
              <w:t>的要求；NH</w:t>
            </w:r>
            <w:r>
              <w:rPr>
                <w:rFonts w:eastAsiaTheme="minorEastAsia"/>
                <w:color w:val="auto"/>
                <w:sz w:val="24"/>
                <w:vertAlign w:val="subscript"/>
              </w:rPr>
              <w:t>3</w:t>
            </w:r>
            <w:r>
              <w:rPr>
                <w:rFonts w:eastAsiaTheme="minorEastAsia"/>
                <w:color w:val="auto"/>
                <w:sz w:val="24"/>
              </w:rPr>
              <w:t>对各厂界地面浓度的贡献值范围为 0.508~16.087ug</w:t>
            </w:r>
            <w:r>
              <w:rPr>
                <w:rFonts w:eastAsiaTheme="minorEastAsia"/>
                <w:color w:val="auto"/>
                <w:kern w:val="0"/>
                <w:sz w:val="24"/>
              </w:rPr>
              <w:t xml:space="preserve"> /m</w:t>
            </w:r>
            <w:r>
              <w:rPr>
                <w:rFonts w:eastAsiaTheme="minorEastAsia"/>
                <w:color w:val="auto"/>
                <w:kern w:val="0"/>
                <w:sz w:val="24"/>
                <w:vertAlign w:val="superscript"/>
              </w:rPr>
              <w:t>3</w:t>
            </w:r>
            <w:r>
              <w:rPr>
                <w:rFonts w:eastAsiaTheme="minorEastAsia"/>
                <w:color w:val="auto"/>
                <w:sz w:val="24"/>
              </w:rPr>
              <w:t>，下风向最大落地浓度和占标率分别为16.087 ug</w:t>
            </w:r>
            <w:r>
              <w:rPr>
                <w:rFonts w:eastAsiaTheme="minorEastAsia"/>
                <w:color w:val="auto"/>
                <w:kern w:val="0"/>
                <w:sz w:val="24"/>
              </w:rPr>
              <w:t>/m</w:t>
            </w:r>
            <w:r>
              <w:rPr>
                <w:rFonts w:eastAsiaTheme="minorEastAsia"/>
                <w:color w:val="auto"/>
                <w:kern w:val="0"/>
                <w:sz w:val="24"/>
                <w:vertAlign w:val="superscript"/>
              </w:rPr>
              <w:t>3</w:t>
            </w:r>
            <w:r>
              <w:rPr>
                <w:rFonts w:eastAsiaTheme="minorEastAsia"/>
                <w:color w:val="auto"/>
                <w:sz w:val="24"/>
              </w:rPr>
              <w:t>，8.044%，厂界浓度均满足《环境影响评价技术导则-大气环境》 HJ 2.2-2018 附录D无组织排放监控浓度限值200μg/m</w:t>
            </w:r>
            <w:r>
              <w:rPr>
                <w:rFonts w:eastAsiaTheme="minorEastAsia"/>
                <w:color w:val="auto"/>
                <w:sz w:val="24"/>
                <w:vertAlign w:val="superscript"/>
              </w:rPr>
              <w:t>3</w:t>
            </w:r>
            <w:r>
              <w:rPr>
                <w:rFonts w:eastAsiaTheme="minorEastAsia"/>
                <w:color w:val="auto"/>
                <w:sz w:val="24"/>
              </w:rPr>
              <w:t>的要求；</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因此，本项目采用全封闭式设计、定期喷洒除臭剂以及加强绿化的方式对厂内恶臭气体进行处理措施可行。</w:t>
            </w:r>
          </w:p>
          <w:p>
            <w:pPr>
              <w:adjustRightInd w:val="0"/>
              <w:snapToGrid w:val="0"/>
              <w:spacing w:line="360" w:lineRule="auto"/>
              <w:ind w:firstLine="482" w:firstLineChars="200"/>
              <w:rPr>
                <w:rFonts w:eastAsiaTheme="minorEastAsia"/>
                <w:b/>
                <w:bCs/>
                <w:color w:val="auto"/>
                <w:kern w:val="0"/>
                <w:sz w:val="24"/>
              </w:rPr>
            </w:pPr>
            <w:r>
              <w:rPr>
                <w:rFonts w:eastAsiaTheme="minorEastAsia"/>
                <w:b/>
                <w:bCs/>
                <w:color w:val="auto"/>
                <w:kern w:val="0"/>
                <w:sz w:val="24"/>
              </w:rPr>
              <w:t>2.3噪声防治措施</w:t>
            </w:r>
          </w:p>
          <w:p>
            <w:pPr>
              <w:adjustRightInd w:val="0"/>
              <w:snapToGrid w:val="0"/>
              <w:spacing w:line="360" w:lineRule="auto"/>
              <w:ind w:firstLine="480" w:firstLineChars="200"/>
              <w:rPr>
                <w:rFonts w:eastAsiaTheme="minorEastAsia"/>
                <w:b/>
                <w:bCs/>
                <w:color w:val="auto"/>
                <w:kern w:val="0"/>
                <w:sz w:val="24"/>
              </w:rPr>
            </w:pPr>
            <w:r>
              <w:rPr>
                <w:rFonts w:eastAsiaTheme="minorEastAsia"/>
                <w:color w:val="auto"/>
                <w:sz w:val="24"/>
              </w:rPr>
              <w:t>经现场调查，本项目厂区周围200m范围内无居民区、学校、医院等环境保护目标，但为了减少项目噪声不对周围声环境造成不良影响，需采取如下措施：</w:t>
            </w:r>
          </w:p>
          <w:p>
            <w:pPr>
              <w:adjustRightInd w:val="0"/>
              <w:snapToGrid w:val="0"/>
              <w:spacing w:line="360" w:lineRule="auto"/>
              <w:ind w:firstLine="480" w:firstLineChars="200"/>
              <w:rPr>
                <w:rFonts w:eastAsiaTheme="minorEastAsia"/>
                <w:b/>
                <w:bCs/>
                <w:color w:val="auto"/>
                <w:kern w:val="0"/>
                <w:sz w:val="24"/>
              </w:rPr>
            </w:pPr>
            <w:r>
              <w:rPr>
                <w:rFonts w:hint="eastAsia" w:ascii="宋体" w:hAnsi="宋体" w:cs="宋体"/>
                <w:color w:val="auto"/>
                <w:sz w:val="24"/>
              </w:rPr>
              <w:t>⑴</w:t>
            </w:r>
            <w:r>
              <w:rPr>
                <w:rFonts w:eastAsiaTheme="minorEastAsia"/>
                <w:color w:val="auto"/>
                <w:sz w:val="24"/>
              </w:rPr>
              <w:t>对噪声源强较大的鼓风机、水泵等设备从选型上注重噪声问题，尽量选择低噪声环保型产品；</w:t>
            </w:r>
          </w:p>
          <w:p>
            <w:pPr>
              <w:adjustRightInd w:val="0"/>
              <w:snapToGrid w:val="0"/>
              <w:spacing w:line="360" w:lineRule="auto"/>
              <w:ind w:firstLine="480" w:firstLineChars="200"/>
              <w:rPr>
                <w:rFonts w:eastAsiaTheme="minorEastAsia"/>
                <w:b/>
                <w:bCs/>
                <w:color w:val="auto"/>
                <w:kern w:val="0"/>
                <w:sz w:val="24"/>
              </w:rPr>
            </w:pPr>
            <w:r>
              <w:rPr>
                <w:rFonts w:hint="eastAsia" w:ascii="宋体" w:hAnsi="宋体" w:cs="宋体"/>
                <w:color w:val="auto"/>
                <w:sz w:val="24"/>
              </w:rPr>
              <w:t>⑵</w:t>
            </w:r>
            <w:r>
              <w:rPr>
                <w:rFonts w:eastAsiaTheme="minorEastAsia"/>
                <w:color w:val="auto"/>
                <w:sz w:val="24"/>
              </w:rPr>
              <w:t>对噪声源尽量采用加装消声器、减震器、柔性接头等消声、避震等措施，对噪声源设备也尽可能封闭运行；</w:t>
            </w:r>
          </w:p>
          <w:p>
            <w:pPr>
              <w:adjustRightInd w:val="0"/>
              <w:snapToGrid w:val="0"/>
              <w:spacing w:line="360" w:lineRule="auto"/>
              <w:ind w:firstLine="480" w:firstLineChars="200"/>
              <w:rPr>
                <w:rFonts w:eastAsiaTheme="minorEastAsia"/>
                <w:b/>
                <w:bCs/>
                <w:color w:val="auto"/>
                <w:kern w:val="0"/>
                <w:sz w:val="24"/>
              </w:rPr>
            </w:pPr>
            <w:r>
              <w:rPr>
                <w:rFonts w:hint="eastAsia" w:ascii="宋体" w:hAnsi="宋体" w:cs="宋体"/>
                <w:color w:val="auto"/>
                <w:sz w:val="24"/>
              </w:rPr>
              <w:t>⑶</w:t>
            </w:r>
            <w:r>
              <w:rPr>
                <w:rFonts w:eastAsiaTheme="minorEastAsia"/>
                <w:color w:val="auto"/>
                <w:sz w:val="24"/>
              </w:rPr>
              <w:t>对鼓风机房、泵站等采用室内吸声材料，在采取等消音、隔音措施；</w:t>
            </w:r>
          </w:p>
          <w:p>
            <w:pPr>
              <w:adjustRightInd w:val="0"/>
              <w:snapToGrid w:val="0"/>
              <w:spacing w:line="360" w:lineRule="auto"/>
              <w:ind w:firstLine="480" w:firstLineChars="200"/>
              <w:rPr>
                <w:rFonts w:eastAsiaTheme="minorEastAsia"/>
                <w:b/>
                <w:bCs/>
                <w:color w:val="auto"/>
                <w:kern w:val="0"/>
                <w:sz w:val="24"/>
              </w:rPr>
            </w:pPr>
            <w:r>
              <w:rPr>
                <w:rFonts w:hint="eastAsia" w:ascii="宋体" w:hAnsi="宋体" w:cs="宋体"/>
                <w:color w:val="auto"/>
                <w:sz w:val="24"/>
              </w:rPr>
              <w:t>⑷</w:t>
            </w:r>
            <w:r>
              <w:rPr>
                <w:rFonts w:eastAsiaTheme="minorEastAsia"/>
                <w:color w:val="auto"/>
                <w:sz w:val="24"/>
              </w:rPr>
              <w:t>根据环境、景观设计要求对噪声场地四周设置绿化隔离带；</w:t>
            </w:r>
          </w:p>
          <w:p>
            <w:pPr>
              <w:adjustRightInd w:val="0"/>
              <w:snapToGrid w:val="0"/>
              <w:spacing w:line="360" w:lineRule="auto"/>
              <w:ind w:firstLine="480" w:firstLineChars="200"/>
              <w:rPr>
                <w:rFonts w:eastAsiaTheme="minorEastAsia"/>
                <w:b/>
                <w:bCs/>
                <w:color w:val="auto"/>
                <w:kern w:val="0"/>
                <w:sz w:val="24"/>
              </w:rPr>
            </w:pPr>
            <w:r>
              <w:rPr>
                <w:rFonts w:hint="eastAsia" w:ascii="宋体" w:hAnsi="宋体" w:cs="宋体"/>
                <w:color w:val="auto"/>
                <w:sz w:val="24"/>
              </w:rPr>
              <w:t>⑸</w:t>
            </w:r>
            <w:r>
              <w:rPr>
                <w:rFonts w:eastAsiaTheme="minorEastAsia"/>
                <w:color w:val="auto"/>
                <w:sz w:val="24"/>
              </w:rPr>
              <w:t>加强管理，通过实施标准化作业、加强设备维护、正确使用机械等措施，使机械在较好状态运行，避免不正常设备运转。</w:t>
            </w:r>
          </w:p>
          <w:p>
            <w:pPr>
              <w:adjustRightInd w:val="0"/>
              <w:snapToGrid w:val="0"/>
              <w:spacing w:line="360" w:lineRule="auto"/>
              <w:ind w:firstLine="480" w:firstLineChars="200"/>
              <w:rPr>
                <w:rFonts w:eastAsiaTheme="minorEastAsia"/>
                <w:b/>
                <w:bCs/>
                <w:color w:val="auto"/>
                <w:kern w:val="0"/>
                <w:sz w:val="24"/>
              </w:rPr>
            </w:pPr>
            <w:r>
              <w:rPr>
                <w:rFonts w:eastAsiaTheme="minorEastAsia"/>
                <w:color w:val="auto"/>
                <w:sz w:val="24"/>
              </w:rPr>
              <w:t>本项目产生的噪声采取上述有效的隔声、消声、减振等措施，再经距离衰减，厂界四周昼夜间声环境也满足《工业企业厂界环境噪声排放标准》（GB12348-2008）2类标准，即昼间60dB（A）、夜间50dB（A）。噪声可达标排放，对周围声环境影响较小，治理措施可行。</w:t>
            </w:r>
          </w:p>
          <w:p>
            <w:pPr>
              <w:adjustRightInd w:val="0"/>
              <w:snapToGrid w:val="0"/>
              <w:spacing w:line="360" w:lineRule="auto"/>
              <w:ind w:firstLine="482" w:firstLineChars="200"/>
              <w:rPr>
                <w:rFonts w:eastAsiaTheme="minorEastAsia"/>
                <w:b/>
                <w:bCs/>
                <w:color w:val="auto"/>
                <w:sz w:val="24"/>
              </w:rPr>
            </w:pPr>
            <w:r>
              <w:rPr>
                <w:rFonts w:eastAsiaTheme="minorEastAsia"/>
                <w:b/>
                <w:bCs/>
                <w:color w:val="auto"/>
                <w:sz w:val="24"/>
              </w:rPr>
              <w:t>2.4固体废物治理措施</w:t>
            </w:r>
          </w:p>
          <w:p>
            <w:pPr>
              <w:adjustRightInd w:val="0"/>
              <w:snapToGrid w:val="0"/>
              <w:spacing w:line="360" w:lineRule="auto"/>
              <w:ind w:firstLine="480" w:firstLineChars="200"/>
              <w:rPr>
                <w:rFonts w:eastAsiaTheme="minorEastAsia"/>
                <w:color w:val="auto"/>
                <w:kern w:val="0"/>
                <w:sz w:val="24"/>
              </w:rPr>
            </w:pPr>
            <w:r>
              <w:rPr>
                <w:rFonts w:eastAsiaTheme="minorEastAsia"/>
                <w:color w:val="auto"/>
                <w:kern w:val="0"/>
                <w:sz w:val="24"/>
              </w:rPr>
              <w:t>本项目固体废物主要来自格栅产生的栅渣、沉砂池产生的沉砂、污泥以及劳动定员产生的生活垃圾等。</w:t>
            </w:r>
            <w:r>
              <w:rPr>
                <w:rFonts w:eastAsiaTheme="minorEastAsia"/>
                <w:color w:val="auto"/>
                <w:sz w:val="24"/>
              </w:rPr>
              <w:t>项目固体废物产生总量为10.5156t/a，其中，栅渣、沉砂产生量为8.895t/a，污泥产生量为0.5256t/a，生活垃圾产生量为1.095t/a，均为一般固废。上述固体废物随意堆放会对周围环境产生较大的影响，建设单位在生产过程中必须制定切实可行的环保措施，及时处置，定期运至宁县生活垃圾填埋场填埋处置，以减轻环境影响。</w:t>
            </w:r>
          </w:p>
          <w:p>
            <w:pPr>
              <w:adjustRightInd w:val="0"/>
              <w:snapToGrid w:val="0"/>
              <w:spacing w:line="360" w:lineRule="auto"/>
              <w:ind w:firstLine="480" w:firstLineChars="200"/>
              <w:rPr>
                <w:rFonts w:eastAsiaTheme="minorEastAsia"/>
                <w:color w:val="auto"/>
                <w:kern w:val="0"/>
                <w:sz w:val="24"/>
              </w:rPr>
            </w:pPr>
            <w:r>
              <w:rPr>
                <w:rFonts w:eastAsiaTheme="minorEastAsia"/>
                <w:color w:val="auto"/>
                <w:kern w:val="0"/>
                <w:sz w:val="24"/>
              </w:rPr>
              <w:t>本工程污泥处理措施选取了机械浓缩+污泥板框压滤机工艺，板框压滤机处理系统处理后污泥含水率可降到（60%），另外由于现场场地条件受到限制，采用板框压滤系统用地较小。板框压滤机对进泥含固率要求较低，一般为低于3%即可，作为污水厂污泥处理工艺，由于生物反应所产生的污泥其含水率为99.5%左右，其前需设置污泥浓缩池，使其含水率降低到 97%。板框压滤机出泥含固率高</w:t>
            </w:r>
            <w:r>
              <w:rPr>
                <w:rFonts w:eastAsiaTheme="minorEastAsia"/>
                <w:color w:val="auto"/>
                <w:sz w:val="24"/>
              </w:rPr>
              <w:t>于带式压滤机和离心脱水机，运行过程是周期性地泵入污泥压滤和脱除泥饼的间歇过程，是目前运行比较成熟的一种污泥处理工艺，</w:t>
            </w:r>
            <w:r>
              <w:rPr>
                <w:rFonts w:eastAsiaTheme="minorEastAsia"/>
                <w:color w:val="auto"/>
                <w:kern w:val="0"/>
                <w:sz w:val="24"/>
              </w:rPr>
              <w:t>经济可行。</w:t>
            </w:r>
          </w:p>
          <w:p>
            <w:pPr>
              <w:adjustRightInd w:val="0"/>
              <w:snapToGrid w:val="0"/>
              <w:spacing w:line="360" w:lineRule="auto"/>
              <w:ind w:firstLine="482" w:firstLineChars="200"/>
              <w:rPr>
                <w:rFonts w:eastAsiaTheme="minorEastAsia"/>
                <w:b/>
                <w:color w:val="auto"/>
                <w:sz w:val="24"/>
              </w:rPr>
            </w:pPr>
            <w:r>
              <w:rPr>
                <w:rFonts w:eastAsiaTheme="minorEastAsia"/>
                <w:b/>
                <w:color w:val="auto"/>
                <w:kern w:val="0"/>
                <w:sz w:val="24"/>
              </w:rPr>
              <w:t>本次评价对污泥处置的要求：</w:t>
            </w:r>
          </w:p>
          <w:p>
            <w:pPr>
              <w:adjustRightInd w:val="0"/>
              <w:snapToGrid w:val="0"/>
              <w:spacing w:line="360" w:lineRule="auto"/>
              <w:ind w:firstLine="480" w:firstLineChars="200"/>
              <w:rPr>
                <w:rFonts w:eastAsiaTheme="minorEastAsia"/>
                <w:b/>
                <w:color w:val="auto"/>
                <w:sz w:val="24"/>
              </w:rPr>
            </w:pPr>
            <w:r>
              <w:rPr>
                <w:rFonts w:eastAsiaTheme="minorEastAsia"/>
                <w:color w:val="auto"/>
                <w:sz w:val="24"/>
              </w:rPr>
              <w:t>为加强城镇污水处理厂污泥污染防治工作，环保部于2010年11月下达了《关于加强城镇污水处理厂污泥污染防治工作的通知》（环办[2010]157号），对城市污水处理厂的污泥处理提出了具体的要求，主要包括：</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①</w:t>
            </w:r>
            <w:r>
              <w:rPr>
                <w:rFonts w:eastAsiaTheme="minorEastAsia"/>
                <w:color w:val="auto"/>
                <w:sz w:val="24"/>
              </w:rPr>
              <w:t>污泥处理处置应遵循减量化、稳定化、无害化的原则，污水处理厂新建、改建和扩建时，污泥处理设施（污泥稳定化和脱水设施）应当与污水处理设施同时规划、同时建设、同时投入运行。</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②</w:t>
            </w:r>
            <w:r>
              <w:rPr>
                <w:rFonts w:eastAsiaTheme="minorEastAsia"/>
                <w:color w:val="auto"/>
                <w:sz w:val="24"/>
              </w:rPr>
              <w:t>鼓励在安全、环保和经济的前提下，回收和利用污泥中的能源和资源。污泥产生、运输、贮存、处理处置的全过程应当遵守国家和地方相关污染控制标准及技术规范。</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此外，由于本项目产生的固废易腐烂而产生恶臭，为防止废渣在厂内短期贮存而产生恶臭，建议采取如下防治措施：</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①</w:t>
            </w:r>
            <w:r>
              <w:rPr>
                <w:rFonts w:eastAsiaTheme="minorEastAsia"/>
                <w:color w:val="auto"/>
                <w:sz w:val="24"/>
              </w:rPr>
              <w:t>厂区内污泥贮池等堆存站应通风、防雨，隔栅渣与脱水污泥决不能在露天堆存，以避免雨水冲刷流失造成二次污染。</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②</w:t>
            </w:r>
            <w:r>
              <w:rPr>
                <w:rFonts w:eastAsiaTheme="minorEastAsia"/>
                <w:color w:val="auto"/>
                <w:sz w:val="24"/>
              </w:rPr>
              <w:t>所有固废应做到及时清运，减少厂内贮存时间，避免污泥发酵、发臭。</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③</w:t>
            </w:r>
            <w:r>
              <w:rPr>
                <w:rFonts w:eastAsiaTheme="minorEastAsia"/>
                <w:color w:val="auto"/>
                <w:sz w:val="24"/>
              </w:rPr>
              <w:t>加强污泥成分监测，若发现有一类污染物，则应采取相应措施使其无害化。</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④</w:t>
            </w:r>
            <w:r>
              <w:rPr>
                <w:rFonts w:eastAsiaTheme="minorEastAsia"/>
                <w:color w:val="auto"/>
                <w:sz w:val="24"/>
              </w:rPr>
              <w:t>建设单位应采用密闭车辆运输污泥，运输过程中进行全过程监控和管理，防止因暴露、洒落或滴漏造成的环境二次污染，严禁随意倾倒、偷排污泥。</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⑤</w:t>
            </w:r>
            <w:r>
              <w:rPr>
                <w:rFonts w:eastAsiaTheme="minorEastAsia"/>
                <w:color w:val="auto"/>
                <w:sz w:val="24"/>
              </w:rPr>
              <w:t>污水处理厂应当切实履行职责，对污泥产生、运输、贮存、处理、处置实施全过程管理，制定并落实污泥环境管理的规章制度、工作流程和要求，设置专门的监控部门或专（兼）职人员，确保污泥妥善处理处置，严禁擅自倾倒、堆放、丢弃、遗撒污泥；</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⑥</w:t>
            </w:r>
            <w:r>
              <w:rPr>
                <w:rFonts w:eastAsiaTheme="minorEastAsia"/>
                <w:color w:val="auto"/>
                <w:sz w:val="24"/>
              </w:rPr>
              <w:t>污水处理厂应建立污泥管理台账，详细记录污泥产生量、转移量、处理处置量及其去向等情况，定期向所在地县级以上地方环保部门报告；</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⑦</w:t>
            </w:r>
            <w:r>
              <w:rPr>
                <w:rFonts w:eastAsiaTheme="minorEastAsia"/>
                <w:color w:val="auto"/>
                <w:sz w:val="24"/>
              </w:rPr>
              <w:t>根据污泥的处理处置地点，选择最近的运输路线，运输路线避开城区主要交通干线，运输时间避开交通高峰期，以保证污泥能够及时、安全的送到处理处置地点，不影响沿途环境，污泥运输车辆应采取密封、防水、防渗漏和防遗撒等措施，委托的污泥运输单位应当具有相关的道路货物运营资质。</w:t>
            </w:r>
          </w:p>
          <w:p>
            <w:pPr>
              <w:adjustRightInd w:val="0"/>
              <w:snapToGrid w:val="0"/>
              <w:spacing w:line="360" w:lineRule="auto"/>
              <w:ind w:firstLine="482" w:firstLineChars="200"/>
              <w:rPr>
                <w:rFonts w:eastAsiaTheme="minorEastAsia"/>
                <w:b/>
                <w:color w:val="auto"/>
                <w:sz w:val="24"/>
              </w:rPr>
            </w:pPr>
            <w:r>
              <w:rPr>
                <w:rFonts w:eastAsiaTheme="minorEastAsia"/>
                <w:b/>
                <w:color w:val="auto"/>
                <w:sz w:val="24"/>
              </w:rPr>
              <w:t>2.5 运营期地下水环境影响减缓措施</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针对项目可能发生的地下水污染，地下水污染防治措施按照“源头控制、末端防治、污染监控、应急响应”相结合的原则，从污染物的产生、入渗、扩散、应急响应全阶段进行控制。</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2.5.1源头控制措施</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选择先进、成熟、可靠的工艺技术和较清洁的原辅材料，并对产生的废物进行合理的回用和治理，尽可能从源头上减少污染物排放；严格按照国家相关规范要求，对工艺、管道、设备、污水储存及处理构筑物采取相应的措施，防止和减少污染物的跑、冒、滴、漏，将污染物泄漏的环境风险事故降到最低程度；优化排水系统设计，工艺废水、地面冲洗废水、初期污染雨水等在界区内收集及预处理后通过管线送污水处理厂处理；管线敷设尽量采用“可视化”原则，即管道尽可能地上敷设，使污染物能“早发现、早处理”，以减少由于埋地管道泄漏而可能造成的地下水污染。</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2.5.2末端防治措施</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地下水污染末端防治采取分区防渗原则，主要包括场内污染区地面的防渗措施和泄露、渗漏污染物收集措施，即在污染区地面进行防渗处理，防止洒落地面的污染物渗入地下，并把滞留在地面的污染物收集起来，集中收集处理等。</w:t>
            </w:r>
          </w:p>
          <w:p>
            <w:pPr>
              <w:pStyle w:val="168"/>
              <w:numPr>
                <w:ilvl w:val="0"/>
                <w:numId w:val="3"/>
              </w:numPr>
              <w:adjustRightInd w:val="0"/>
              <w:snapToGrid w:val="0"/>
              <w:spacing w:line="360" w:lineRule="auto"/>
              <w:ind w:firstLineChars="0"/>
              <w:rPr>
                <w:rFonts w:eastAsiaTheme="minorEastAsia"/>
                <w:color w:val="auto"/>
                <w:sz w:val="24"/>
              </w:rPr>
            </w:pPr>
            <w:r>
              <w:rPr>
                <w:rFonts w:eastAsiaTheme="minorEastAsia"/>
                <w:color w:val="auto"/>
                <w:sz w:val="24"/>
              </w:rPr>
              <w:t>地下水污染防渗分区</w:t>
            </w:r>
          </w:p>
          <w:p>
            <w:pPr>
              <w:adjustRightInd w:val="0"/>
              <w:snapToGrid w:val="0"/>
              <w:spacing w:line="360" w:lineRule="auto"/>
              <w:ind w:firstLine="480" w:firstLineChars="200"/>
              <w:rPr>
                <w:rFonts w:eastAsiaTheme="minorEastAsia"/>
                <w:b/>
                <w:color w:val="auto"/>
                <w:sz w:val="24"/>
              </w:rPr>
            </w:pPr>
            <w:r>
              <w:rPr>
                <w:rFonts w:eastAsiaTheme="minorEastAsia"/>
                <w:color w:val="auto"/>
                <w:sz w:val="24"/>
              </w:rPr>
              <w:t>根据《环境影响评价技术导则地下水环境》（HJ610-2016），本项目厂区地下水污染防渗分区可参照下表78。</w:t>
            </w:r>
          </w:p>
          <w:p>
            <w:pPr>
              <w:adjustRightInd w:val="0"/>
              <w:snapToGrid w:val="0"/>
              <w:spacing w:line="360" w:lineRule="auto"/>
              <w:ind w:firstLine="482" w:firstLineChars="200"/>
              <w:jc w:val="center"/>
              <w:rPr>
                <w:rFonts w:eastAsiaTheme="minorEastAsia"/>
                <w:b/>
                <w:color w:val="auto"/>
                <w:sz w:val="24"/>
              </w:rPr>
            </w:pPr>
            <w:r>
              <w:rPr>
                <w:rFonts w:eastAsiaTheme="minorEastAsia"/>
                <w:b/>
                <w:color w:val="auto"/>
                <w:sz w:val="24"/>
              </w:rPr>
              <w:t>表78地下水污染防渗分区参照表</w:t>
            </w:r>
          </w:p>
          <w:p>
            <w:pPr>
              <w:adjustRightInd w:val="0"/>
              <w:snapToGrid w:val="0"/>
              <w:spacing w:line="360" w:lineRule="auto"/>
              <w:jc w:val="center"/>
              <w:rPr>
                <w:rFonts w:eastAsiaTheme="minorEastAsia"/>
                <w:color w:val="auto"/>
                <w:sz w:val="24"/>
              </w:rPr>
            </w:pPr>
            <w:r>
              <w:rPr>
                <w:rFonts w:eastAsiaTheme="minorEastAsia"/>
                <w:color w:val="auto"/>
                <w:sz w:val="24"/>
              </w:rPr>
              <w:drawing>
                <wp:inline distT="0" distB="0" distL="0" distR="0">
                  <wp:extent cx="5353050" cy="223837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54" cstate="print"/>
                          <a:srcRect/>
                          <a:stretch>
                            <a:fillRect/>
                          </a:stretch>
                        </pic:blipFill>
                        <pic:spPr>
                          <a:xfrm>
                            <a:off x="0" y="0"/>
                            <a:ext cx="5353050" cy="2238375"/>
                          </a:xfrm>
                          <a:prstGeom prst="rect">
                            <a:avLst/>
                          </a:prstGeom>
                          <a:noFill/>
                          <a:ln w="9525">
                            <a:noFill/>
                            <a:miter lim="800000"/>
                            <a:headEnd/>
                            <a:tailEnd/>
                          </a:ln>
                        </pic:spPr>
                      </pic:pic>
                    </a:graphicData>
                  </a:graphic>
                </wp:inline>
              </w:drawing>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污染防治分区划分根据厂区各功能单元可能泄露至地面区域的污染物质和生产单元的构筑方式，将厂区划分为重点污染防渗区、一般污染防渗区和简单防渗区。</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重点防渗区：是指位于地下或半地下的生产功能单元，发生重金属、持久性有机污染物等难降解物质泄漏后不容易被及时发现和处理，泄漏污染较难控制的区域或部位。污水厂重点防渗区主要包括进水预处理池、格栅池及调节池、等。</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一般防渗区：是指裸露于地面的地下、半地下及地上生产功能单元，发生一般物料物理泄漏后容易及时被发现和处理的区域或部位。本工程中储泥池为一般防渗区，应满足相应的防渗要求。</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简单防渗区：指不会对地下水环境造成污染的区域，主要为办公、生活区等。</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⑵</w:t>
            </w:r>
            <w:r>
              <w:rPr>
                <w:rFonts w:eastAsiaTheme="minorEastAsia"/>
                <w:color w:val="auto"/>
                <w:sz w:val="24"/>
              </w:rPr>
              <w:t>各分区防渗要求</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本项目各防渗分区单元防渗设计应满足以下要求：</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①</w:t>
            </w:r>
            <w:r>
              <w:rPr>
                <w:rFonts w:eastAsiaTheme="minorEastAsia"/>
                <w:color w:val="auto"/>
                <w:sz w:val="24"/>
              </w:rPr>
              <w:t>重点防渗区：参照《危险废物填埋污染控制标准》（GB18598-2001，2013年修改单）中第6.5.2、6.5.3条规定执行。</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②</w:t>
            </w:r>
            <w:r>
              <w:rPr>
                <w:rFonts w:eastAsiaTheme="minorEastAsia"/>
                <w:color w:val="auto"/>
                <w:sz w:val="24"/>
              </w:rPr>
              <w:t>一般防渗区：防渗性能应保证渗透系数K≤1.0×10</w:t>
            </w:r>
            <w:r>
              <w:rPr>
                <w:rFonts w:eastAsiaTheme="minorEastAsia"/>
                <w:color w:val="auto"/>
                <w:sz w:val="24"/>
                <w:vertAlign w:val="superscript"/>
              </w:rPr>
              <w:t>-7</w:t>
            </w:r>
            <w:r>
              <w:rPr>
                <w:rFonts w:eastAsiaTheme="minorEastAsia"/>
                <w:color w:val="auto"/>
                <w:sz w:val="24"/>
              </w:rPr>
              <w:t>cm/s，即与《一般工业固体废物贮存、处置场污染控制标准》（GB18599-2001，2013年修改单）中第6.2.1条规定等效。</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③</w:t>
            </w:r>
            <w:r>
              <w:rPr>
                <w:rFonts w:eastAsiaTheme="minorEastAsia"/>
                <w:color w:val="auto"/>
                <w:sz w:val="24"/>
              </w:rPr>
              <w:t>简单防渗区：可不做具体防渗设计，仅进行一般地面硬化即可。</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⑶</w:t>
            </w:r>
            <w:r>
              <w:rPr>
                <w:rFonts w:eastAsiaTheme="minorEastAsia"/>
                <w:color w:val="auto"/>
                <w:sz w:val="24"/>
              </w:rPr>
              <w:t>具体防范措施</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环评要求建设单位按照工程设计及相关技术规范要求，对厂区内各生产单元采取有效的防渗、防漏、废水收集、处理及污泥处置措施，尽可能消除项目运行期间对地下水环境污染隐患。对可能出现的污染途径、建设单位必须采取周密的措施以防治污染事故的发生，具体措施如下：</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①</w:t>
            </w:r>
            <w:r>
              <w:rPr>
                <w:rFonts w:eastAsiaTheme="minorEastAsia"/>
                <w:color w:val="auto"/>
                <w:sz w:val="24"/>
              </w:rPr>
              <w:t>项目污水处理厂内生产区地面须全部做水泥硬化处理，渗透系数应≤1.0×10</w:t>
            </w:r>
            <w:r>
              <w:rPr>
                <w:rFonts w:eastAsiaTheme="minorEastAsia"/>
                <w:color w:val="auto"/>
                <w:sz w:val="24"/>
                <w:vertAlign w:val="superscript"/>
              </w:rPr>
              <w:t>-7</w:t>
            </w:r>
            <w:r>
              <w:rPr>
                <w:rFonts w:eastAsiaTheme="minorEastAsia"/>
                <w:color w:val="auto"/>
                <w:sz w:val="24"/>
              </w:rPr>
              <w:t>cm/s。各生产工序的设备接口处应定期进行严格检查，谨防跑冒滴漏等情况发生。一旦发生，须按照相关要求处理。</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②</w:t>
            </w:r>
            <w:r>
              <w:rPr>
                <w:rFonts w:eastAsiaTheme="minorEastAsia"/>
                <w:color w:val="auto"/>
                <w:sz w:val="24"/>
              </w:rPr>
              <w:t>项目收集的生产废水和生活污水进入污水处理厂处理。环评要求建设单位必须加强对污水处理厂内各构筑物和管道的防渗处理措施，各构筑物和管道基础、池外壁所有与土接触的砼表面、垫层与底板接触面，均严格按照设计要求涂环氧沥青或聚氨酯沥青涂层等防腐材料，厚度≥500μm，以确保污水不会外泄下渗污染地下水环境。</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③</w:t>
            </w:r>
            <w:r>
              <w:rPr>
                <w:rFonts w:eastAsiaTheme="minorEastAsia"/>
                <w:color w:val="auto"/>
                <w:sz w:val="24"/>
              </w:rPr>
              <w:t>为了防止污泥渗滤液对地下水造成污染，本项目集泥池为钢筋混凝土结构，并严格按照《危险废物填埋污染控制标准》（GB18598-2001，2013年修改单）中的要求，对集泥池底部及四周侧边铺设防渗层，防止污泥渗漏。</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2.5.3地下水污染监控及管理措施</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为了及时准确地掌握厂址周围地下水污染控制状况，要求建设单位建立覆盖全厂的地下水监控体系，包括建立完善的监测制度、配备先进的检测仪器和设备，设置地下水污染监控井，及时发现、及时控制。</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⑴</w:t>
            </w:r>
            <w:r>
              <w:rPr>
                <w:rFonts w:eastAsiaTheme="minorEastAsia"/>
                <w:color w:val="auto"/>
                <w:sz w:val="24"/>
              </w:rPr>
              <w:t>地下水跟踪监测井布置原则及布置情况</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①</w:t>
            </w:r>
            <w:r>
              <w:rPr>
                <w:rFonts w:eastAsiaTheme="minorEastAsia"/>
                <w:color w:val="auto"/>
                <w:sz w:val="24"/>
              </w:rPr>
              <w:t>重点污染防治区加密监测原则；</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②</w:t>
            </w:r>
            <w:r>
              <w:rPr>
                <w:rFonts w:eastAsiaTheme="minorEastAsia"/>
                <w:color w:val="auto"/>
                <w:sz w:val="24"/>
              </w:rPr>
              <w:t>浅层地下水监测为主，兼顾承压水监测原则；</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③</w:t>
            </w:r>
            <w:r>
              <w:rPr>
                <w:rFonts w:eastAsiaTheme="minorEastAsia"/>
                <w:color w:val="auto"/>
                <w:sz w:val="24"/>
              </w:rPr>
              <w:t>上、下游同步对比监测原则；</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④</w:t>
            </w:r>
            <w:r>
              <w:rPr>
                <w:rFonts w:eastAsiaTheme="minorEastAsia"/>
                <w:color w:val="auto"/>
                <w:sz w:val="24"/>
              </w:rPr>
              <w:t>抽水井与监测井兼顾原则。</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根据以上地下水跟踪监测井布置原则，结合项目水文地质条件及潜水径流方向，本项目共布设1口地下水环境跟踪监测井，在项目场地下游设置。</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⑵</w:t>
            </w:r>
            <w:r>
              <w:rPr>
                <w:rFonts w:eastAsiaTheme="minorEastAsia"/>
                <w:color w:val="auto"/>
                <w:sz w:val="24"/>
              </w:rPr>
              <w:t>地下水监测计划</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为了及时准确地掌握厂区周围地下水质量状况和地下水体中污染物的动态变化，应根据《地下水环境监测技术规范》（HJ/T164-2004）的要求，对项目设置的3口地下水环境跟踪监测井进行长期监测。采取有效的污染物泄漏、渗漏监测手段，设置自动检漏设施，及时发现和处理可能泄漏的污染物质。</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⑶</w:t>
            </w:r>
            <w:r>
              <w:rPr>
                <w:rFonts w:eastAsiaTheme="minorEastAsia"/>
                <w:color w:val="auto"/>
                <w:sz w:val="24"/>
              </w:rPr>
              <w:t>地下水监测因子及监测频次</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监测因子：pH、氨氮、硝酸盐、亚硝酸盐、挥发酚、氰化物、砷、汞、铬（六价）、总硬度、铅、氟、镉、铁、锰、溶解性总固体、高锰酸盐指数、硫酸盐、氯化物、总大肠菌群、菌落总数。</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监测频次：项目运营后正常情况下至少每季度监测一次。发现地下水水质出现恶化现象时，应加大取样频率。</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⑷</w:t>
            </w:r>
            <w:r>
              <w:rPr>
                <w:rFonts w:eastAsiaTheme="minorEastAsia"/>
                <w:color w:val="auto"/>
                <w:sz w:val="24"/>
              </w:rPr>
              <w:t>监测数据管理</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监测结果应形成跟踪监测报告，明确跟踪监测报告编制的责任主体。跟踪监测报告内容一般包括：建设项目所在场地及影响区地下水环境跟踪监测数据，排放污染物的种类、数量、浓度；生产设备、污水管线、贮存与运输装置、污染物贮存与处理装置、事故应急装置等设施的运行状况、跑冒滴漏记录、维修记录等。</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监测结果应按照项目有关规定及时建立档案，并定期向当地环保部门汇报，所有监测因子监测数据应进行公开，满足法律中关于公众知情权的要求。发现污染和水质恶化时，要及时进行处理，开展系统调查，并上报有关部门。</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2.5.4应急响应措施</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将地下水污染事故纳入全厂事故应急预案中，一旦发现地下水受到污染时，应立即启动应急预案、采取相应的应急措施，避免污染事故扩大，并尽快消除污染。</w:t>
            </w:r>
          </w:p>
          <w:p>
            <w:pPr>
              <w:adjustRightInd w:val="0"/>
              <w:snapToGrid w:val="0"/>
              <w:spacing w:line="360" w:lineRule="auto"/>
              <w:rPr>
                <w:rFonts w:eastAsiaTheme="minorEastAsia"/>
                <w:color w:val="auto"/>
                <w:sz w:val="24"/>
              </w:rPr>
            </w:pPr>
            <w:r>
              <w:rPr>
                <w:rFonts w:eastAsiaTheme="minorEastAsia"/>
                <w:color w:val="auto"/>
                <w:sz w:val="24"/>
              </w:rPr>
              <w:t>通过上述分析可知，建设单位在严格执行国家相关规范及技术要求，按照设计要求进行施工作业，采取分区防渗、防漏等有效防护措施、落实地下水污染监控及管理、做好风险预防和应急预案的前提下，项目运行期间对评价区内地下水水质可能产生的不利影响。</w:t>
            </w:r>
          </w:p>
          <w:p>
            <w:pPr>
              <w:adjustRightInd w:val="0"/>
              <w:snapToGrid w:val="0"/>
              <w:spacing w:line="360" w:lineRule="auto"/>
              <w:rPr>
                <w:rFonts w:eastAsiaTheme="minorEastAsia"/>
                <w:color w:val="auto"/>
                <w:sz w:val="24"/>
              </w:rPr>
            </w:pPr>
          </w:p>
          <w:p>
            <w:pPr>
              <w:adjustRightInd w:val="0"/>
              <w:snapToGrid w:val="0"/>
              <w:spacing w:line="360" w:lineRule="auto"/>
              <w:rPr>
                <w:rFonts w:eastAsiaTheme="minorEastAsia"/>
                <w:color w:val="auto"/>
                <w:sz w:val="24"/>
              </w:rPr>
            </w:pPr>
          </w:p>
          <w:p>
            <w:pPr>
              <w:adjustRightInd w:val="0"/>
              <w:snapToGrid w:val="0"/>
              <w:spacing w:line="360" w:lineRule="auto"/>
              <w:rPr>
                <w:rFonts w:eastAsiaTheme="minorEastAsia"/>
                <w:color w:val="auto"/>
                <w:sz w:val="24"/>
              </w:rPr>
            </w:pPr>
          </w:p>
          <w:p>
            <w:pPr>
              <w:adjustRightInd w:val="0"/>
              <w:snapToGrid w:val="0"/>
              <w:spacing w:line="360" w:lineRule="auto"/>
              <w:rPr>
                <w:rFonts w:eastAsiaTheme="minorEastAsia"/>
                <w:color w:val="auto"/>
                <w:sz w:val="24"/>
              </w:rPr>
            </w:pPr>
          </w:p>
          <w:p>
            <w:pPr>
              <w:adjustRightInd w:val="0"/>
              <w:snapToGrid w:val="0"/>
              <w:spacing w:line="360" w:lineRule="auto"/>
              <w:rPr>
                <w:rFonts w:eastAsiaTheme="minorEastAsia"/>
                <w:color w:val="auto"/>
                <w:sz w:val="24"/>
              </w:rPr>
            </w:pPr>
          </w:p>
          <w:p>
            <w:pPr>
              <w:adjustRightInd w:val="0"/>
              <w:snapToGrid w:val="0"/>
              <w:spacing w:line="360" w:lineRule="auto"/>
              <w:rPr>
                <w:rFonts w:eastAsiaTheme="minorEastAsia"/>
                <w:color w:val="auto"/>
                <w:sz w:val="24"/>
              </w:rPr>
            </w:pPr>
          </w:p>
          <w:p>
            <w:pPr>
              <w:adjustRightInd w:val="0"/>
              <w:snapToGrid w:val="0"/>
              <w:spacing w:line="360" w:lineRule="auto"/>
              <w:rPr>
                <w:rFonts w:eastAsiaTheme="minorEastAsia"/>
                <w:color w:val="auto"/>
                <w:sz w:val="24"/>
              </w:rPr>
            </w:pPr>
          </w:p>
          <w:p>
            <w:pPr>
              <w:adjustRightInd w:val="0"/>
              <w:snapToGrid w:val="0"/>
              <w:spacing w:line="360" w:lineRule="auto"/>
              <w:rPr>
                <w:rFonts w:eastAsiaTheme="minorEastAsia"/>
                <w:color w:val="auto"/>
                <w:sz w:val="24"/>
              </w:rPr>
            </w:pPr>
          </w:p>
          <w:p>
            <w:pPr>
              <w:adjustRightInd w:val="0"/>
              <w:snapToGrid w:val="0"/>
              <w:spacing w:line="360" w:lineRule="auto"/>
              <w:rPr>
                <w:rFonts w:eastAsiaTheme="minorEastAsia"/>
                <w:color w:val="auto"/>
                <w:sz w:val="24"/>
              </w:rPr>
            </w:pPr>
          </w:p>
          <w:p>
            <w:pPr>
              <w:adjustRightInd w:val="0"/>
              <w:snapToGrid w:val="0"/>
              <w:spacing w:line="360" w:lineRule="auto"/>
              <w:rPr>
                <w:rFonts w:eastAsiaTheme="minorEastAsia"/>
                <w:color w:val="auto"/>
                <w:sz w:val="24"/>
              </w:rPr>
            </w:pPr>
          </w:p>
          <w:p>
            <w:pPr>
              <w:adjustRightInd w:val="0"/>
              <w:snapToGrid w:val="0"/>
              <w:spacing w:line="360" w:lineRule="auto"/>
              <w:rPr>
                <w:rFonts w:eastAsiaTheme="minorEastAsia"/>
                <w:color w:val="auto"/>
                <w:sz w:val="24"/>
              </w:rPr>
            </w:pPr>
          </w:p>
          <w:p>
            <w:pPr>
              <w:adjustRightInd w:val="0"/>
              <w:snapToGrid w:val="0"/>
              <w:spacing w:line="360" w:lineRule="auto"/>
              <w:rPr>
                <w:rFonts w:eastAsiaTheme="minorEastAsia"/>
                <w:color w:val="auto"/>
                <w:sz w:val="24"/>
              </w:rPr>
            </w:pPr>
          </w:p>
          <w:p>
            <w:pPr>
              <w:adjustRightInd w:val="0"/>
              <w:snapToGrid w:val="0"/>
              <w:spacing w:line="360" w:lineRule="auto"/>
              <w:rPr>
                <w:rFonts w:eastAsiaTheme="minorEastAsia"/>
                <w:color w:val="auto"/>
                <w:sz w:val="24"/>
              </w:rPr>
            </w:pPr>
          </w:p>
          <w:p>
            <w:pPr>
              <w:adjustRightInd w:val="0"/>
              <w:snapToGrid w:val="0"/>
              <w:spacing w:line="360" w:lineRule="auto"/>
              <w:rPr>
                <w:rFonts w:eastAsiaTheme="minorEastAsia"/>
                <w:color w:val="auto"/>
                <w:sz w:val="24"/>
              </w:rPr>
            </w:pPr>
          </w:p>
          <w:p>
            <w:pPr>
              <w:adjustRightInd w:val="0"/>
              <w:snapToGrid w:val="0"/>
              <w:spacing w:line="360" w:lineRule="auto"/>
              <w:rPr>
                <w:rFonts w:eastAsiaTheme="minorEastAsia"/>
                <w:color w:val="auto"/>
                <w:sz w:val="24"/>
              </w:rPr>
            </w:pPr>
          </w:p>
          <w:p>
            <w:pPr>
              <w:adjustRightInd w:val="0"/>
              <w:snapToGrid w:val="0"/>
              <w:spacing w:line="360" w:lineRule="auto"/>
              <w:rPr>
                <w:rFonts w:eastAsiaTheme="minorEastAsia"/>
                <w:color w:val="auto"/>
                <w:sz w:val="24"/>
              </w:rPr>
            </w:pPr>
          </w:p>
          <w:p>
            <w:pPr>
              <w:adjustRightInd w:val="0"/>
              <w:snapToGrid w:val="0"/>
              <w:spacing w:line="360" w:lineRule="auto"/>
              <w:rPr>
                <w:rFonts w:eastAsiaTheme="minorEastAsia"/>
                <w:color w:val="auto"/>
                <w:sz w:val="24"/>
              </w:rPr>
            </w:pPr>
          </w:p>
          <w:p>
            <w:pPr>
              <w:adjustRightInd w:val="0"/>
              <w:snapToGrid w:val="0"/>
              <w:spacing w:line="360" w:lineRule="auto"/>
              <w:rPr>
                <w:rFonts w:eastAsiaTheme="minorEastAsia"/>
                <w:color w:val="auto"/>
                <w:sz w:val="24"/>
              </w:rPr>
            </w:pPr>
          </w:p>
          <w:p>
            <w:pPr>
              <w:adjustRightInd w:val="0"/>
              <w:snapToGrid w:val="0"/>
              <w:spacing w:line="360" w:lineRule="auto"/>
              <w:rPr>
                <w:rFonts w:eastAsiaTheme="minorEastAsia"/>
                <w:color w:val="auto"/>
                <w:sz w:val="24"/>
              </w:rPr>
            </w:pPr>
          </w:p>
          <w:p>
            <w:pPr>
              <w:adjustRightInd w:val="0"/>
              <w:snapToGrid w:val="0"/>
              <w:spacing w:line="360" w:lineRule="auto"/>
              <w:rPr>
                <w:rFonts w:eastAsiaTheme="minorEastAsia"/>
                <w:color w:val="auto"/>
                <w:sz w:val="24"/>
              </w:rPr>
            </w:pPr>
          </w:p>
          <w:p>
            <w:pPr>
              <w:adjustRightInd w:val="0"/>
              <w:snapToGrid w:val="0"/>
              <w:spacing w:line="360" w:lineRule="auto"/>
              <w:rPr>
                <w:rFonts w:eastAsiaTheme="minorEastAsia"/>
                <w:bCs/>
                <w:color w:val="auto"/>
                <w:sz w:val="24"/>
                <w:highlight w:val="cyan"/>
              </w:rPr>
            </w:pPr>
          </w:p>
        </w:tc>
      </w:tr>
    </w:tbl>
    <w:p>
      <w:pPr>
        <w:adjustRightInd w:val="0"/>
        <w:snapToGrid w:val="0"/>
        <w:rPr>
          <w:rFonts w:eastAsiaTheme="minorEastAsia"/>
          <w:b/>
          <w:color w:val="auto"/>
          <w:sz w:val="28"/>
          <w:szCs w:val="28"/>
        </w:rPr>
      </w:pPr>
    </w:p>
    <w:p>
      <w:pPr>
        <w:adjustRightInd w:val="0"/>
        <w:snapToGrid w:val="0"/>
        <w:rPr>
          <w:rFonts w:eastAsiaTheme="minorEastAsia"/>
          <w:b/>
          <w:color w:val="auto"/>
          <w:sz w:val="28"/>
          <w:szCs w:val="28"/>
        </w:rPr>
      </w:pPr>
      <w:r>
        <w:rPr>
          <w:rFonts w:eastAsiaTheme="minorEastAsia"/>
          <w:b/>
          <w:color w:val="auto"/>
          <w:sz w:val="28"/>
          <w:szCs w:val="28"/>
        </w:rPr>
        <w:br w:type="page"/>
      </w:r>
    </w:p>
    <w:p>
      <w:pPr>
        <w:adjustRightInd w:val="0"/>
        <w:snapToGrid w:val="0"/>
        <w:rPr>
          <w:rFonts w:eastAsiaTheme="minorEastAsia"/>
          <w:b/>
          <w:color w:val="auto"/>
          <w:sz w:val="28"/>
          <w:szCs w:val="28"/>
        </w:rPr>
      </w:pPr>
      <w:r>
        <w:rPr>
          <w:rFonts w:eastAsiaTheme="minorEastAsia"/>
          <w:b/>
          <w:color w:val="auto"/>
          <w:sz w:val="28"/>
          <w:szCs w:val="28"/>
        </w:rPr>
        <w:t>环境经济效益分析</w:t>
      </w:r>
    </w:p>
    <w:tbl>
      <w:tblPr>
        <w:tblStyle w:val="38"/>
        <w:tblW w:w="8789"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78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282" w:hRule="atLeast"/>
        </w:trPr>
        <w:tc>
          <w:tcPr>
            <w:tcW w:w="8789" w:type="dxa"/>
          </w:tcPr>
          <w:p>
            <w:pPr>
              <w:widowControl/>
              <w:adjustRightInd w:val="0"/>
              <w:snapToGrid w:val="0"/>
              <w:ind w:firstLine="482" w:firstLineChars="200"/>
              <w:rPr>
                <w:rFonts w:eastAsiaTheme="minorEastAsia"/>
                <w:color w:val="auto"/>
                <w:sz w:val="24"/>
              </w:rPr>
            </w:pPr>
            <w:r>
              <w:rPr>
                <w:rFonts w:eastAsiaTheme="minorEastAsia"/>
                <w:b/>
                <w:bCs/>
                <w:color w:val="auto"/>
                <w:sz w:val="24"/>
              </w:rPr>
              <w:t>1、经济效益分析</w:t>
            </w:r>
          </w:p>
          <w:p>
            <w:pPr>
              <w:widowControl/>
              <w:adjustRightInd w:val="0"/>
              <w:snapToGrid w:val="0"/>
              <w:spacing w:line="360" w:lineRule="auto"/>
              <w:ind w:firstLine="480" w:firstLineChars="200"/>
              <w:rPr>
                <w:rFonts w:eastAsiaTheme="minorEastAsia"/>
                <w:color w:val="auto"/>
                <w:sz w:val="24"/>
              </w:rPr>
            </w:pPr>
            <w:r>
              <w:rPr>
                <w:rFonts w:eastAsiaTheme="minorEastAsia"/>
                <w:color w:val="auto"/>
                <w:sz w:val="24"/>
              </w:rPr>
              <w:t>本项目总投资为597.22万元，其中建安工程费用为503.48万元；工程建设其他费用为63.81万元；预备费用28.36万元，铺底流动资金为1.57万元。项目建成投入运营后，可产生的经济效益主要表现在国民经济方面。</w:t>
            </w:r>
          </w:p>
          <w:p>
            <w:pPr>
              <w:widowControl/>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⑴</w:t>
            </w:r>
            <w:r>
              <w:rPr>
                <w:rFonts w:eastAsiaTheme="minorEastAsia"/>
                <w:color w:val="auto"/>
                <w:sz w:val="24"/>
              </w:rPr>
              <w:t>项目的建设可以保护柏树底河及马莲河水质免受污染，从根本上保护宁县金村乡人民赖以生存</w:t>
            </w:r>
            <w:r>
              <w:rPr>
                <w:rFonts w:hint="eastAsia" w:eastAsiaTheme="minorEastAsia"/>
                <w:color w:val="auto"/>
                <w:sz w:val="24"/>
                <w:lang w:eastAsia="zh-CN"/>
              </w:rPr>
              <w:t>的</w:t>
            </w:r>
            <w:r>
              <w:rPr>
                <w:rFonts w:eastAsiaTheme="minorEastAsia"/>
                <w:color w:val="auto"/>
                <w:sz w:val="24"/>
              </w:rPr>
              <w:t>水环境，使金村乡走上环境与经济协调发展的良性循环轨道，实现可持续发展，产生巨大的间接经济效益；</w:t>
            </w:r>
          </w:p>
          <w:p>
            <w:pPr>
              <w:widowControl/>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⑵</w:t>
            </w:r>
            <w:r>
              <w:rPr>
                <w:rFonts w:eastAsiaTheme="minorEastAsia"/>
                <w:color w:val="auto"/>
                <w:sz w:val="24"/>
              </w:rPr>
              <w:t>本项目对改善地区的排水及污泥处理、促进城市的发展有着重要影响；</w:t>
            </w:r>
          </w:p>
          <w:p>
            <w:pPr>
              <w:widowControl/>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⑶</w:t>
            </w:r>
            <w:r>
              <w:rPr>
                <w:rFonts w:eastAsiaTheme="minorEastAsia"/>
                <w:color w:val="auto"/>
                <w:sz w:val="24"/>
              </w:rPr>
              <w:t>项目建成后，可增加金村乡对国内外投资者的吸引力，建立良好的投资环境，产生较好的经济效益。</w:t>
            </w:r>
          </w:p>
          <w:p>
            <w:pPr>
              <w:widowControl/>
              <w:adjustRightInd w:val="0"/>
              <w:snapToGrid w:val="0"/>
              <w:spacing w:line="360" w:lineRule="auto"/>
              <w:ind w:firstLine="480" w:firstLineChars="200"/>
              <w:rPr>
                <w:rFonts w:eastAsiaTheme="minorEastAsia"/>
                <w:color w:val="auto"/>
                <w:sz w:val="24"/>
              </w:rPr>
            </w:pPr>
            <w:r>
              <w:rPr>
                <w:rFonts w:eastAsiaTheme="minorEastAsia"/>
                <w:color w:val="auto"/>
                <w:sz w:val="24"/>
              </w:rPr>
              <w:t>因此，本项目的实施具有良好的社会效益和经济效益。</w:t>
            </w:r>
          </w:p>
          <w:p>
            <w:pPr>
              <w:widowControl/>
              <w:adjustRightInd w:val="0"/>
              <w:snapToGrid w:val="0"/>
              <w:ind w:firstLine="482" w:firstLineChars="200"/>
              <w:rPr>
                <w:rFonts w:eastAsiaTheme="minorEastAsia"/>
                <w:b/>
                <w:color w:val="auto"/>
                <w:sz w:val="24"/>
              </w:rPr>
            </w:pPr>
            <w:r>
              <w:rPr>
                <w:rFonts w:eastAsiaTheme="minorEastAsia"/>
                <w:b/>
                <w:color w:val="auto"/>
                <w:sz w:val="24"/>
              </w:rPr>
              <w:t>2、环境效益分析</w:t>
            </w:r>
          </w:p>
          <w:p>
            <w:pPr>
              <w:widowControl/>
              <w:adjustRightInd w:val="0"/>
              <w:snapToGrid w:val="0"/>
              <w:spacing w:line="360" w:lineRule="auto"/>
              <w:ind w:firstLine="480" w:firstLineChars="200"/>
              <w:rPr>
                <w:rFonts w:eastAsiaTheme="minorEastAsia"/>
                <w:color w:val="auto"/>
                <w:sz w:val="24"/>
              </w:rPr>
            </w:pPr>
            <w:r>
              <w:rPr>
                <w:rFonts w:eastAsiaTheme="minorEastAsia"/>
                <w:color w:val="auto"/>
                <w:sz w:val="24"/>
              </w:rPr>
              <w:t>宁县金村乡金村村生活污水截污处置工程是一个水环境治理项目，通过项目的实施达到改善和治理的目的，由此改善当地水环境质量，本项目也属于宁县环境保护建设工程，也是城市基础设施系统的重要组成部分。通过本项目的实施，可有效降低出水污染物浓度，确保污水处理厂尾水水质浓度达到《城镇污水处理厂污染物排放标准》（GB18918-2002）及修改单水污染物一级A标准。因此，本项目的建设对环境产生了积极的影响，改善了项目当地水环境质量，促进了城市生态环境的改善，项目实施后具有显著的环境效益。</w:t>
            </w:r>
          </w:p>
          <w:p>
            <w:pPr>
              <w:widowControl/>
              <w:adjustRightInd w:val="0"/>
              <w:snapToGrid w:val="0"/>
              <w:spacing w:line="360" w:lineRule="auto"/>
              <w:ind w:firstLine="480" w:firstLineChars="20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 1 \* GB2 </w:instrText>
            </w:r>
            <w:r>
              <w:rPr>
                <w:rFonts w:eastAsiaTheme="minorEastAsia"/>
                <w:color w:val="auto"/>
                <w:sz w:val="24"/>
              </w:rPr>
              <w:fldChar w:fldCharType="separate"/>
            </w:r>
            <w:r>
              <w:rPr>
                <w:rFonts w:hint="eastAsia" w:ascii="宋体" w:hAnsi="宋体" w:cs="宋体"/>
                <w:color w:val="auto"/>
                <w:sz w:val="24"/>
              </w:rPr>
              <w:t>⑴</w:t>
            </w:r>
            <w:r>
              <w:rPr>
                <w:rFonts w:eastAsiaTheme="minorEastAsia"/>
                <w:color w:val="auto"/>
                <w:sz w:val="24"/>
              </w:rPr>
              <w:fldChar w:fldCharType="end"/>
            </w:r>
            <w:r>
              <w:rPr>
                <w:rFonts w:eastAsiaTheme="minorEastAsia"/>
                <w:color w:val="auto"/>
                <w:sz w:val="24"/>
              </w:rPr>
              <w:t>本项目建成后，尾水最终排入马莲河。</w:t>
            </w:r>
          </w:p>
          <w:p>
            <w:pPr>
              <w:widowControl/>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⑵</w:t>
            </w:r>
            <w:r>
              <w:rPr>
                <w:rFonts w:eastAsiaTheme="minorEastAsia"/>
                <w:color w:val="auto"/>
                <w:sz w:val="24"/>
              </w:rPr>
              <w:t>根据本项目工程分析内容，本项目虽然会产生一定量的污染物，但是就柏树底河现状分析，本项目的建设能有效的防止城区各排污单元污水不经处理直接排入柏树底河，最大程度的减少整个柏树底河河道水体中原有污染物的量。项目经处理达到《城镇污水处理厂污染物排放标准》（GB18918-2002）及修改单水污染物一级A标准的尾水排放，同时增大了河道的水流，能够有效的提高河道河水的净化作用。</w:t>
            </w:r>
          </w:p>
          <w:p>
            <w:pPr>
              <w:widowControl/>
              <w:adjustRightInd w:val="0"/>
              <w:snapToGrid w:val="0"/>
              <w:spacing w:line="360" w:lineRule="auto"/>
              <w:ind w:firstLine="480" w:firstLineChars="20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 3 \* GB2 </w:instrText>
            </w:r>
            <w:r>
              <w:rPr>
                <w:rFonts w:eastAsiaTheme="minorEastAsia"/>
                <w:color w:val="auto"/>
                <w:sz w:val="24"/>
              </w:rPr>
              <w:fldChar w:fldCharType="separate"/>
            </w:r>
            <w:r>
              <w:rPr>
                <w:rFonts w:hint="eastAsia" w:ascii="宋体" w:hAnsi="宋体" w:cs="宋体"/>
                <w:color w:val="auto"/>
                <w:sz w:val="24"/>
              </w:rPr>
              <w:t>⑶</w:t>
            </w:r>
            <w:r>
              <w:rPr>
                <w:rFonts w:eastAsiaTheme="minorEastAsia"/>
                <w:color w:val="auto"/>
                <w:sz w:val="24"/>
              </w:rPr>
              <w:fldChar w:fldCharType="end"/>
            </w:r>
            <w:r>
              <w:rPr>
                <w:rFonts w:eastAsiaTheme="minorEastAsia"/>
                <w:color w:val="auto"/>
                <w:sz w:val="24"/>
              </w:rPr>
              <w:t>项目建成后，可使金村乡污水收集率达到95%以上，有效治理了污水乱排，减少污染物排放量，有效防止其不经处理直接排入河道，从而减缓对河水的影响。</w:t>
            </w:r>
          </w:p>
          <w:p>
            <w:pPr>
              <w:widowControl/>
              <w:adjustRightInd w:val="0"/>
              <w:snapToGrid w:val="0"/>
              <w:spacing w:line="360" w:lineRule="auto"/>
              <w:ind w:firstLine="480" w:firstLineChars="20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 4 \* GB2 </w:instrText>
            </w:r>
            <w:r>
              <w:rPr>
                <w:rFonts w:eastAsiaTheme="minorEastAsia"/>
                <w:color w:val="auto"/>
                <w:sz w:val="24"/>
              </w:rPr>
              <w:fldChar w:fldCharType="separate"/>
            </w:r>
            <w:r>
              <w:rPr>
                <w:rFonts w:hint="eastAsia" w:ascii="宋体" w:hAnsi="宋体" w:cs="宋体"/>
                <w:color w:val="auto"/>
                <w:sz w:val="24"/>
              </w:rPr>
              <w:t>⑷</w:t>
            </w:r>
            <w:r>
              <w:rPr>
                <w:rFonts w:eastAsiaTheme="minorEastAsia"/>
                <w:color w:val="auto"/>
                <w:sz w:val="24"/>
              </w:rPr>
              <w:fldChar w:fldCharType="end"/>
            </w:r>
            <w:r>
              <w:rPr>
                <w:rFonts w:eastAsiaTheme="minorEastAsia"/>
                <w:color w:val="auto"/>
                <w:sz w:val="24"/>
              </w:rPr>
              <w:t>采用地埋式和加强绿化的方式对臭气进行处理，可大大减轻恶臭污染物对周围环境的影响，从而减少污水所造成的令人生厌的情景和减轻对公众健康的危害；</w:t>
            </w:r>
          </w:p>
          <w:p>
            <w:pPr>
              <w:widowControl/>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⑸</w:t>
            </w:r>
            <w:r>
              <w:rPr>
                <w:rFonts w:eastAsiaTheme="minorEastAsia"/>
                <w:color w:val="auto"/>
                <w:sz w:val="24"/>
              </w:rPr>
              <w:t>项目各类机械设备产生的噪声通过采取防震、减震、消声、隔声等措施后，减少了噪声对周围环境的影响；</w:t>
            </w:r>
          </w:p>
          <w:p>
            <w:pPr>
              <w:widowControl/>
              <w:adjustRightInd w:val="0"/>
              <w:snapToGrid w:val="0"/>
              <w:spacing w:line="360" w:lineRule="auto"/>
              <w:ind w:firstLine="480" w:firstLineChars="20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 6 \* GB2 </w:instrText>
            </w:r>
            <w:r>
              <w:rPr>
                <w:rFonts w:eastAsiaTheme="minorEastAsia"/>
                <w:color w:val="auto"/>
                <w:sz w:val="24"/>
              </w:rPr>
              <w:fldChar w:fldCharType="separate"/>
            </w:r>
            <w:r>
              <w:rPr>
                <w:rFonts w:hint="eastAsia" w:ascii="宋体" w:hAnsi="宋体" w:cs="宋体"/>
                <w:color w:val="auto"/>
                <w:sz w:val="24"/>
              </w:rPr>
              <w:t>⑹</w:t>
            </w:r>
            <w:r>
              <w:rPr>
                <w:rFonts w:eastAsiaTheme="minorEastAsia"/>
                <w:color w:val="auto"/>
                <w:sz w:val="24"/>
              </w:rPr>
              <w:fldChar w:fldCharType="end"/>
            </w:r>
            <w:r>
              <w:rPr>
                <w:rFonts w:eastAsiaTheme="minorEastAsia"/>
                <w:color w:val="auto"/>
                <w:sz w:val="24"/>
              </w:rPr>
              <w:t>项目产生的固废做到做到及时清运、处置后，可大大减轻对周围环境的不利影响。</w:t>
            </w:r>
          </w:p>
          <w:p>
            <w:pPr>
              <w:widowControl/>
              <w:adjustRightInd w:val="0"/>
              <w:snapToGrid w:val="0"/>
              <w:spacing w:line="360" w:lineRule="auto"/>
              <w:ind w:firstLine="480" w:firstLineChars="20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 7 \* GB2 </w:instrText>
            </w:r>
            <w:r>
              <w:rPr>
                <w:rFonts w:eastAsiaTheme="minorEastAsia"/>
                <w:color w:val="auto"/>
                <w:sz w:val="24"/>
              </w:rPr>
              <w:fldChar w:fldCharType="separate"/>
            </w:r>
            <w:r>
              <w:rPr>
                <w:rFonts w:hint="eastAsia" w:ascii="宋体" w:hAnsi="宋体" w:cs="宋体"/>
                <w:color w:val="auto"/>
                <w:sz w:val="24"/>
              </w:rPr>
              <w:t>⑺</w:t>
            </w:r>
            <w:r>
              <w:rPr>
                <w:rFonts w:eastAsiaTheme="minorEastAsia"/>
                <w:color w:val="auto"/>
                <w:sz w:val="24"/>
              </w:rPr>
              <w:fldChar w:fldCharType="end"/>
            </w:r>
            <w:r>
              <w:rPr>
                <w:rFonts w:eastAsiaTheme="minorEastAsia"/>
                <w:color w:val="auto"/>
                <w:sz w:val="24"/>
              </w:rPr>
              <w:t>本项目建设和投运后，环保投资约114万元占项目总投资597.22万元的19%，环保投资具体分配情况见表79。</w:t>
            </w:r>
          </w:p>
          <w:p>
            <w:pPr>
              <w:widowControl/>
              <w:ind w:firstLine="482" w:firstLineChars="200"/>
              <w:jc w:val="center"/>
              <w:rPr>
                <w:rFonts w:eastAsiaTheme="minorEastAsia"/>
                <w:b/>
                <w:color w:val="auto"/>
                <w:sz w:val="24"/>
              </w:rPr>
            </w:pPr>
            <w:r>
              <w:rPr>
                <w:rFonts w:eastAsiaTheme="minorEastAsia"/>
                <w:b/>
                <w:color w:val="auto"/>
                <w:sz w:val="24"/>
              </w:rPr>
              <w:t>表79项目环保投资估算一览表</w:t>
            </w:r>
          </w:p>
          <w:tbl>
            <w:tblPr>
              <w:tblStyle w:val="38"/>
              <w:tblW w:w="8623"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84"/>
              <w:gridCol w:w="1134"/>
              <w:gridCol w:w="5670"/>
              <w:gridCol w:w="1335"/>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17" w:hRule="atLeast"/>
                <w:jc w:val="center"/>
              </w:trPr>
              <w:tc>
                <w:tcPr>
                  <w:tcW w:w="1618" w:type="dxa"/>
                  <w:gridSpan w:val="2"/>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项目</w:t>
                  </w:r>
                </w:p>
              </w:tc>
              <w:tc>
                <w:tcPr>
                  <w:tcW w:w="5670"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环保设施内容</w:t>
                  </w:r>
                </w:p>
              </w:tc>
              <w:tc>
                <w:tcPr>
                  <w:tcW w:w="1335"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金额（万元）</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26" w:hRule="atLeast"/>
                <w:jc w:val="center"/>
              </w:trPr>
              <w:tc>
                <w:tcPr>
                  <w:tcW w:w="484" w:type="dxa"/>
                  <w:vMerge w:val="restart"/>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施</w:t>
                  </w:r>
                </w:p>
                <w:p>
                  <w:pPr>
                    <w:widowControl/>
                    <w:adjustRightInd w:val="0"/>
                    <w:snapToGrid w:val="0"/>
                    <w:jc w:val="center"/>
                    <w:rPr>
                      <w:rFonts w:eastAsiaTheme="minorEastAsia"/>
                      <w:color w:val="auto"/>
                      <w:kern w:val="0"/>
                      <w:szCs w:val="21"/>
                    </w:rPr>
                  </w:pPr>
                  <w:r>
                    <w:rPr>
                      <w:rFonts w:eastAsiaTheme="minorEastAsia"/>
                      <w:color w:val="auto"/>
                      <w:kern w:val="0"/>
                      <w:szCs w:val="21"/>
                    </w:rPr>
                    <w:t>工</w:t>
                  </w:r>
                </w:p>
                <w:p>
                  <w:pPr>
                    <w:adjustRightInd w:val="0"/>
                    <w:snapToGrid w:val="0"/>
                    <w:jc w:val="center"/>
                    <w:rPr>
                      <w:rFonts w:eastAsiaTheme="minorEastAsia"/>
                      <w:color w:val="auto"/>
                      <w:kern w:val="0"/>
                      <w:szCs w:val="21"/>
                    </w:rPr>
                  </w:pPr>
                  <w:r>
                    <w:rPr>
                      <w:rFonts w:eastAsiaTheme="minorEastAsia"/>
                      <w:color w:val="auto"/>
                      <w:kern w:val="0"/>
                      <w:szCs w:val="21"/>
                    </w:rPr>
                    <w:t>期</w:t>
                  </w:r>
                </w:p>
              </w:tc>
              <w:tc>
                <w:tcPr>
                  <w:tcW w:w="1134"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施工扬尘</w:t>
                  </w:r>
                </w:p>
              </w:tc>
              <w:tc>
                <w:tcPr>
                  <w:tcW w:w="5670" w:type="dxa"/>
                  <w:vAlign w:val="center"/>
                </w:tcPr>
                <w:p>
                  <w:pPr>
                    <w:widowControl/>
                    <w:adjustRightInd w:val="0"/>
                    <w:snapToGrid w:val="0"/>
                    <w:jc w:val="center"/>
                    <w:rPr>
                      <w:rFonts w:eastAsiaTheme="minorEastAsia"/>
                      <w:color w:val="auto"/>
                      <w:kern w:val="0"/>
                      <w:szCs w:val="21"/>
                    </w:rPr>
                  </w:pPr>
                  <w:r>
                    <w:rPr>
                      <w:rFonts w:eastAsiaTheme="minorEastAsia"/>
                      <w:color w:val="auto"/>
                      <w:szCs w:val="21"/>
                    </w:rPr>
                    <w:t>施工场地四周设置彩钢板围挡、洒水降尘等</w:t>
                  </w:r>
                </w:p>
              </w:tc>
              <w:tc>
                <w:tcPr>
                  <w:tcW w:w="1335"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2.0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26" w:hRule="atLeast"/>
                <w:jc w:val="center"/>
              </w:trPr>
              <w:tc>
                <w:tcPr>
                  <w:tcW w:w="484" w:type="dxa"/>
                  <w:vMerge w:val="continue"/>
                  <w:vAlign w:val="center"/>
                </w:tcPr>
                <w:p>
                  <w:pPr>
                    <w:widowControl/>
                    <w:adjustRightInd w:val="0"/>
                    <w:snapToGrid w:val="0"/>
                    <w:jc w:val="center"/>
                    <w:rPr>
                      <w:rFonts w:eastAsiaTheme="minorEastAsia"/>
                      <w:color w:val="auto"/>
                      <w:kern w:val="0"/>
                      <w:szCs w:val="21"/>
                    </w:rPr>
                  </w:pPr>
                </w:p>
              </w:tc>
              <w:tc>
                <w:tcPr>
                  <w:tcW w:w="1134"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施工废水</w:t>
                  </w:r>
                </w:p>
              </w:tc>
              <w:tc>
                <w:tcPr>
                  <w:tcW w:w="5670" w:type="dxa"/>
                  <w:vAlign w:val="center"/>
                </w:tcPr>
                <w:p>
                  <w:pPr>
                    <w:widowControl/>
                    <w:adjustRightInd w:val="0"/>
                    <w:snapToGrid w:val="0"/>
                    <w:jc w:val="center"/>
                    <w:rPr>
                      <w:rFonts w:eastAsiaTheme="minorEastAsia"/>
                      <w:color w:val="auto"/>
                      <w:szCs w:val="21"/>
                    </w:rPr>
                  </w:pPr>
                  <w:r>
                    <w:rPr>
                      <w:rFonts w:eastAsiaTheme="minorEastAsia"/>
                      <w:color w:val="auto"/>
                      <w:szCs w:val="21"/>
                    </w:rPr>
                    <w:t>设置1座容积为10m</w:t>
                  </w:r>
                  <w:r>
                    <w:rPr>
                      <w:rFonts w:eastAsiaTheme="minorEastAsia"/>
                      <w:color w:val="auto"/>
                      <w:szCs w:val="21"/>
                      <w:vertAlign w:val="superscript"/>
                    </w:rPr>
                    <w:t>3</w:t>
                  </w:r>
                  <w:r>
                    <w:rPr>
                      <w:rFonts w:eastAsiaTheme="minorEastAsia"/>
                      <w:color w:val="auto"/>
                      <w:szCs w:val="21"/>
                    </w:rPr>
                    <w:t>沉淀池，用来处理施工废水；施工人员的生活污水依托现有工程污水处理设施</w:t>
                  </w:r>
                </w:p>
              </w:tc>
              <w:tc>
                <w:tcPr>
                  <w:tcW w:w="1335"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1.0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26" w:hRule="atLeast"/>
                <w:jc w:val="center"/>
              </w:trPr>
              <w:tc>
                <w:tcPr>
                  <w:tcW w:w="484" w:type="dxa"/>
                  <w:vMerge w:val="continue"/>
                  <w:vAlign w:val="center"/>
                </w:tcPr>
                <w:p>
                  <w:pPr>
                    <w:widowControl/>
                    <w:adjustRightInd w:val="0"/>
                    <w:snapToGrid w:val="0"/>
                    <w:jc w:val="center"/>
                    <w:rPr>
                      <w:rFonts w:eastAsiaTheme="minorEastAsia"/>
                      <w:color w:val="auto"/>
                      <w:kern w:val="0"/>
                      <w:szCs w:val="21"/>
                    </w:rPr>
                  </w:pPr>
                </w:p>
              </w:tc>
              <w:tc>
                <w:tcPr>
                  <w:tcW w:w="1134"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施工固废</w:t>
                  </w:r>
                </w:p>
              </w:tc>
              <w:tc>
                <w:tcPr>
                  <w:tcW w:w="5670" w:type="dxa"/>
                  <w:vAlign w:val="center"/>
                </w:tcPr>
                <w:p>
                  <w:pPr>
                    <w:widowControl/>
                    <w:adjustRightInd w:val="0"/>
                    <w:snapToGrid w:val="0"/>
                    <w:jc w:val="center"/>
                    <w:rPr>
                      <w:rFonts w:eastAsiaTheme="minorEastAsia"/>
                      <w:color w:val="auto"/>
                      <w:szCs w:val="21"/>
                    </w:rPr>
                  </w:pPr>
                  <w:r>
                    <w:rPr>
                      <w:rFonts w:eastAsiaTheme="minorEastAsia"/>
                      <w:color w:val="auto"/>
                      <w:szCs w:val="21"/>
                    </w:rPr>
                    <w:t>拆除、建筑垃圾及生活垃圾集中收集，定期清运</w:t>
                  </w:r>
                </w:p>
              </w:tc>
              <w:tc>
                <w:tcPr>
                  <w:tcW w:w="1335"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2.0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92" w:hRule="atLeast"/>
                <w:jc w:val="center"/>
              </w:trPr>
              <w:tc>
                <w:tcPr>
                  <w:tcW w:w="484" w:type="dxa"/>
                  <w:vMerge w:val="continue"/>
                  <w:vAlign w:val="center"/>
                </w:tcPr>
                <w:p>
                  <w:pPr>
                    <w:widowControl/>
                    <w:jc w:val="center"/>
                    <w:rPr>
                      <w:rFonts w:eastAsiaTheme="minorEastAsia"/>
                      <w:color w:val="auto"/>
                      <w:kern w:val="0"/>
                      <w:szCs w:val="21"/>
                    </w:rPr>
                  </w:pPr>
                </w:p>
              </w:tc>
              <w:tc>
                <w:tcPr>
                  <w:tcW w:w="1134"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噪声</w:t>
                  </w:r>
                </w:p>
              </w:tc>
              <w:tc>
                <w:tcPr>
                  <w:tcW w:w="5670"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设备减震、隔声措施、维护保养施工机械</w:t>
                  </w:r>
                </w:p>
              </w:tc>
              <w:tc>
                <w:tcPr>
                  <w:tcW w:w="1335"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2.5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49" w:hRule="atLeast"/>
                <w:jc w:val="center"/>
              </w:trPr>
              <w:tc>
                <w:tcPr>
                  <w:tcW w:w="484" w:type="dxa"/>
                  <w:vMerge w:val="restart"/>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运营期</w:t>
                  </w:r>
                </w:p>
              </w:tc>
              <w:tc>
                <w:tcPr>
                  <w:tcW w:w="1134" w:type="dxa"/>
                  <w:vAlign w:val="center"/>
                </w:tcPr>
                <w:p>
                  <w:pPr>
                    <w:widowControl/>
                    <w:adjustRightInd w:val="0"/>
                    <w:snapToGrid w:val="0"/>
                    <w:jc w:val="center"/>
                    <w:rPr>
                      <w:rFonts w:eastAsiaTheme="minorEastAsia"/>
                      <w:color w:val="auto"/>
                      <w:szCs w:val="21"/>
                    </w:rPr>
                  </w:pPr>
                  <w:r>
                    <w:rPr>
                      <w:rFonts w:eastAsiaTheme="minorEastAsia"/>
                      <w:color w:val="auto"/>
                      <w:szCs w:val="21"/>
                    </w:rPr>
                    <w:t>恶臭气体</w:t>
                  </w:r>
                </w:p>
              </w:tc>
              <w:tc>
                <w:tcPr>
                  <w:tcW w:w="5670" w:type="dxa"/>
                  <w:vAlign w:val="center"/>
                </w:tcPr>
                <w:p>
                  <w:pPr>
                    <w:widowControl/>
                    <w:adjustRightInd w:val="0"/>
                    <w:snapToGrid w:val="0"/>
                    <w:jc w:val="center"/>
                    <w:rPr>
                      <w:rFonts w:eastAsiaTheme="minorEastAsia"/>
                      <w:color w:val="auto"/>
                      <w:szCs w:val="21"/>
                    </w:rPr>
                  </w:pPr>
                  <w:r>
                    <w:rPr>
                      <w:rFonts w:eastAsiaTheme="minorEastAsia"/>
                      <w:color w:val="auto"/>
                      <w:szCs w:val="21"/>
                    </w:rPr>
                    <w:t>储泥池，池顶采用玻璃钢盖板密封，污泥脱水机房和设备间产生臭气的设备采用全封闭式设计，定期喷洒除臭剂，同时对厂区进行绿化</w:t>
                  </w:r>
                </w:p>
              </w:tc>
              <w:tc>
                <w:tcPr>
                  <w:tcW w:w="1335"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2.5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49" w:hRule="atLeast"/>
                <w:jc w:val="center"/>
              </w:trPr>
              <w:tc>
                <w:tcPr>
                  <w:tcW w:w="484" w:type="dxa"/>
                  <w:vMerge w:val="continue"/>
                  <w:vAlign w:val="center"/>
                </w:tcPr>
                <w:p>
                  <w:pPr>
                    <w:widowControl/>
                    <w:adjustRightInd w:val="0"/>
                    <w:snapToGrid w:val="0"/>
                    <w:jc w:val="center"/>
                    <w:rPr>
                      <w:rFonts w:eastAsiaTheme="minorEastAsia"/>
                      <w:color w:val="auto"/>
                      <w:kern w:val="0"/>
                      <w:szCs w:val="21"/>
                    </w:rPr>
                  </w:pPr>
                </w:p>
              </w:tc>
              <w:tc>
                <w:tcPr>
                  <w:tcW w:w="1134" w:type="dxa"/>
                  <w:vMerge w:val="restart"/>
                  <w:vAlign w:val="center"/>
                </w:tcPr>
                <w:p>
                  <w:pPr>
                    <w:widowControl/>
                    <w:adjustRightInd w:val="0"/>
                    <w:snapToGrid w:val="0"/>
                    <w:jc w:val="center"/>
                    <w:rPr>
                      <w:rFonts w:eastAsiaTheme="minorEastAsia"/>
                      <w:color w:val="auto"/>
                      <w:szCs w:val="21"/>
                    </w:rPr>
                  </w:pPr>
                  <w:r>
                    <w:rPr>
                      <w:rFonts w:eastAsiaTheme="minorEastAsia"/>
                      <w:color w:val="auto"/>
                      <w:szCs w:val="21"/>
                    </w:rPr>
                    <w:t>废水</w:t>
                  </w:r>
                </w:p>
              </w:tc>
              <w:tc>
                <w:tcPr>
                  <w:tcW w:w="5670" w:type="dxa"/>
                  <w:vAlign w:val="center"/>
                </w:tcPr>
                <w:p>
                  <w:pPr>
                    <w:widowControl/>
                    <w:adjustRightInd w:val="0"/>
                    <w:snapToGrid w:val="0"/>
                    <w:jc w:val="center"/>
                    <w:rPr>
                      <w:rFonts w:eastAsiaTheme="minorEastAsia"/>
                      <w:color w:val="auto"/>
                      <w:szCs w:val="21"/>
                    </w:rPr>
                  </w:pPr>
                  <w:r>
                    <w:rPr>
                      <w:rFonts w:eastAsiaTheme="minorEastAsia"/>
                      <w:color w:val="auto"/>
                      <w:szCs w:val="21"/>
                    </w:rPr>
                    <w:t>“A</w:t>
                  </w:r>
                  <w:r>
                    <w:rPr>
                      <w:rFonts w:eastAsiaTheme="minorEastAsia"/>
                      <w:color w:val="auto"/>
                      <w:szCs w:val="21"/>
                      <w:vertAlign w:val="superscript"/>
                    </w:rPr>
                    <w:t>2</w:t>
                  </w:r>
                  <w:r>
                    <w:rPr>
                      <w:rFonts w:eastAsiaTheme="minorEastAsia"/>
                      <w:color w:val="auto"/>
                      <w:szCs w:val="21"/>
                    </w:rPr>
                    <w:t>/O+MBR”工艺</w:t>
                  </w:r>
                </w:p>
              </w:tc>
              <w:tc>
                <w:tcPr>
                  <w:tcW w:w="1335"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91.81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49" w:hRule="atLeast"/>
                <w:jc w:val="center"/>
              </w:trPr>
              <w:tc>
                <w:tcPr>
                  <w:tcW w:w="484" w:type="dxa"/>
                  <w:vMerge w:val="continue"/>
                  <w:vAlign w:val="center"/>
                </w:tcPr>
                <w:p>
                  <w:pPr>
                    <w:widowControl/>
                    <w:adjustRightInd w:val="0"/>
                    <w:snapToGrid w:val="0"/>
                    <w:jc w:val="center"/>
                    <w:rPr>
                      <w:rFonts w:eastAsiaTheme="minorEastAsia"/>
                      <w:color w:val="auto"/>
                      <w:kern w:val="0"/>
                      <w:szCs w:val="21"/>
                    </w:rPr>
                  </w:pPr>
                </w:p>
              </w:tc>
              <w:tc>
                <w:tcPr>
                  <w:tcW w:w="1134" w:type="dxa"/>
                  <w:vMerge w:val="continue"/>
                  <w:vAlign w:val="center"/>
                </w:tcPr>
                <w:p>
                  <w:pPr>
                    <w:widowControl/>
                    <w:adjustRightInd w:val="0"/>
                    <w:snapToGrid w:val="0"/>
                    <w:jc w:val="center"/>
                    <w:rPr>
                      <w:rFonts w:eastAsiaTheme="minorEastAsia"/>
                      <w:color w:val="auto"/>
                      <w:szCs w:val="21"/>
                    </w:rPr>
                  </w:pPr>
                </w:p>
              </w:tc>
              <w:tc>
                <w:tcPr>
                  <w:tcW w:w="5670" w:type="dxa"/>
                  <w:vAlign w:val="center"/>
                </w:tcPr>
                <w:p>
                  <w:pPr>
                    <w:widowControl/>
                    <w:adjustRightInd w:val="0"/>
                    <w:snapToGrid w:val="0"/>
                    <w:jc w:val="center"/>
                    <w:rPr>
                      <w:rFonts w:eastAsiaTheme="minorEastAsia"/>
                      <w:color w:val="auto"/>
                      <w:szCs w:val="21"/>
                    </w:rPr>
                  </w:pPr>
                  <w:r>
                    <w:rPr>
                      <w:rFonts w:eastAsiaTheme="minorEastAsia"/>
                      <w:color w:val="auto"/>
                      <w:szCs w:val="21"/>
                    </w:rPr>
                    <w:t>排污口规范化设置</w:t>
                  </w:r>
                </w:p>
              </w:tc>
              <w:tc>
                <w:tcPr>
                  <w:tcW w:w="1335"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2.0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72" w:hRule="atLeast"/>
                <w:jc w:val="center"/>
              </w:trPr>
              <w:tc>
                <w:tcPr>
                  <w:tcW w:w="484" w:type="dxa"/>
                  <w:vMerge w:val="continue"/>
                  <w:vAlign w:val="center"/>
                </w:tcPr>
                <w:p>
                  <w:pPr>
                    <w:widowControl/>
                    <w:adjustRightInd w:val="0"/>
                    <w:snapToGrid w:val="0"/>
                    <w:jc w:val="center"/>
                    <w:rPr>
                      <w:rFonts w:eastAsiaTheme="minorEastAsia"/>
                      <w:color w:val="auto"/>
                      <w:kern w:val="0"/>
                      <w:szCs w:val="21"/>
                    </w:rPr>
                  </w:pPr>
                </w:p>
              </w:tc>
              <w:tc>
                <w:tcPr>
                  <w:tcW w:w="1134" w:type="dxa"/>
                  <w:vAlign w:val="center"/>
                </w:tcPr>
                <w:p>
                  <w:pPr>
                    <w:widowControl/>
                    <w:adjustRightInd w:val="0"/>
                    <w:snapToGrid w:val="0"/>
                    <w:jc w:val="center"/>
                    <w:rPr>
                      <w:rFonts w:eastAsiaTheme="minorEastAsia"/>
                      <w:color w:val="auto"/>
                      <w:szCs w:val="21"/>
                    </w:rPr>
                  </w:pPr>
                  <w:r>
                    <w:rPr>
                      <w:rFonts w:eastAsiaTheme="minorEastAsia"/>
                      <w:color w:val="auto"/>
                      <w:szCs w:val="21"/>
                    </w:rPr>
                    <w:t>噪声</w:t>
                  </w:r>
                </w:p>
              </w:tc>
              <w:tc>
                <w:tcPr>
                  <w:tcW w:w="5670" w:type="dxa"/>
                  <w:vAlign w:val="center"/>
                </w:tcPr>
                <w:p>
                  <w:pPr>
                    <w:widowControl/>
                    <w:adjustRightInd w:val="0"/>
                    <w:snapToGrid w:val="0"/>
                    <w:jc w:val="center"/>
                    <w:rPr>
                      <w:rFonts w:eastAsiaTheme="minorEastAsia"/>
                      <w:color w:val="auto"/>
                      <w:szCs w:val="21"/>
                    </w:rPr>
                  </w:pPr>
                  <w:r>
                    <w:rPr>
                      <w:rFonts w:eastAsiaTheme="minorEastAsia"/>
                      <w:color w:val="auto"/>
                      <w:szCs w:val="21"/>
                    </w:rPr>
                    <w:t>采用隔声、消声、减振等措施</w:t>
                  </w:r>
                </w:p>
              </w:tc>
              <w:tc>
                <w:tcPr>
                  <w:tcW w:w="1335"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4.0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65" w:hRule="atLeast"/>
                <w:jc w:val="center"/>
              </w:trPr>
              <w:tc>
                <w:tcPr>
                  <w:tcW w:w="484" w:type="dxa"/>
                  <w:vMerge w:val="continue"/>
                  <w:vAlign w:val="center"/>
                </w:tcPr>
                <w:p>
                  <w:pPr>
                    <w:widowControl/>
                    <w:jc w:val="center"/>
                    <w:rPr>
                      <w:rFonts w:eastAsiaTheme="minorEastAsia"/>
                      <w:color w:val="auto"/>
                      <w:kern w:val="0"/>
                      <w:szCs w:val="21"/>
                    </w:rPr>
                  </w:pPr>
                </w:p>
              </w:tc>
              <w:tc>
                <w:tcPr>
                  <w:tcW w:w="1134" w:type="dxa"/>
                  <w:vAlign w:val="center"/>
                </w:tcPr>
                <w:p>
                  <w:pPr>
                    <w:adjustRightInd w:val="0"/>
                    <w:snapToGrid w:val="0"/>
                    <w:jc w:val="center"/>
                    <w:rPr>
                      <w:rFonts w:eastAsiaTheme="minorEastAsia"/>
                      <w:color w:val="auto"/>
                      <w:kern w:val="0"/>
                      <w:szCs w:val="21"/>
                    </w:rPr>
                  </w:pPr>
                  <w:r>
                    <w:rPr>
                      <w:rFonts w:eastAsiaTheme="minorEastAsia"/>
                      <w:color w:val="auto"/>
                      <w:kern w:val="0"/>
                      <w:szCs w:val="21"/>
                    </w:rPr>
                    <w:t>固体废物</w:t>
                  </w:r>
                </w:p>
              </w:tc>
              <w:tc>
                <w:tcPr>
                  <w:tcW w:w="5670" w:type="dxa"/>
                  <w:vAlign w:val="center"/>
                </w:tcPr>
                <w:p>
                  <w:pPr>
                    <w:widowControl/>
                    <w:adjustRightInd w:val="0"/>
                    <w:snapToGrid w:val="0"/>
                    <w:jc w:val="center"/>
                    <w:rPr>
                      <w:rFonts w:eastAsiaTheme="minorEastAsia"/>
                      <w:color w:val="auto"/>
                      <w:kern w:val="0"/>
                      <w:szCs w:val="21"/>
                    </w:rPr>
                  </w:pPr>
                  <w:r>
                    <w:rPr>
                      <w:rFonts w:eastAsiaTheme="minorEastAsia"/>
                      <w:color w:val="auto"/>
                      <w:szCs w:val="21"/>
                    </w:rPr>
                    <w:t>污泥采用机械浓缩+板框压滤机工艺</w:t>
                  </w:r>
                </w:p>
              </w:tc>
              <w:tc>
                <w:tcPr>
                  <w:tcW w:w="1335"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4</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65" w:hRule="atLeast"/>
                <w:jc w:val="center"/>
              </w:trPr>
              <w:tc>
                <w:tcPr>
                  <w:tcW w:w="484" w:type="dxa"/>
                  <w:vAlign w:val="center"/>
                </w:tcPr>
                <w:p>
                  <w:pPr>
                    <w:widowControl/>
                    <w:jc w:val="center"/>
                    <w:rPr>
                      <w:rFonts w:eastAsiaTheme="minorEastAsia"/>
                      <w:color w:val="auto"/>
                      <w:kern w:val="0"/>
                      <w:szCs w:val="21"/>
                    </w:rPr>
                  </w:pPr>
                </w:p>
              </w:tc>
              <w:tc>
                <w:tcPr>
                  <w:tcW w:w="1134" w:type="dxa"/>
                  <w:vAlign w:val="bottom"/>
                </w:tcPr>
                <w:p>
                  <w:pPr>
                    <w:widowControl/>
                    <w:adjustRightInd w:val="0"/>
                    <w:snapToGrid w:val="0"/>
                    <w:jc w:val="center"/>
                    <w:rPr>
                      <w:rFonts w:eastAsiaTheme="minorEastAsia"/>
                      <w:color w:val="auto"/>
                      <w:kern w:val="0"/>
                      <w:szCs w:val="21"/>
                    </w:rPr>
                  </w:pPr>
                  <w:r>
                    <w:rPr>
                      <w:rFonts w:eastAsiaTheme="minorEastAsia"/>
                      <w:color w:val="auto"/>
                      <w:kern w:val="0"/>
                      <w:szCs w:val="21"/>
                    </w:rPr>
                    <w:t>绿化</w:t>
                  </w:r>
                </w:p>
              </w:tc>
              <w:tc>
                <w:tcPr>
                  <w:tcW w:w="5670" w:type="dxa"/>
                  <w:vAlign w:val="center"/>
                </w:tcPr>
                <w:p>
                  <w:pPr>
                    <w:widowControl/>
                    <w:adjustRightInd w:val="0"/>
                    <w:snapToGrid w:val="0"/>
                    <w:jc w:val="center"/>
                    <w:rPr>
                      <w:rFonts w:eastAsiaTheme="minorEastAsia"/>
                      <w:color w:val="auto"/>
                      <w:szCs w:val="21"/>
                    </w:rPr>
                  </w:pPr>
                  <w:r>
                    <w:rPr>
                      <w:rFonts w:eastAsiaTheme="minorEastAsia"/>
                      <w:color w:val="auto"/>
                      <w:szCs w:val="21"/>
                    </w:rPr>
                    <w:t>绿化面积358m</w:t>
                  </w:r>
                  <w:r>
                    <w:rPr>
                      <w:rFonts w:eastAsiaTheme="minorEastAsia"/>
                      <w:color w:val="auto"/>
                      <w:szCs w:val="21"/>
                      <w:vertAlign w:val="superscript"/>
                    </w:rPr>
                    <w:t>2</w:t>
                  </w:r>
                </w:p>
              </w:tc>
              <w:tc>
                <w:tcPr>
                  <w:tcW w:w="1335"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2.69</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1618" w:type="dxa"/>
                  <w:gridSpan w:val="2"/>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合计</w:t>
                  </w:r>
                </w:p>
              </w:tc>
              <w:tc>
                <w:tcPr>
                  <w:tcW w:w="5670"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w:t>
                  </w:r>
                </w:p>
              </w:tc>
              <w:tc>
                <w:tcPr>
                  <w:tcW w:w="1335" w:type="dxa"/>
                  <w:vAlign w:val="center"/>
                </w:tcPr>
                <w:p>
                  <w:pPr>
                    <w:widowControl/>
                    <w:adjustRightInd w:val="0"/>
                    <w:snapToGrid w:val="0"/>
                    <w:jc w:val="center"/>
                    <w:rPr>
                      <w:rFonts w:eastAsiaTheme="minorEastAsia"/>
                      <w:color w:val="auto"/>
                      <w:kern w:val="0"/>
                      <w:szCs w:val="21"/>
                    </w:rPr>
                  </w:pPr>
                  <w:r>
                    <w:rPr>
                      <w:rFonts w:eastAsiaTheme="minorEastAsia"/>
                      <w:color w:val="auto"/>
                      <w:kern w:val="0"/>
                      <w:szCs w:val="21"/>
                    </w:rPr>
                    <w:t>114.5</w:t>
                  </w:r>
                </w:p>
              </w:tc>
            </w:tr>
          </w:tbl>
          <w:p>
            <w:pPr>
              <w:widowControl/>
              <w:adjustRightInd w:val="0"/>
              <w:snapToGrid w:val="0"/>
              <w:ind w:firstLine="482" w:firstLineChars="200"/>
              <w:rPr>
                <w:rFonts w:eastAsiaTheme="minorEastAsia"/>
                <w:color w:val="auto"/>
                <w:sz w:val="24"/>
              </w:rPr>
            </w:pPr>
            <w:r>
              <w:rPr>
                <w:rFonts w:eastAsiaTheme="minorEastAsia"/>
                <w:b/>
                <w:color w:val="auto"/>
                <w:sz w:val="24"/>
              </w:rPr>
              <w:t>3、社会效益分析</w:t>
            </w:r>
          </w:p>
          <w:p>
            <w:pPr>
              <w:widowControl/>
              <w:spacing w:line="360" w:lineRule="auto"/>
              <w:ind w:firstLine="480" w:firstLineChars="200"/>
              <w:rPr>
                <w:rFonts w:eastAsiaTheme="minorEastAsia"/>
                <w:color w:val="auto"/>
                <w:sz w:val="24"/>
              </w:rPr>
            </w:pPr>
            <w:r>
              <w:rPr>
                <w:rFonts w:eastAsiaTheme="minorEastAsia"/>
                <w:color w:val="auto"/>
                <w:sz w:val="24"/>
              </w:rPr>
              <w:t>本项目是一项保护环境的公用事业工程，是社会效益、环境效益大于经济效益的建设项目。项目的建设不仅可以改善宁县金村乡环境质量、提高居民生活水平与身体健康水平，而且可以改善宁县金村乡投资环境，促进经济效益、社会效益、环境效益同步发展，对宁县金村乡的可持续发展有着重要意义。本项目的实施将带动宁县金村乡基础设施的改造与建设，为建设清洁卫生、环境优美的城市创造了条件，环境水质的改善为人民提供了一个良好的工作、生活娱乐环境，提高了公众对政府的信任和金村乡的形象，推动了宁县金村乡的建设与发展，产生了极为良好的社会效益。</w:t>
            </w:r>
          </w:p>
        </w:tc>
      </w:tr>
    </w:tbl>
    <w:p>
      <w:pPr>
        <w:adjustRightInd w:val="0"/>
        <w:snapToGrid w:val="0"/>
        <w:rPr>
          <w:rFonts w:eastAsiaTheme="minorEastAsia"/>
          <w:b/>
          <w:color w:val="auto"/>
          <w:sz w:val="28"/>
          <w:szCs w:val="28"/>
        </w:rPr>
      </w:pPr>
      <w:r>
        <w:rPr>
          <w:rFonts w:eastAsiaTheme="minorEastAsia"/>
          <w:b/>
          <w:color w:val="auto"/>
          <w:sz w:val="28"/>
          <w:szCs w:val="28"/>
        </w:rPr>
        <w:t>环境管理与监控</w:t>
      </w:r>
    </w:p>
    <w:tbl>
      <w:tblPr>
        <w:tblStyle w:val="38"/>
        <w:tblW w:w="8789"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78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282" w:hRule="atLeast"/>
        </w:trPr>
        <w:tc>
          <w:tcPr>
            <w:tcW w:w="8789" w:type="dxa"/>
          </w:tcPr>
          <w:p>
            <w:pPr>
              <w:spacing w:line="360" w:lineRule="auto"/>
              <w:ind w:firstLine="472" w:firstLineChars="196"/>
              <w:rPr>
                <w:rFonts w:eastAsiaTheme="minorEastAsia"/>
                <w:b/>
                <w:color w:val="auto"/>
                <w:sz w:val="24"/>
              </w:rPr>
            </w:pPr>
            <w:r>
              <w:rPr>
                <w:rFonts w:eastAsiaTheme="minorEastAsia"/>
                <w:b/>
                <w:color w:val="auto"/>
                <w:sz w:val="24"/>
              </w:rPr>
              <w:t>1、环境管理</w:t>
            </w:r>
          </w:p>
          <w:p>
            <w:pPr>
              <w:spacing w:line="360" w:lineRule="auto"/>
              <w:ind w:firstLine="482" w:firstLineChars="200"/>
              <w:rPr>
                <w:rFonts w:eastAsiaTheme="minorEastAsia"/>
                <w:b/>
                <w:color w:val="auto"/>
                <w:sz w:val="24"/>
              </w:rPr>
            </w:pPr>
            <w:r>
              <w:rPr>
                <w:rFonts w:eastAsiaTheme="minorEastAsia"/>
                <w:b/>
                <w:color w:val="auto"/>
                <w:sz w:val="24"/>
              </w:rPr>
              <w:t>1.1管理机构设置目的</w:t>
            </w:r>
          </w:p>
          <w:p>
            <w:pPr>
              <w:spacing w:line="360" w:lineRule="auto"/>
              <w:ind w:firstLine="480" w:firstLineChars="200"/>
              <w:rPr>
                <w:rFonts w:eastAsiaTheme="minorEastAsia"/>
                <w:color w:val="auto"/>
                <w:sz w:val="24"/>
              </w:rPr>
            </w:pPr>
            <w:r>
              <w:rPr>
                <w:rFonts w:eastAsiaTheme="minorEastAsia"/>
                <w:color w:val="auto"/>
                <w:sz w:val="24"/>
              </w:rPr>
              <w:t>设置环境管理机构是为了贯彻执行中华人民共和国环境保护部的有关法律法规，对本项目“三废”实行监控，确保建设项目经济、环境和社会效益协调发展；协调当地环保部门工作，为企业的生产管理和环境管理提供科学依据，针对建设项目的具体情况，加强管理，企业应设置环境管理机构，尽相应的职责。</w:t>
            </w:r>
          </w:p>
          <w:p>
            <w:pPr>
              <w:spacing w:line="360" w:lineRule="auto"/>
              <w:ind w:firstLine="482" w:firstLineChars="200"/>
              <w:rPr>
                <w:rFonts w:eastAsiaTheme="minorEastAsia"/>
                <w:b/>
                <w:color w:val="auto"/>
                <w:sz w:val="24"/>
              </w:rPr>
            </w:pPr>
            <w:r>
              <w:rPr>
                <w:rFonts w:eastAsiaTheme="minorEastAsia"/>
                <w:b/>
                <w:color w:val="auto"/>
                <w:sz w:val="24"/>
              </w:rPr>
              <w:t>1.2机构组成</w:t>
            </w:r>
          </w:p>
          <w:p>
            <w:pPr>
              <w:spacing w:line="360" w:lineRule="auto"/>
              <w:ind w:firstLine="480" w:firstLineChars="200"/>
              <w:rPr>
                <w:rFonts w:eastAsiaTheme="minorEastAsia"/>
                <w:color w:val="auto"/>
              </w:rPr>
            </w:pPr>
            <w:r>
              <w:rPr>
                <w:rFonts w:eastAsiaTheme="minorEastAsia"/>
                <w:color w:val="auto"/>
                <w:sz w:val="24"/>
              </w:rPr>
              <w:t>污水处理站现已任命一位行使环境管理职能的负责人担任管理者代表，主管环境保护工作；在科室设置中设立了环保管理科室，负责全厂环境管理、“三废”排放的监控和环保设施运转状况的监控。</w:t>
            </w:r>
          </w:p>
          <w:p>
            <w:pPr>
              <w:spacing w:line="360" w:lineRule="auto"/>
              <w:ind w:firstLine="482" w:firstLineChars="200"/>
              <w:rPr>
                <w:rFonts w:eastAsiaTheme="minorEastAsia"/>
                <w:b/>
                <w:color w:val="auto"/>
                <w:sz w:val="24"/>
              </w:rPr>
            </w:pPr>
            <w:r>
              <w:rPr>
                <w:rFonts w:eastAsiaTheme="minorEastAsia"/>
                <w:b/>
                <w:color w:val="auto"/>
                <w:sz w:val="24"/>
              </w:rPr>
              <w:t>1.3机构职责</w:t>
            </w:r>
          </w:p>
          <w:p>
            <w:pPr>
              <w:autoSpaceDE w:val="0"/>
              <w:autoSpaceDN w:val="0"/>
              <w:adjustRightInd w:val="0"/>
              <w:spacing w:line="360" w:lineRule="auto"/>
              <w:ind w:firstLine="480" w:firstLineChars="200"/>
              <w:jc w:val="left"/>
              <w:rPr>
                <w:rFonts w:eastAsiaTheme="minorEastAsia"/>
                <w:color w:val="auto"/>
              </w:rPr>
            </w:pPr>
            <w:r>
              <w:rPr>
                <w:rFonts w:eastAsiaTheme="minorEastAsia"/>
                <w:color w:val="auto"/>
                <w:sz w:val="24"/>
              </w:rPr>
              <w:t>管理者代表的职责是：贯彻执行国家相关的法律法规，确保建立、实施与保持环境管理体系要求；向上级主管部门汇报环境管理体系的运行情况以供评审，并为环境管理体系的改进提供依据。全体工人应以对环境负责的态度和方式从事自己的工作，并在各自的岗位上承担有关环境责任。</w:t>
            </w:r>
            <w:r>
              <w:rPr>
                <w:rFonts w:eastAsiaTheme="minorEastAsia"/>
                <w:color w:val="auto"/>
                <w:kern w:val="0"/>
                <w:sz w:val="24"/>
              </w:rPr>
              <w:t>具体的主要职能为：</w:t>
            </w:r>
          </w:p>
          <w:p>
            <w:pPr>
              <w:autoSpaceDE w:val="0"/>
              <w:autoSpaceDN w:val="0"/>
              <w:adjustRightInd w:val="0"/>
              <w:spacing w:line="360" w:lineRule="auto"/>
              <w:ind w:firstLine="480" w:firstLineChars="200"/>
              <w:jc w:val="left"/>
              <w:rPr>
                <w:rFonts w:eastAsiaTheme="minorEastAsia"/>
                <w:color w:val="auto"/>
                <w:kern w:val="0"/>
                <w:sz w:val="24"/>
              </w:rPr>
            </w:pPr>
            <w:r>
              <w:rPr>
                <w:rFonts w:hint="eastAsia" w:ascii="宋体" w:hAnsi="宋体" w:cs="宋体"/>
                <w:color w:val="auto"/>
                <w:kern w:val="0"/>
                <w:sz w:val="24"/>
              </w:rPr>
              <w:t>⑴</w:t>
            </w:r>
            <w:r>
              <w:rPr>
                <w:rFonts w:eastAsiaTheme="minorEastAsia"/>
                <w:color w:val="auto"/>
                <w:kern w:val="0"/>
                <w:sz w:val="24"/>
              </w:rPr>
              <w:t>应承诺遵守国家及地方的有关环保方针、政策法令和条例，搞好环境教育和技术培训，提高职工的环保意识和技术水平，提高污染控制的责任心；</w:t>
            </w:r>
          </w:p>
          <w:p>
            <w:pPr>
              <w:autoSpaceDE w:val="0"/>
              <w:autoSpaceDN w:val="0"/>
              <w:adjustRightInd w:val="0"/>
              <w:spacing w:line="360" w:lineRule="auto"/>
              <w:ind w:firstLine="480" w:firstLineChars="200"/>
              <w:jc w:val="left"/>
              <w:rPr>
                <w:rFonts w:eastAsiaTheme="minorEastAsia"/>
                <w:color w:val="auto"/>
                <w:kern w:val="0"/>
                <w:sz w:val="24"/>
              </w:rPr>
            </w:pPr>
            <w:r>
              <w:rPr>
                <w:rFonts w:hint="eastAsia" w:ascii="宋体" w:hAnsi="宋体" w:cs="宋体"/>
                <w:color w:val="auto"/>
                <w:kern w:val="0"/>
                <w:sz w:val="24"/>
              </w:rPr>
              <w:t>⑵</w:t>
            </w:r>
            <w:r>
              <w:rPr>
                <w:rFonts w:eastAsiaTheme="minorEastAsia"/>
                <w:color w:val="auto"/>
                <w:kern w:val="0"/>
                <w:sz w:val="24"/>
              </w:rPr>
              <w:t>应根据当地的环境保护目标，制定并实施环境保护工作的长期规划及年度污染治计划；定期检查环保设施运行状况及对设备维修与管理，严格控制</w:t>
            </w:r>
            <w:r>
              <w:rPr>
                <w:rFonts w:eastAsiaTheme="minorEastAsia"/>
                <w:color w:val="auto"/>
                <w:sz w:val="24"/>
              </w:rPr>
              <w:t>“三废”</w:t>
            </w:r>
            <w:r>
              <w:rPr>
                <w:rFonts w:eastAsiaTheme="minorEastAsia"/>
                <w:color w:val="auto"/>
                <w:kern w:val="0"/>
                <w:sz w:val="24"/>
              </w:rPr>
              <w:t>和噪声的排放；</w:t>
            </w:r>
          </w:p>
          <w:p>
            <w:pPr>
              <w:autoSpaceDE w:val="0"/>
              <w:autoSpaceDN w:val="0"/>
              <w:adjustRightInd w:val="0"/>
              <w:spacing w:line="360" w:lineRule="auto"/>
              <w:ind w:firstLine="480" w:firstLineChars="200"/>
              <w:jc w:val="left"/>
              <w:rPr>
                <w:rFonts w:eastAsiaTheme="minorEastAsia"/>
                <w:color w:val="auto"/>
                <w:kern w:val="0"/>
                <w:sz w:val="24"/>
              </w:rPr>
            </w:pPr>
            <w:r>
              <w:rPr>
                <w:rFonts w:hint="eastAsia" w:ascii="宋体" w:hAnsi="宋体" w:cs="宋体"/>
                <w:color w:val="auto"/>
                <w:kern w:val="0"/>
                <w:sz w:val="24"/>
              </w:rPr>
              <w:t>⑶</w:t>
            </w:r>
            <w:r>
              <w:rPr>
                <w:rFonts w:eastAsiaTheme="minorEastAsia"/>
                <w:color w:val="auto"/>
                <w:kern w:val="0"/>
                <w:sz w:val="24"/>
              </w:rPr>
              <w:t>建立污水处理水质、水量制度，按环境监测部门的要求，制定各项化（检）验技术规程，按规定每天对污水进、出水质进行监测，保证处理效果达到要求；</w:t>
            </w:r>
          </w:p>
          <w:p>
            <w:pPr>
              <w:autoSpaceDE w:val="0"/>
              <w:autoSpaceDN w:val="0"/>
              <w:adjustRightInd w:val="0"/>
              <w:spacing w:line="360" w:lineRule="auto"/>
              <w:ind w:firstLine="480" w:firstLineChars="200"/>
              <w:jc w:val="left"/>
              <w:rPr>
                <w:rFonts w:eastAsiaTheme="minorEastAsia"/>
                <w:color w:val="auto"/>
                <w:kern w:val="0"/>
                <w:sz w:val="24"/>
              </w:rPr>
            </w:pPr>
            <w:r>
              <w:rPr>
                <w:rFonts w:hint="eastAsia" w:ascii="宋体" w:hAnsi="宋体" w:cs="宋体"/>
                <w:color w:val="auto"/>
                <w:kern w:val="0"/>
                <w:sz w:val="24"/>
              </w:rPr>
              <w:t>⑷</w:t>
            </w:r>
            <w:r>
              <w:rPr>
                <w:rFonts w:eastAsiaTheme="minorEastAsia"/>
                <w:color w:val="auto"/>
                <w:kern w:val="0"/>
                <w:sz w:val="24"/>
              </w:rPr>
              <w:t>建立资料库，管理污染源监测数据及资料的收集与存档；负责整理编制污水处理厂内部环境状况报告并提供给管理层。</w:t>
            </w:r>
          </w:p>
          <w:p>
            <w:pPr>
              <w:autoSpaceDE w:val="0"/>
              <w:autoSpaceDN w:val="0"/>
              <w:adjustRightInd w:val="0"/>
              <w:spacing w:line="360" w:lineRule="auto"/>
              <w:ind w:firstLine="480" w:firstLineChars="200"/>
              <w:jc w:val="left"/>
              <w:rPr>
                <w:rFonts w:eastAsiaTheme="minorEastAsia"/>
                <w:color w:val="auto"/>
                <w:kern w:val="0"/>
                <w:sz w:val="24"/>
              </w:rPr>
            </w:pPr>
            <w:r>
              <w:rPr>
                <w:rFonts w:hint="eastAsia" w:ascii="宋体" w:hAnsi="宋体" w:cs="宋体"/>
                <w:color w:val="auto"/>
                <w:kern w:val="0"/>
                <w:sz w:val="24"/>
              </w:rPr>
              <w:t>⑸</w:t>
            </w:r>
            <w:r>
              <w:rPr>
                <w:rFonts w:eastAsiaTheme="minorEastAsia"/>
                <w:color w:val="auto"/>
                <w:kern w:val="0"/>
                <w:sz w:val="24"/>
              </w:rPr>
              <w:t>有关污染防治、消防、安全以及劳动保护的必须严格落实“三同时”，环保处应参与有关方案的审定及相关的竣工验收。</w:t>
            </w:r>
          </w:p>
          <w:p>
            <w:pPr>
              <w:autoSpaceDE w:val="0"/>
              <w:autoSpaceDN w:val="0"/>
              <w:adjustRightInd w:val="0"/>
              <w:spacing w:line="360" w:lineRule="auto"/>
              <w:ind w:firstLine="480" w:firstLineChars="200"/>
              <w:jc w:val="left"/>
              <w:rPr>
                <w:rFonts w:eastAsiaTheme="minorEastAsia"/>
                <w:color w:val="auto"/>
                <w:kern w:val="0"/>
                <w:sz w:val="24"/>
              </w:rPr>
            </w:pPr>
            <w:r>
              <w:rPr>
                <w:rFonts w:hint="eastAsia" w:ascii="宋体" w:hAnsi="宋体" w:cs="宋体"/>
                <w:color w:val="auto"/>
                <w:kern w:val="0"/>
                <w:sz w:val="24"/>
              </w:rPr>
              <w:t>⑹</w:t>
            </w:r>
            <w:r>
              <w:rPr>
                <w:rFonts w:eastAsiaTheme="minorEastAsia"/>
                <w:color w:val="auto"/>
                <w:kern w:val="0"/>
                <w:sz w:val="24"/>
              </w:rPr>
              <w:t>加强对污染防治设施的监督管理，安排专人负责设施的具体运作，确保设施正常运行，保证污染物达标排放。</w:t>
            </w:r>
          </w:p>
          <w:p>
            <w:pPr>
              <w:autoSpaceDE w:val="0"/>
              <w:autoSpaceDN w:val="0"/>
              <w:adjustRightInd w:val="0"/>
              <w:spacing w:line="360" w:lineRule="auto"/>
              <w:ind w:firstLine="480" w:firstLineChars="200"/>
              <w:jc w:val="left"/>
              <w:rPr>
                <w:rFonts w:eastAsiaTheme="minorEastAsia"/>
                <w:color w:val="auto"/>
                <w:kern w:val="0"/>
                <w:sz w:val="24"/>
              </w:rPr>
            </w:pPr>
            <w:r>
              <w:rPr>
                <w:rFonts w:hint="eastAsia" w:ascii="宋体" w:hAnsi="宋体" w:cs="宋体"/>
                <w:color w:val="auto"/>
                <w:kern w:val="0"/>
                <w:sz w:val="24"/>
              </w:rPr>
              <w:t>⑺</w:t>
            </w:r>
            <w:r>
              <w:rPr>
                <w:rFonts w:eastAsiaTheme="minorEastAsia"/>
                <w:color w:val="auto"/>
                <w:kern w:val="0"/>
                <w:sz w:val="24"/>
              </w:rPr>
              <w:t>防范风险事故发生，协助环境保护行政主管部门、企业内的应急反应中心或生产安全部门处理各种事故。</w:t>
            </w:r>
          </w:p>
          <w:p>
            <w:pPr>
              <w:autoSpaceDE w:val="0"/>
              <w:autoSpaceDN w:val="0"/>
              <w:adjustRightInd w:val="0"/>
              <w:spacing w:line="360" w:lineRule="auto"/>
              <w:ind w:firstLine="482" w:firstLineChars="200"/>
              <w:jc w:val="left"/>
              <w:rPr>
                <w:rFonts w:eastAsiaTheme="minorEastAsia"/>
                <w:b/>
                <w:color w:val="auto"/>
                <w:kern w:val="0"/>
                <w:sz w:val="24"/>
              </w:rPr>
            </w:pPr>
            <w:r>
              <w:rPr>
                <w:rFonts w:eastAsiaTheme="minorEastAsia"/>
                <w:b/>
                <w:color w:val="auto"/>
                <w:kern w:val="0"/>
                <w:sz w:val="24"/>
              </w:rPr>
              <w:t>1.4 环境管理目标</w:t>
            </w:r>
          </w:p>
          <w:p>
            <w:pPr>
              <w:adjustRightInd w:val="0"/>
              <w:snapToGrid w:val="0"/>
              <w:spacing w:line="360" w:lineRule="auto"/>
              <w:ind w:firstLine="480" w:firstLineChars="200"/>
              <w:rPr>
                <w:rFonts w:eastAsiaTheme="minorEastAsia"/>
                <w:color w:val="auto"/>
                <w:kern w:val="0"/>
                <w:sz w:val="24"/>
              </w:rPr>
            </w:pPr>
            <w:r>
              <w:rPr>
                <w:rFonts w:eastAsiaTheme="minorEastAsia"/>
                <w:color w:val="auto"/>
                <w:kern w:val="0"/>
                <w:sz w:val="24"/>
              </w:rPr>
              <w:t>环境管理目标应达到国家规定的水、气、声等排放标准，确保环境管理的持续改进。</w:t>
            </w:r>
          </w:p>
          <w:p>
            <w:pPr>
              <w:adjustRightInd w:val="0"/>
              <w:snapToGrid w:val="0"/>
              <w:spacing w:line="360" w:lineRule="auto"/>
              <w:ind w:firstLine="480" w:firstLineChars="200"/>
              <w:rPr>
                <w:rFonts w:eastAsiaTheme="minorEastAsia"/>
                <w:color w:val="auto"/>
                <w:kern w:val="0"/>
                <w:sz w:val="24"/>
              </w:rPr>
            </w:pPr>
            <w:r>
              <w:rPr>
                <w:rFonts w:hint="eastAsia" w:ascii="宋体" w:hAnsi="宋体" w:cs="宋体"/>
                <w:color w:val="auto"/>
                <w:kern w:val="0"/>
                <w:sz w:val="24"/>
              </w:rPr>
              <w:t>⑴</w:t>
            </w:r>
            <w:r>
              <w:rPr>
                <w:rFonts w:eastAsiaTheme="minorEastAsia"/>
                <w:color w:val="auto"/>
                <w:kern w:val="0"/>
                <w:sz w:val="24"/>
              </w:rPr>
              <w:t>污水处理厂处理后尾水达到《城镇污水处理厂污染物排放标准》（GB18918-2002）及修改单水污染物一级A标准；</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kern w:val="0"/>
                <w:sz w:val="24"/>
              </w:rPr>
              <w:t>⑵</w:t>
            </w:r>
            <w:r>
              <w:rPr>
                <w:rFonts w:eastAsiaTheme="minorEastAsia"/>
                <w:color w:val="auto"/>
                <w:kern w:val="0"/>
                <w:sz w:val="24"/>
              </w:rPr>
              <w:t>恶臭气体污染物无组织排放执行《城镇污水处理厂污染物排放标准（GB18918-2002）及修改单厂界废气排放二级标准要求，有组织排放执行</w:t>
            </w:r>
            <w:r>
              <w:rPr>
                <w:rFonts w:eastAsiaTheme="minorEastAsia"/>
                <w:color w:val="auto"/>
                <w:sz w:val="24"/>
              </w:rPr>
              <w:t>《恶臭污染物排放标准》（GB14554-93）中的相应标准；</w:t>
            </w:r>
          </w:p>
          <w:p>
            <w:pPr>
              <w:adjustRightInd w:val="0"/>
              <w:snapToGrid w:val="0"/>
              <w:spacing w:line="360" w:lineRule="auto"/>
              <w:ind w:firstLine="480" w:firstLineChars="200"/>
              <w:rPr>
                <w:rFonts w:eastAsiaTheme="minorEastAsia"/>
                <w:color w:val="auto"/>
                <w:kern w:val="0"/>
                <w:sz w:val="24"/>
              </w:rPr>
            </w:pPr>
            <w:r>
              <w:rPr>
                <w:rFonts w:hint="eastAsia" w:ascii="宋体" w:hAnsi="宋体" w:cs="宋体"/>
                <w:color w:val="auto"/>
                <w:kern w:val="0"/>
                <w:sz w:val="24"/>
              </w:rPr>
              <w:t>⑶</w:t>
            </w:r>
            <w:r>
              <w:rPr>
                <w:rFonts w:eastAsiaTheme="minorEastAsia"/>
                <w:color w:val="auto"/>
                <w:kern w:val="0"/>
                <w:sz w:val="24"/>
              </w:rPr>
              <w:t>厂界噪声执行《工业企业厂界环境噪声排放标准》（GB12348-2008）2类标准。</w:t>
            </w:r>
          </w:p>
          <w:p>
            <w:pPr>
              <w:spacing w:line="360" w:lineRule="auto"/>
              <w:ind w:firstLine="472" w:firstLineChars="196"/>
              <w:rPr>
                <w:rFonts w:eastAsiaTheme="minorEastAsia"/>
                <w:b/>
                <w:color w:val="auto"/>
                <w:sz w:val="24"/>
              </w:rPr>
            </w:pPr>
            <w:r>
              <w:rPr>
                <w:rFonts w:eastAsiaTheme="minorEastAsia"/>
                <w:b/>
                <w:color w:val="auto"/>
                <w:sz w:val="24"/>
              </w:rPr>
              <w:t>2、环境监控</w:t>
            </w:r>
          </w:p>
          <w:p>
            <w:pPr>
              <w:autoSpaceDE w:val="0"/>
              <w:autoSpaceDN w:val="0"/>
              <w:adjustRightInd w:val="0"/>
              <w:spacing w:line="360" w:lineRule="auto"/>
              <w:ind w:firstLine="488" w:firstLineChars="200"/>
              <w:jc w:val="left"/>
              <w:rPr>
                <w:rFonts w:eastAsiaTheme="minorEastAsia"/>
                <w:color w:val="auto"/>
                <w:kern w:val="0"/>
                <w:sz w:val="24"/>
              </w:rPr>
            </w:pPr>
            <w:r>
              <w:rPr>
                <w:rFonts w:eastAsiaTheme="minorEastAsia"/>
                <w:color w:val="auto"/>
                <w:spacing w:val="2"/>
                <w:kern w:val="0"/>
                <w:sz w:val="24"/>
              </w:rPr>
              <w:t>环境监控计划是指项</w:t>
            </w:r>
            <w:r>
              <w:rPr>
                <w:rFonts w:eastAsiaTheme="minorEastAsia"/>
                <w:color w:val="auto"/>
                <w:spacing w:val="1"/>
                <w:kern w:val="0"/>
                <w:sz w:val="24"/>
              </w:rPr>
              <w:t>目在施工期、运行期对工程的主要污染因子进行环境样品监测化验、</w:t>
            </w:r>
            <w:r>
              <w:rPr>
                <w:rFonts w:eastAsiaTheme="minorEastAsia"/>
                <w:color w:val="auto"/>
                <w:kern w:val="0"/>
                <w:sz w:val="24"/>
              </w:rPr>
              <w:t>数据处理以及编制监测报告</w:t>
            </w:r>
            <w:r>
              <w:rPr>
                <w:rFonts w:eastAsiaTheme="minorEastAsia"/>
                <w:color w:val="auto"/>
                <w:spacing w:val="-34"/>
                <w:kern w:val="0"/>
                <w:sz w:val="24"/>
              </w:rPr>
              <w:t>，</w:t>
            </w:r>
            <w:r>
              <w:rPr>
                <w:rFonts w:eastAsiaTheme="minorEastAsia"/>
                <w:color w:val="auto"/>
                <w:kern w:val="0"/>
                <w:sz w:val="24"/>
              </w:rPr>
              <w:t>为环境管理部门强化环境管理</w:t>
            </w:r>
            <w:r>
              <w:rPr>
                <w:rFonts w:eastAsiaTheme="minorEastAsia"/>
                <w:color w:val="auto"/>
                <w:spacing w:val="-34"/>
                <w:kern w:val="0"/>
                <w:sz w:val="24"/>
              </w:rPr>
              <w:t>、</w:t>
            </w:r>
            <w:r>
              <w:rPr>
                <w:rFonts w:eastAsiaTheme="minorEastAsia"/>
                <w:color w:val="auto"/>
                <w:kern w:val="0"/>
                <w:sz w:val="24"/>
              </w:rPr>
              <w:t>编制环保计划</w:t>
            </w:r>
            <w:r>
              <w:rPr>
                <w:rFonts w:eastAsiaTheme="minorEastAsia"/>
                <w:color w:val="auto"/>
                <w:spacing w:val="-34"/>
                <w:kern w:val="0"/>
                <w:sz w:val="24"/>
              </w:rPr>
              <w:t>、</w:t>
            </w:r>
            <w:r>
              <w:rPr>
                <w:rFonts w:eastAsiaTheme="minorEastAsia"/>
                <w:color w:val="auto"/>
                <w:kern w:val="0"/>
                <w:sz w:val="24"/>
              </w:rPr>
              <w:t>制定污染防治对策等提供科学依据。</w:t>
            </w:r>
          </w:p>
          <w:p>
            <w:pPr>
              <w:autoSpaceDE w:val="0"/>
              <w:autoSpaceDN w:val="0"/>
              <w:adjustRightInd w:val="0"/>
              <w:spacing w:line="360" w:lineRule="auto"/>
              <w:ind w:firstLine="482" w:firstLineChars="200"/>
              <w:jc w:val="left"/>
              <w:rPr>
                <w:rFonts w:eastAsiaTheme="minorEastAsia"/>
                <w:b/>
                <w:color w:val="auto"/>
                <w:kern w:val="0"/>
                <w:sz w:val="24"/>
              </w:rPr>
            </w:pPr>
            <w:r>
              <w:rPr>
                <w:rFonts w:eastAsiaTheme="minorEastAsia"/>
                <w:b/>
                <w:color w:val="auto"/>
                <w:kern w:val="0"/>
                <w:sz w:val="24"/>
              </w:rPr>
              <w:t>2.1监控任务</w:t>
            </w:r>
          </w:p>
          <w:p>
            <w:pPr>
              <w:autoSpaceDE w:val="0"/>
              <w:autoSpaceDN w:val="0"/>
              <w:adjustRightInd w:val="0"/>
              <w:spacing w:line="360" w:lineRule="auto"/>
              <w:ind w:firstLine="480" w:firstLineChars="200"/>
              <w:jc w:val="left"/>
              <w:rPr>
                <w:rFonts w:eastAsiaTheme="minorEastAsia"/>
                <w:color w:val="auto"/>
                <w:kern w:val="0"/>
                <w:sz w:val="24"/>
              </w:rPr>
            </w:pPr>
            <w:r>
              <w:rPr>
                <w:rFonts w:eastAsiaTheme="minorEastAsia"/>
                <w:color w:val="auto"/>
                <w:kern w:val="0"/>
                <w:sz w:val="24"/>
              </w:rPr>
              <w:t>本工程环境监控任务主要为：</w:t>
            </w:r>
          </w:p>
          <w:p>
            <w:pPr>
              <w:autoSpaceDE w:val="0"/>
              <w:autoSpaceDN w:val="0"/>
              <w:adjustRightInd w:val="0"/>
              <w:spacing w:line="360" w:lineRule="auto"/>
              <w:ind w:firstLine="480" w:firstLineChars="200"/>
              <w:jc w:val="left"/>
              <w:rPr>
                <w:rFonts w:eastAsiaTheme="minorEastAsia"/>
                <w:color w:val="auto"/>
                <w:kern w:val="0"/>
                <w:sz w:val="24"/>
              </w:rPr>
            </w:pPr>
            <w:r>
              <w:rPr>
                <w:rFonts w:hint="eastAsia" w:ascii="宋体" w:hAnsi="宋体" w:cs="宋体"/>
                <w:color w:val="auto"/>
                <w:kern w:val="0"/>
                <w:sz w:val="24"/>
              </w:rPr>
              <w:t>⑴</w:t>
            </w:r>
            <w:r>
              <w:rPr>
                <w:rFonts w:eastAsiaTheme="minorEastAsia"/>
                <w:color w:val="auto"/>
                <w:kern w:val="0"/>
                <w:sz w:val="24"/>
              </w:rPr>
              <w:t>依据国家颁发的环境质量标准、污染物排放标准及地方环保主管部门的要求，制订本厂的监测计划和工作方案，建立健全各项规章制度；</w:t>
            </w:r>
          </w:p>
          <w:p>
            <w:pPr>
              <w:autoSpaceDE w:val="0"/>
              <w:autoSpaceDN w:val="0"/>
              <w:adjustRightInd w:val="0"/>
              <w:spacing w:line="360" w:lineRule="auto"/>
              <w:ind w:firstLine="480" w:firstLineChars="200"/>
              <w:jc w:val="left"/>
              <w:rPr>
                <w:rFonts w:eastAsiaTheme="minorEastAsia"/>
                <w:color w:val="auto"/>
                <w:kern w:val="0"/>
                <w:sz w:val="24"/>
              </w:rPr>
            </w:pPr>
            <w:r>
              <w:rPr>
                <w:rFonts w:hint="eastAsia" w:ascii="宋体" w:hAnsi="宋体" w:cs="宋体"/>
                <w:color w:val="auto"/>
                <w:kern w:val="0"/>
                <w:sz w:val="24"/>
              </w:rPr>
              <w:t>⑵</w:t>
            </w:r>
            <w:r>
              <w:rPr>
                <w:rFonts w:eastAsiaTheme="minorEastAsia"/>
                <w:color w:val="auto"/>
                <w:kern w:val="0"/>
                <w:sz w:val="24"/>
              </w:rPr>
              <w:t>根据监测计划预定的监测任务，进行监测，及时整理数据，建立污染源监测档案。并将监测结果和环境考核指标及时上报上级有关部门；</w:t>
            </w:r>
          </w:p>
          <w:p>
            <w:pPr>
              <w:autoSpaceDE w:val="0"/>
              <w:autoSpaceDN w:val="0"/>
              <w:adjustRightInd w:val="0"/>
              <w:spacing w:line="360" w:lineRule="auto"/>
              <w:ind w:firstLine="480" w:firstLineChars="200"/>
              <w:jc w:val="left"/>
              <w:rPr>
                <w:rFonts w:eastAsiaTheme="minorEastAsia"/>
                <w:color w:val="auto"/>
                <w:kern w:val="0"/>
                <w:sz w:val="24"/>
              </w:rPr>
            </w:pPr>
            <w:r>
              <w:rPr>
                <w:rFonts w:hint="eastAsia" w:ascii="宋体" w:hAnsi="宋体" w:cs="宋体"/>
                <w:color w:val="auto"/>
                <w:kern w:val="0"/>
                <w:sz w:val="24"/>
              </w:rPr>
              <w:t>⑶</w:t>
            </w:r>
            <w:r>
              <w:rPr>
                <w:rFonts w:eastAsiaTheme="minorEastAsia"/>
                <w:color w:val="auto"/>
                <w:kern w:val="0"/>
                <w:sz w:val="24"/>
              </w:rPr>
              <w:t>对厂区及周围环境质量进行定期监测，通过对监测结果的综合分析，预测污染发展趋势，防止污染事故的发生，如出现异常情况及时反馈到有关部门，以便采取应急措施；</w:t>
            </w:r>
          </w:p>
          <w:p>
            <w:pPr>
              <w:autoSpaceDE w:val="0"/>
              <w:autoSpaceDN w:val="0"/>
              <w:adjustRightInd w:val="0"/>
              <w:spacing w:line="360" w:lineRule="auto"/>
              <w:ind w:firstLine="480" w:firstLineChars="200"/>
              <w:jc w:val="left"/>
              <w:rPr>
                <w:rFonts w:eastAsiaTheme="minorEastAsia"/>
                <w:color w:val="auto"/>
                <w:kern w:val="0"/>
                <w:sz w:val="24"/>
              </w:rPr>
            </w:pPr>
            <w:r>
              <w:rPr>
                <w:rFonts w:hint="eastAsia" w:ascii="宋体" w:hAnsi="宋体" w:cs="宋体"/>
                <w:color w:val="auto"/>
                <w:kern w:val="0"/>
                <w:sz w:val="24"/>
              </w:rPr>
              <w:t>⑷</w:t>
            </w:r>
            <w:r>
              <w:rPr>
                <w:rFonts w:eastAsiaTheme="minorEastAsia"/>
                <w:color w:val="auto"/>
                <w:kern w:val="0"/>
                <w:sz w:val="24"/>
              </w:rPr>
              <w:t>加强环保监测人员的技术培训，熟练掌握监测技术，经考核持证上岗；</w:t>
            </w:r>
          </w:p>
          <w:p>
            <w:pPr>
              <w:autoSpaceDE w:val="0"/>
              <w:autoSpaceDN w:val="0"/>
              <w:adjustRightInd w:val="0"/>
              <w:spacing w:line="360" w:lineRule="auto"/>
              <w:ind w:firstLine="480" w:firstLineChars="200"/>
              <w:jc w:val="left"/>
              <w:rPr>
                <w:rFonts w:eastAsiaTheme="minorEastAsia"/>
                <w:color w:val="auto"/>
                <w:kern w:val="0"/>
                <w:sz w:val="24"/>
              </w:rPr>
            </w:pPr>
            <w:r>
              <w:rPr>
                <w:rFonts w:hint="eastAsia" w:ascii="宋体" w:hAnsi="宋体" w:cs="宋体"/>
                <w:color w:val="auto"/>
                <w:kern w:val="0"/>
                <w:sz w:val="24"/>
              </w:rPr>
              <w:t>⑸</w:t>
            </w:r>
            <w:r>
              <w:rPr>
                <w:rFonts w:eastAsiaTheme="minorEastAsia"/>
                <w:color w:val="auto"/>
                <w:kern w:val="0"/>
                <w:sz w:val="24"/>
              </w:rPr>
              <w:t>根据监测计划预定的监测任务，保证监测质量和监测数据的代表性和准确性；</w:t>
            </w:r>
          </w:p>
          <w:p>
            <w:pPr>
              <w:autoSpaceDE w:val="0"/>
              <w:autoSpaceDN w:val="0"/>
              <w:adjustRightInd w:val="0"/>
              <w:spacing w:line="360" w:lineRule="auto"/>
              <w:ind w:firstLine="484" w:firstLineChars="200"/>
              <w:jc w:val="left"/>
              <w:rPr>
                <w:rFonts w:eastAsiaTheme="minorEastAsia"/>
                <w:color w:val="auto"/>
                <w:spacing w:val="-27"/>
                <w:kern w:val="0"/>
                <w:sz w:val="24"/>
              </w:rPr>
            </w:pPr>
            <w:r>
              <w:rPr>
                <w:rFonts w:hint="eastAsia" w:ascii="宋体" w:hAnsi="宋体" w:cs="宋体"/>
                <w:color w:val="auto"/>
                <w:spacing w:val="1"/>
                <w:kern w:val="0"/>
                <w:sz w:val="24"/>
              </w:rPr>
              <w:t>⑹</w:t>
            </w:r>
            <w:r>
              <w:rPr>
                <w:rFonts w:eastAsiaTheme="minorEastAsia"/>
                <w:color w:val="auto"/>
                <w:kern w:val="0"/>
                <w:sz w:val="24"/>
              </w:rPr>
              <w:t>参加本项目环保治理工程的竣工验收</w:t>
            </w:r>
            <w:r>
              <w:rPr>
                <w:rFonts w:eastAsiaTheme="minorEastAsia"/>
                <w:color w:val="auto"/>
                <w:spacing w:val="-27"/>
                <w:kern w:val="0"/>
                <w:sz w:val="24"/>
              </w:rPr>
              <w:t>，</w:t>
            </w:r>
            <w:r>
              <w:rPr>
                <w:rFonts w:eastAsiaTheme="minorEastAsia"/>
                <w:color w:val="auto"/>
                <w:kern w:val="0"/>
                <w:sz w:val="24"/>
              </w:rPr>
              <w:t>污染事故的调查与监测分析工作</w:t>
            </w:r>
            <w:r>
              <w:rPr>
                <w:rFonts w:eastAsiaTheme="minorEastAsia"/>
                <w:color w:val="auto"/>
                <w:spacing w:val="-27"/>
                <w:kern w:val="0"/>
                <w:sz w:val="24"/>
              </w:rPr>
              <w:t>。</w:t>
            </w:r>
          </w:p>
          <w:p>
            <w:pPr>
              <w:autoSpaceDE w:val="0"/>
              <w:autoSpaceDN w:val="0"/>
              <w:adjustRightInd w:val="0"/>
              <w:spacing w:line="360" w:lineRule="auto"/>
              <w:ind w:firstLine="482" w:firstLineChars="200"/>
              <w:jc w:val="left"/>
              <w:rPr>
                <w:rFonts w:eastAsiaTheme="minorEastAsia"/>
                <w:b/>
                <w:color w:val="auto"/>
                <w:kern w:val="0"/>
                <w:sz w:val="24"/>
              </w:rPr>
            </w:pPr>
            <w:r>
              <w:rPr>
                <w:rFonts w:eastAsiaTheme="minorEastAsia"/>
                <w:b/>
                <w:color w:val="auto"/>
                <w:kern w:val="0"/>
                <w:sz w:val="24"/>
              </w:rPr>
              <w:t>2.2监控规章制度</w:t>
            </w:r>
          </w:p>
          <w:p>
            <w:pPr>
              <w:autoSpaceDE w:val="0"/>
              <w:autoSpaceDN w:val="0"/>
              <w:adjustRightInd w:val="0"/>
              <w:spacing w:line="360" w:lineRule="auto"/>
              <w:ind w:firstLine="480" w:firstLineChars="200"/>
              <w:jc w:val="left"/>
              <w:rPr>
                <w:rFonts w:eastAsiaTheme="minorEastAsia"/>
                <w:color w:val="auto"/>
                <w:kern w:val="0"/>
                <w:sz w:val="24"/>
              </w:rPr>
            </w:pPr>
            <w:r>
              <w:rPr>
                <w:rFonts w:eastAsiaTheme="minorEastAsia"/>
                <w:color w:val="auto"/>
                <w:kern w:val="0"/>
                <w:sz w:val="24"/>
              </w:rPr>
              <w:t>本项目环境监控规章制度为：</w:t>
            </w:r>
          </w:p>
          <w:p>
            <w:pPr>
              <w:autoSpaceDE w:val="0"/>
              <w:autoSpaceDN w:val="0"/>
              <w:adjustRightInd w:val="0"/>
              <w:spacing w:line="360" w:lineRule="auto"/>
              <w:ind w:firstLine="480" w:firstLineChars="200"/>
              <w:jc w:val="left"/>
              <w:rPr>
                <w:rFonts w:eastAsiaTheme="minorEastAsia"/>
                <w:color w:val="auto"/>
                <w:kern w:val="0"/>
                <w:sz w:val="24"/>
              </w:rPr>
            </w:pPr>
            <w:r>
              <w:rPr>
                <w:rFonts w:hint="eastAsia" w:ascii="宋体" w:hAnsi="宋体" w:cs="宋体"/>
                <w:color w:val="auto"/>
                <w:kern w:val="0"/>
                <w:sz w:val="24"/>
              </w:rPr>
              <w:t>⑴</w:t>
            </w:r>
            <w:r>
              <w:rPr>
                <w:rFonts w:eastAsiaTheme="minorEastAsia"/>
                <w:color w:val="auto"/>
                <w:kern w:val="0"/>
                <w:sz w:val="24"/>
              </w:rPr>
              <w:t>监测分析质量控制与保证制度。</w:t>
            </w:r>
          </w:p>
          <w:p>
            <w:pPr>
              <w:autoSpaceDE w:val="0"/>
              <w:autoSpaceDN w:val="0"/>
              <w:adjustRightInd w:val="0"/>
              <w:spacing w:line="360" w:lineRule="auto"/>
              <w:ind w:firstLine="480" w:firstLineChars="200"/>
              <w:jc w:val="left"/>
              <w:rPr>
                <w:rFonts w:eastAsiaTheme="minorEastAsia"/>
                <w:color w:val="auto"/>
                <w:kern w:val="0"/>
                <w:sz w:val="24"/>
              </w:rPr>
            </w:pPr>
            <w:r>
              <w:rPr>
                <w:rFonts w:hint="eastAsia" w:ascii="宋体" w:hAnsi="宋体" w:cs="宋体"/>
                <w:color w:val="auto"/>
                <w:kern w:val="0"/>
                <w:sz w:val="24"/>
              </w:rPr>
              <w:t>⑵</w:t>
            </w:r>
            <w:r>
              <w:rPr>
                <w:rFonts w:eastAsiaTheme="minorEastAsia"/>
                <w:color w:val="auto"/>
                <w:kern w:val="0"/>
                <w:sz w:val="24"/>
              </w:rPr>
              <w:t>实验室管理制度。</w:t>
            </w:r>
          </w:p>
          <w:p>
            <w:pPr>
              <w:autoSpaceDE w:val="0"/>
              <w:autoSpaceDN w:val="0"/>
              <w:adjustRightInd w:val="0"/>
              <w:spacing w:line="360" w:lineRule="auto"/>
              <w:ind w:firstLine="480" w:firstLineChars="200"/>
              <w:jc w:val="left"/>
              <w:rPr>
                <w:rFonts w:eastAsiaTheme="minorEastAsia"/>
                <w:color w:val="auto"/>
                <w:kern w:val="0"/>
                <w:sz w:val="24"/>
              </w:rPr>
            </w:pPr>
            <w:r>
              <w:rPr>
                <w:rFonts w:hint="eastAsia" w:ascii="宋体" w:hAnsi="宋体" w:cs="宋体"/>
                <w:color w:val="auto"/>
                <w:kern w:val="0"/>
                <w:sz w:val="24"/>
              </w:rPr>
              <w:t>⑶</w:t>
            </w:r>
            <w:r>
              <w:rPr>
                <w:rFonts w:eastAsiaTheme="minorEastAsia"/>
                <w:color w:val="auto"/>
                <w:kern w:val="0"/>
                <w:sz w:val="24"/>
              </w:rPr>
              <w:t>采样、样品预处理及实验操作规程。</w:t>
            </w:r>
          </w:p>
          <w:p>
            <w:pPr>
              <w:autoSpaceDE w:val="0"/>
              <w:autoSpaceDN w:val="0"/>
              <w:adjustRightInd w:val="0"/>
              <w:spacing w:line="360" w:lineRule="auto"/>
              <w:ind w:firstLine="480" w:firstLineChars="200"/>
              <w:jc w:val="left"/>
              <w:rPr>
                <w:rFonts w:eastAsiaTheme="minorEastAsia"/>
                <w:color w:val="auto"/>
                <w:kern w:val="0"/>
                <w:sz w:val="24"/>
              </w:rPr>
            </w:pPr>
            <w:r>
              <w:rPr>
                <w:rFonts w:hint="eastAsia" w:ascii="宋体" w:hAnsi="宋体" w:cs="宋体"/>
                <w:color w:val="auto"/>
                <w:kern w:val="0"/>
                <w:sz w:val="24"/>
              </w:rPr>
              <w:t>⑷</w:t>
            </w:r>
            <w:r>
              <w:rPr>
                <w:rFonts w:eastAsiaTheme="minorEastAsia"/>
                <w:color w:val="auto"/>
                <w:kern w:val="0"/>
                <w:sz w:val="24"/>
              </w:rPr>
              <w:t>图纸资料、技术档案管理与保密制度。</w:t>
            </w:r>
          </w:p>
          <w:p>
            <w:pPr>
              <w:autoSpaceDE w:val="0"/>
              <w:autoSpaceDN w:val="0"/>
              <w:adjustRightInd w:val="0"/>
              <w:spacing w:line="360" w:lineRule="auto"/>
              <w:ind w:firstLine="480" w:firstLineChars="200"/>
              <w:jc w:val="left"/>
              <w:rPr>
                <w:rFonts w:eastAsiaTheme="minorEastAsia"/>
                <w:color w:val="auto"/>
                <w:kern w:val="0"/>
                <w:sz w:val="24"/>
              </w:rPr>
            </w:pPr>
            <w:r>
              <w:rPr>
                <w:rFonts w:hint="eastAsia" w:ascii="宋体" w:hAnsi="宋体" w:cs="宋体"/>
                <w:color w:val="auto"/>
                <w:kern w:val="0"/>
                <w:sz w:val="24"/>
              </w:rPr>
              <w:t>⑸</w:t>
            </w:r>
            <w:r>
              <w:rPr>
                <w:rFonts w:eastAsiaTheme="minorEastAsia"/>
                <w:color w:val="auto"/>
                <w:kern w:val="0"/>
                <w:sz w:val="24"/>
              </w:rPr>
              <w:t>监测人员岗位责任制及奖惩制度。</w:t>
            </w:r>
          </w:p>
          <w:p>
            <w:pPr>
              <w:spacing w:line="360" w:lineRule="auto"/>
              <w:ind w:firstLine="480" w:firstLineChars="200"/>
              <w:rPr>
                <w:rFonts w:eastAsiaTheme="minorEastAsia"/>
                <w:color w:val="auto"/>
                <w:kern w:val="0"/>
                <w:sz w:val="24"/>
              </w:rPr>
            </w:pPr>
            <w:r>
              <w:rPr>
                <w:rFonts w:hint="eastAsia" w:ascii="宋体" w:hAnsi="宋体" w:cs="宋体"/>
                <w:color w:val="auto"/>
                <w:kern w:val="0"/>
                <w:sz w:val="24"/>
              </w:rPr>
              <w:t>⑹</w:t>
            </w:r>
            <w:r>
              <w:rPr>
                <w:rFonts w:eastAsiaTheme="minorEastAsia"/>
                <w:color w:val="auto"/>
                <w:kern w:val="0"/>
                <w:sz w:val="24"/>
              </w:rPr>
              <w:t>实验室安全规程。</w:t>
            </w:r>
          </w:p>
          <w:p>
            <w:pPr>
              <w:spacing w:line="360" w:lineRule="auto"/>
              <w:ind w:firstLine="482" w:firstLineChars="200"/>
              <w:rPr>
                <w:rFonts w:eastAsiaTheme="minorEastAsia"/>
                <w:b/>
                <w:color w:val="auto"/>
                <w:sz w:val="24"/>
              </w:rPr>
            </w:pPr>
            <w:r>
              <w:rPr>
                <w:rFonts w:eastAsiaTheme="minorEastAsia"/>
                <w:b/>
                <w:color w:val="auto"/>
                <w:sz w:val="24"/>
              </w:rPr>
              <w:t>2.3环境监控计划</w:t>
            </w:r>
          </w:p>
          <w:p>
            <w:pPr>
              <w:spacing w:line="360" w:lineRule="auto"/>
              <w:ind w:firstLine="480" w:firstLineChars="200"/>
              <w:rPr>
                <w:rFonts w:eastAsiaTheme="minorEastAsia"/>
                <w:color w:val="auto"/>
                <w:kern w:val="0"/>
                <w:sz w:val="24"/>
              </w:rPr>
            </w:pPr>
            <w:r>
              <w:rPr>
                <w:rFonts w:eastAsiaTheme="minorEastAsia"/>
                <w:color w:val="auto"/>
                <w:kern w:val="0"/>
                <w:sz w:val="24"/>
              </w:rPr>
              <w:t>2.3.1监控机构</w:t>
            </w:r>
          </w:p>
          <w:p>
            <w:pPr>
              <w:spacing w:line="360" w:lineRule="auto"/>
              <w:ind w:firstLine="480" w:firstLineChars="200"/>
              <w:rPr>
                <w:rFonts w:eastAsiaTheme="minorEastAsia"/>
                <w:color w:val="auto"/>
                <w:kern w:val="0"/>
                <w:sz w:val="24"/>
              </w:rPr>
            </w:pPr>
            <w:r>
              <w:rPr>
                <w:rFonts w:eastAsiaTheme="minorEastAsia"/>
                <w:color w:val="auto"/>
                <w:kern w:val="0"/>
                <w:sz w:val="24"/>
              </w:rPr>
              <w:t>本项目环境监测可委托有资质单位进行。</w:t>
            </w:r>
          </w:p>
          <w:p>
            <w:pPr>
              <w:spacing w:line="360" w:lineRule="auto"/>
              <w:ind w:firstLine="480" w:firstLineChars="200"/>
              <w:rPr>
                <w:rFonts w:eastAsiaTheme="minorEastAsia"/>
                <w:color w:val="auto"/>
                <w:sz w:val="24"/>
              </w:rPr>
            </w:pPr>
            <w:r>
              <w:rPr>
                <w:rFonts w:eastAsiaTheme="minorEastAsia"/>
                <w:color w:val="auto"/>
                <w:sz w:val="24"/>
              </w:rPr>
              <w:t>2.3.2监测项目</w:t>
            </w:r>
          </w:p>
          <w:p>
            <w:pPr>
              <w:spacing w:line="360" w:lineRule="auto"/>
              <w:ind w:firstLine="480" w:firstLineChars="200"/>
              <w:rPr>
                <w:rFonts w:eastAsiaTheme="minorEastAsia"/>
                <w:color w:val="auto"/>
                <w:sz w:val="24"/>
              </w:rPr>
            </w:pPr>
            <w:r>
              <w:rPr>
                <w:rFonts w:eastAsiaTheme="minorEastAsia"/>
                <w:color w:val="auto"/>
                <w:sz w:val="24"/>
                <w:lang w:val="zh-CN"/>
              </w:rPr>
              <w:t>废水</w:t>
            </w:r>
            <w:r>
              <w:rPr>
                <w:rFonts w:eastAsiaTheme="minorEastAsia"/>
                <w:color w:val="auto"/>
                <w:sz w:val="24"/>
              </w:rPr>
              <w:t>：pH</w:t>
            </w:r>
            <w:r>
              <w:rPr>
                <w:rFonts w:eastAsiaTheme="minorEastAsia"/>
                <w:color w:val="auto"/>
                <w:sz w:val="24"/>
                <w:lang w:val="zh-CN"/>
              </w:rPr>
              <w:t>、</w:t>
            </w:r>
            <w:r>
              <w:rPr>
                <w:rFonts w:eastAsiaTheme="minorEastAsia"/>
                <w:color w:val="auto"/>
                <w:sz w:val="24"/>
              </w:rPr>
              <w:t>COD</w:t>
            </w:r>
            <w:r>
              <w:rPr>
                <w:rFonts w:eastAsiaTheme="minorEastAsia"/>
                <w:color w:val="auto"/>
                <w:sz w:val="24"/>
                <w:vertAlign w:val="subscript"/>
              </w:rPr>
              <w:t>Cr</w:t>
            </w:r>
            <w:r>
              <w:rPr>
                <w:rFonts w:eastAsiaTheme="minorEastAsia"/>
                <w:color w:val="auto"/>
                <w:sz w:val="24"/>
                <w:lang w:val="zh-CN"/>
              </w:rPr>
              <w:t>、</w:t>
            </w:r>
            <w:r>
              <w:rPr>
                <w:rFonts w:eastAsiaTheme="minorEastAsia"/>
                <w:color w:val="auto"/>
                <w:sz w:val="24"/>
              </w:rPr>
              <w:t>BOD</w:t>
            </w:r>
            <w:r>
              <w:rPr>
                <w:rFonts w:eastAsiaTheme="minorEastAsia"/>
                <w:color w:val="auto"/>
                <w:sz w:val="24"/>
                <w:vertAlign w:val="subscript"/>
              </w:rPr>
              <w:t>5</w:t>
            </w:r>
            <w:r>
              <w:rPr>
                <w:rFonts w:eastAsiaTheme="minorEastAsia"/>
                <w:color w:val="auto"/>
                <w:sz w:val="24"/>
                <w:lang w:val="zh-CN"/>
              </w:rPr>
              <w:t>、</w:t>
            </w:r>
            <w:r>
              <w:rPr>
                <w:rFonts w:eastAsiaTheme="minorEastAsia"/>
                <w:color w:val="auto"/>
                <w:sz w:val="24"/>
              </w:rPr>
              <w:t>SS</w:t>
            </w:r>
            <w:r>
              <w:rPr>
                <w:rFonts w:eastAsiaTheme="minorEastAsia"/>
                <w:color w:val="auto"/>
                <w:sz w:val="24"/>
                <w:lang w:val="zh-CN"/>
              </w:rPr>
              <w:t>、</w:t>
            </w:r>
            <w:r>
              <w:rPr>
                <w:rFonts w:eastAsiaTheme="minorEastAsia"/>
                <w:color w:val="auto"/>
                <w:sz w:val="24"/>
              </w:rPr>
              <w:t>NH</w:t>
            </w:r>
            <w:r>
              <w:rPr>
                <w:rFonts w:eastAsiaTheme="minorEastAsia"/>
                <w:color w:val="auto"/>
                <w:sz w:val="24"/>
                <w:vertAlign w:val="subscript"/>
              </w:rPr>
              <w:t>3</w:t>
            </w:r>
            <w:r>
              <w:rPr>
                <w:rFonts w:eastAsiaTheme="minorEastAsia"/>
                <w:color w:val="auto"/>
                <w:sz w:val="24"/>
              </w:rPr>
              <w:t>-N</w:t>
            </w:r>
            <w:r>
              <w:rPr>
                <w:rFonts w:eastAsiaTheme="minorEastAsia"/>
                <w:color w:val="auto"/>
                <w:sz w:val="24"/>
                <w:lang w:val="zh-CN"/>
              </w:rPr>
              <w:t>、</w:t>
            </w:r>
            <w:r>
              <w:rPr>
                <w:rFonts w:eastAsiaTheme="minorEastAsia"/>
                <w:color w:val="auto"/>
                <w:sz w:val="24"/>
              </w:rPr>
              <w:t>TP</w:t>
            </w:r>
          </w:p>
          <w:p>
            <w:pPr>
              <w:spacing w:line="360" w:lineRule="auto"/>
              <w:ind w:firstLine="480" w:firstLineChars="200"/>
              <w:rPr>
                <w:rFonts w:eastAsiaTheme="minorEastAsia"/>
                <w:color w:val="auto"/>
                <w:sz w:val="24"/>
              </w:rPr>
            </w:pPr>
            <w:r>
              <w:rPr>
                <w:rFonts w:eastAsiaTheme="minorEastAsia"/>
                <w:color w:val="auto"/>
                <w:sz w:val="24"/>
                <w:lang w:val="zh-CN"/>
              </w:rPr>
              <w:t>废气</w:t>
            </w:r>
            <w:r>
              <w:rPr>
                <w:rFonts w:eastAsiaTheme="minorEastAsia"/>
                <w:color w:val="auto"/>
                <w:sz w:val="24"/>
              </w:rPr>
              <w:t>：</w:t>
            </w:r>
            <w:r>
              <w:rPr>
                <w:rFonts w:eastAsiaTheme="minorEastAsia"/>
                <w:color w:val="auto"/>
                <w:sz w:val="24"/>
                <w:lang w:val="zh-CN"/>
              </w:rPr>
              <w:t>臭气、</w:t>
            </w:r>
            <w:r>
              <w:rPr>
                <w:rFonts w:eastAsiaTheme="minorEastAsia"/>
                <w:color w:val="auto"/>
                <w:sz w:val="24"/>
              </w:rPr>
              <w:t>NH</w:t>
            </w:r>
            <w:r>
              <w:rPr>
                <w:rFonts w:eastAsiaTheme="minorEastAsia"/>
                <w:color w:val="auto"/>
                <w:sz w:val="24"/>
                <w:vertAlign w:val="subscript"/>
              </w:rPr>
              <w:t>3</w:t>
            </w:r>
            <w:r>
              <w:rPr>
                <w:rFonts w:eastAsiaTheme="minorEastAsia"/>
                <w:color w:val="auto"/>
                <w:sz w:val="24"/>
                <w:lang w:val="zh-CN"/>
              </w:rPr>
              <w:t>、</w:t>
            </w:r>
            <w:r>
              <w:rPr>
                <w:rFonts w:eastAsiaTheme="minorEastAsia"/>
                <w:color w:val="auto"/>
                <w:sz w:val="24"/>
              </w:rPr>
              <w:t>H</w:t>
            </w:r>
            <w:r>
              <w:rPr>
                <w:rFonts w:eastAsiaTheme="minorEastAsia"/>
                <w:color w:val="auto"/>
                <w:sz w:val="24"/>
                <w:vertAlign w:val="subscript"/>
              </w:rPr>
              <w:t>2</w:t>
            </w:r>
            <w:r>
              <w:rPr>
                <w:rFonts w:eastAsiaTheme="minorEastAsia"/>
                <w:color w:val="auto"/>
                <w:sz w:val="24"/>
              </w:rPr>
              <w:t>S</w:t>
            </w:r>
          </w:p>
          <w:p>
            <w:pPr>
              <w:spacing w:line="360" w:lineRule="auto"/>
              <w:ind w:firstLine="480" w:firstLineChars="200"/>
              <w:rPr>
                <w:rFonts w:eastAsiaTheme="minorEastAsia"/>
                <w:color w:val="auto"/>
                <w:sz w:val="24"/>
              </w:rPr>
            </w:pPr>
            <w:r>
              <w:rPr>
                <w:rFonts w:eastAsiaTheme="minorEastAsia"/>
                <w:color w:val="auto"/>
                <w:sz w:val="24"/>
                <w:lang w:val="zh-CN"/>
              </w:rPr>
              <w:t>噪声</w:t>
            </w:r>
            <w:r>
              <w:rPr>
                <w:rFonts w:eastAsiaTheme="minorEastAsia"/>
                <w:color w:val="auto"/>
                <w:sz w:val="24"/>
              </w:rPr>
              <w:t>：</w:t>
            </w:r>
            <w:r>
              <w:rPr>
                <w:rFonts w:eastAsiaTheme="minorEastAsia"/>
                <w:color w:val="auto"/>
                <w:sz w:val="24"/>
                <w:lang w:val="zh-CN"/>
              </w:rPr>
              <w:t>等效连续</w:t>
            </w:r>
            <w:r>
              <w:rPr>
                <w:rFonts w:eastAsiaTheme="minorEastAsia"/>
                <w:color w:val="auto"/>
                <w:sz w:val="24"/>
              </w:rPr>
              <w:t xml:space="preserve"> A </w:t>
            </w:r>
            <w:r>
              <w:rPr>
                <w:rFonts w:eastAsiaTheme="minorEastAsia"/>
                <w:color w:val="auto"/>
                <w:sz w:val="24"/>
                <w:lang w:val="zh-CN"/>
              </w:rPr>
              <w:t>声级</w:t>
            </w:r>
          </w:p>
          <w:p>
            <w:pPr>
              <w:spacing w:line="360" w:lineRule="auto"/>
              <w:ind w:firstLine="480" w:firstLineChars="200"/>
              <w:rPr>
                <w:rFonts w:eastAsiaTheme="minorEastAsia"/>
                <w:color w:val="auto"/>
                <w:sz w:val="24"/>
                <w:lang w:val="zh-CN"/>
              </w:rPr>
            </w:pPr>
            <w:r>
              <w:rPr>
                <w:rFonts w:eastAsiaTheme="minorEastAsia"/>
                <w:color w:val="auto"/>
                <w:sz w:val="24"/>
                <w:lang w:val="zh-CN"/>
              </w:rPr>
              <w:t>2.3.3环境监测计划</w:t>
            </w:r>
          </w:p>
          <w:p>
            <w:pPr>
              <w:spacing w:line="360" w:lineRule="auto"/>
              <w:ind w:firstLine="480" w:firstLineChars="200"/>
              <w:rPr>
                <w:rFonts w:eastAsiaTheme="minorEastAsia"/>
                <w:color w:val="auto"/>
                <w:sz w:val="24"/>
                <w:lang w:val="zh-CN"/>
              </w:rPr>
            </w:pPr>
            <w:r>
              <w:rPr>
                <w:rFonts w:eastAsiaTheme="minorEastAsia"/>
                <w:color w:val="auto"/>
                <w:sz w:val="24"/>
                <w:lang w:val="zh-CN"/>
              </w:rPr>
              <w:t>本项目运营期监测计划见表80。</w:t>
            </w:r>
          </w:p>
          <w:p>
            <w:pPr>
              <w:spacing w:line="360" w:lineRule="auto"/>
              <w:ind w:firstLine="482" w:firstLineChars="200"/>
              <w:jc w:val="center"/>
              <w:rPr>
                <w:rFonts w:eastAsiaTheme="minorEastAsia"/>
                <w:b/>
                <w:color w:val="auto"/>
                <w:sz w:val="24"/>
                <w:lang w:val="zh-CN"/>
              </w:rPr>
            </w:pPr>
            <w:r>
              <w:rPr>
                <w:rFonts w:eastAsiaTheme="minorEastAsia"/>
                <w:b/>
                <w:color w:val="auto"/>
                <w:sz w:val="24"/>
                <w:lang w:val="zh-CN"/>
              </w:rPr>
              <w:t>表80本项目运营期监测计划一览表</w:t>
            </w:r>
          </w:p>
          <w:tbl>
            <w:tblPr>
              <w:tblStyle w:val="38"/>
              <w:tblW w:w="8558" w:type="dxa"/>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43"/>
              <w:gridCol w:w="992"/>
              <w:gridCol w:w="2126"/>
              <w:gridCol w:w="1843"/>
              <w:gridCol w:w="1559"/>
              <w:gridCol w:w="1295"/>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3" w:type="dxa"/>
                  <w:vAlign w:val="center"/>
                </w:tcPr>
                <w:p>
                  <w:pPr>
                    <w:jc w:val="center"/>
                    <w:rPr>
                      <w:rFonts w:eastAsiaTheme="minorEastAsia"/>
                      <w:color w:val="auto"/>
                      <w:szCs w:val="21"/>
                      <w:lang w:val="zh-CN"/>
                    </w:rPr>
                  </w:pPr>
                </w:p>
              </w:tc>
              <w:tc>
                <w:tcPr>
                  <w:tcW w:w="992" w:type="dxa"/>
                  <w:vAlign w:val="center"/>
                </w:tcPr>
                <w:p>
                  <w:pPr>
                    <w:jc w:val="center"/>
                    <w:rPr>
                      <w:rFonts w:eastAsiaTheme="minorEastAsia"/>
                      <w:color w:val="auto"/>
                      <w:szCs w:val="21"/>
                      <w:lang w:val="zh-CN"/>
                    </w:rPr>
                  </w:pPr>
                  <w:r>
                    <w:rPr>
                      <w:rFonts w:eastAsiaTheme="minorEastAsia"/>
                      <w:color w:val="auto"/>
                      <w:szCs w:val="21"/>
                      <w:lang w:val="zh-CN"/>
                    </w:rPr>
                    <w:t>监测点位</w:t>
                  </w:r>
                </w:p>
              </w:tc>
              <w:tc>
                <w:tcPr>
                  <w:tcW w:w="2126" w:type="dxa"/>
                  <w:vAlign w:val="center"/>
                </w:tcPr>
                <w:p>
                  <w:pPr>
                    <w:jc w:val="center"/>
                    <w:rPr>
                      <w:rFonts w:eastAsiaTheme="minorEastAsia"/>
                      <w:color w:val="auto"/>
                      <w:szCs w:val="21"/>
                      <w:lang w:val="zh-CN"/>
                    </w:rPr>
                  </w:pPr>
                  <w:r>
                    <w:rPr>
                      <w:rFonts w:eastAsiaTheme="minorEastAsia"/>
                      <w:color w:val="auto"/>
                      <w:szCs w:val="21"/>
                      <w:lang w:val="zh-CN"/>
                    </w:rPr>
                    <w:t>监测项目</w:t>
                  </w:r>
                </w:p>
              </w:tc>
              <w:tc>
                <w:tcPr>
                  <w:tcW w:w="1843" w:type="dxa"/>
                  <w:vAlign w:val="center"/>
                </w:tcPr>
                <w:p>
                  <w:pPr>
                    <w:jc w:val="center"/>
                    <w:rPr>
                      <w:rFonts w:eastAsiaTheme="minorEastAsia"/>
                      <w:color w:val="auto"/>
                      <w:szCs w:val="21"/>
                      <w:lang w:val="zh-CN"/>
                    </w:rPr>
                  </w:pPr>
                  <w:r>
                    <w:rPr>
                      <w:rFonts w:eastAsiaTheme="minorEastAsia"/>
                      <w:color w:val="auto"/>
                      <w:szCs w:val="21"/>
                      <w:lang w:val="zh-CN"/>
                    </w:rPr>
                    <w:t>监测频率</w:t>
                  </w:r>
                </w:p>
              </w:tc>
              <w:tc>
                <w:tcPr>
                  <w:tcW w:w="1559" w:type="dxa"/>
                  <w:vAlign w:val="center"/>
                </w:tcPr>
                <w:p>
                  <w:pPr>
                    <w:jc w:val="center"/>
                    <w:rPr>
                      <w:rFonts w:eastAsiaTheme="minorEastAsia"/>
                      <w:color w:val="auto"/>
                      <w:szCs w:val="21"/>
                      <w:lang w:val="zh-CN"/>
                    </w:rPr>
                  </w:pPr>
                  <w:r>
                    <w:rPr>
                      <w:rFonts w:eastAsiaTheme="minorEastAsia"/>
                      <w:color w:val="auto"/>
                      <w:szCs w:val="21"/>
                      <w:lang w:val="zh-CN"/>
                    </w:rPr>
                    <w:t>实施机构</w:t>
                  </w:r>
                </w:p>
              </w:tc>
              <w:tc>
                <w:tcPr>
                  <w:tcW w:w="1295" w:type="dxa"/>
                  <w:vAlign w:val="center"/>
                </w:tcPr>
                <w:p>
                  <w:pPr>
                    <w:jc w:val="center"/>
                    <w:rPr>
                      <w:rFonts w:eastAsiaTheme="minorEastAsia"/>
                      <w:color w:val="auto"/>
                      <w:szCs w:val="21"/>
                      <w:lang w:val="zh-CN"/>
                    </w:rPr>
                  </w:pPr>
                  <w:r>
                    <w:rPr>
                      <w:rFonts w:eastAsiaTheme="minorEastAsia"/>
                      <w:color w:val="auto"/>
                      <w:szCs w:val="21"/>
                      <w:lang w:val="zh-CN"/>
                    </w:rPr>
                    <w:t>监督机构</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3" w:type="dxa"/>
                  <w:vAlign w:val="center"/>
                </w:tcPr>
                <w:p>
                  <w:pPr>
                    <w:jc w:val="center"/>
                    <w:rPr>
                      <w:rFonts w:eastAsiaTheme="minorEastAsia"/>
                      <w:color w:val="auto"/>
                      <w:szCs w:val="21"/>
                      <w:lang w:val="zh-CN"/>
                    </w:rPr>
                  </w:pPr>
                  <w:r>
                    <w:rPr>
                      <w:rFonts w:eastAsiaTheme="minorEastAsia"/>
                      <w:color w:val="auto"/>
                      <w:szCs w:val="21"/>
                      <w:lang w:val="zh-CN"/>
                    </w:rPr>
                    <w:t>废气</w:t>
                  </w:r>
                </w:p>
              </w:tc>
              <w:tc>
                <w:tcPr>
                  <w:tcW w:w="992" w:type="dxa"/>
                  <w:vAlign w:val="center"/>
                </w:tcPr>
                <w:p>
                  <w:pPr>
                    <w:jc w:val="center"/>
                    <w:rPr>
                      <w:rFonts w:eastAsiaTheme="minorEastAsia"/>
                      <w:color w:val="auto"/>
                      <w:szCs w:val="21"/>
                      <w:lang w:val="zh-CN"/>
                    </w:rPr>
                  </w:pPr>
                  <w:r>
                    <w:rPr>
                      <w:rFonts w:eastAsiaTheme="minorEastAsia"/>
                      <w:color w:val="auto"/>
                      <w:szCs w:val="21"/>
                      <w:lang w:val="zh-CN"/>
                    </w:rPr>
                    <w:t>厂界</w:t>
                  </w:r>
                </w:p>
              </w:tc>
              <w:tc>
                <w:tcPr>
                  <w:tcW w:w="2126" w:type="dxa"/>
                  <w:vAlign w:val="center"/>
                </w:tcPr>
                <w:p>
                  <w:pPr>
                    <w:jc w:val="center"/>
                    <w:rPr>
                      <w:rFonts w:eastAsiaTheme="minorEastAsia"/>
                      <w:color w:val="auto"/>
                      <w:szCs w:val="21"/>
                      <w:lang w:val="zh-CN"/>
                    </w:rPr>
                  </w:pPr>
                  <w:r>
                    <w:rPr>
                      <w:rFonts w:eastAsiaTheme="minorEastAsia"/>
                      <w:color w:val="auto"/>
                      <w:szCs w:val="21"/>
                      <w:lang w:val="zh-CN"/>
                    </w:rPr>
                    <w:t>臭气、</w:t>
                  </w:r>
                  <w:r>
                    <w:rPr>
                      <w:rFonts w:eastAsiaTheme="minorEastAsia"/>
                      <w:color w:val="auto"/>
                      <w:szCs w:val="21"/>
                    </w:rPr>
                    <w:t>NH</w:t>
                  </w:r>
                  <w:r>
                    <w:rPr>
                      <w:rFonts w:eastAsiaTheme="minorEastAsia"/>
                      <w:color w:val="auto"/>
                      <w:szCs w:val="21"/>
                      <w:vertAlign w:val="subscript"/>
                    </w:rPr>
                    <w:t>3</w:t>
                  </w:r>
                  <w:r>
                    <w:rPr>
                      <w:rFonts w:eastAsiaTheme="minorEastAsia"/>
                      <w:color w:val="auto"/>
                      <w:szCs w:val="21"/>
                      <w:lang w:val="zh-CN"/>
                    </w:rPr>
                    <w:t>、</w:t>
                  </w:r>
                  <w:r>
                    <w:rPr>
                      <w:rFonts w:eastAsiaTheme="minorEastAsia"/>
                      <w:color w:val="auto"/>
                      <w:szCs w:val="21"/>
                    </w:rPr>
                    <w:t>H</w:t>
                  </w:r>
                  <w:r>
                    <w:rPr>
                      <w:rFonts w:eastAsiaTheme="minorEastAsia"/>
                      <w:color w:val="auto"/>
                      <w:szCs w:val="21"/>
                      <w:vertAlign w:val="subscript"/>
                    </w:rPr>
                    <w:t>2</w:t>
                  </w:r>
                  <w:r>
                    <w:rPr>
                      <w:rFonts w:eastAsiaTheme="minorEastAsia"/>
                      <w:color w:val="auto"/>
                      <w:szCs w:val="21"/>
                    </w:rPr>
                    <w:t>S</w:t>
                  </w:r>
                </w:p>
              </w:tc>
              <w:tc>
                <w:tcPr>
                  <w:tcW w:w="1843" w:type="dxa"/>
                  <w:vAlign w:val="center"/>
                </w:tcPr>
                <w:p>
                  <w:pPr>
                    <w:jc w:val="center"/>
                    <w:rPr>
                      <w:rFonts w:eastAsiaTheme="minorEastAsia"/>
                      <w:color w:val="auto"/>
                      <w:szCs w:val="21"/>
                      <w:lang w:val="zh-CN"/>
                    </w:rPr>
                  </w:pPr>
                  <w:r>
                    <w:rPr>
                      <w:rFonts w:eastAsiaTheme="minorEastAsia"/>
                      <w:color w:val="auto"/>
                      <w:szCs w:val="21"/>
                      <w:lang w:val="zh-CN"/>
                    </w:rPr>
                    <w:t>每季1次，每次2天，随机抽查</w:t>
                  </w:r>
                </w:p>
              </w:tc>
              <w:tc>
                <w:tcPr>
                  <w:tcW w:w="1559" w:type="dxa"/>
                  <w:vAlign w:val="center"/>
                </w:tcPr>
                <w:p>
                  <w:pPr>
                    <w:jc w:val="center"/>
                    <w:rPr>
                      <w:rFonts w:eastAsiaTheme="minorEastAsia"/>
                      <w:color w:val="auto"/>
                      <w:szCs w:val="21"/>
                      <w:lang w:val="zh-CN"/>
                    </w:rPr>
                  </w:pPr>
                  <w:r>
                    <w:rPr>
                      <w:rFonts w:eastAsiaTheme="minorEastAsia"/>
                      <w:color w:val="auto"/>
                      <w:szCs w:val="21"/>
                      <w:lang w:val="zh-CN"/>
                    </w:rPr>
                    <w:t>有监测资质的机构</w:t>
                  </w:r>
                </w:p>
              </w:tc>
              <w:tc>
                <w:tcPr>
                  <w:tcW w:w="1295" w:type="dxa"/>
                  <w:vAlign w:val="center"/>
                </w:tcPr>
                <w:p>
                  <w:pPr>
                    <w:jc w:val="center"/>
                    <w:rPr>
                      <w:rFonts w:eastAsiaTheme="minorEastAsia"/>
                      <w:color w:val="auto"/>
                      <w:szCs w:val="21"/>
                      <w:lang w:val="zh-CN"/>
                    </w:rPr>
                  </w:pPr>
                  <w:r>
                    <w:rPr>
                      <w:rFonts w:eastAsiaTheme="minorEastAsia"/>
                      <w:color w:val="auto"/>
                      <w:szCs w:val="21"/>
                      <w:lang w:val="zh-CN"/>
                    </w:rPr>
                    <w:t>宁县环境保护局</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3" w:type="dxa"/>
                  <w:vAlign w:val="center"/>
                </w:tcPr>
                <w:p>
                  <w:pPr>
                    <w:jc w:val="center"/>
                    <w:rPr>
                      <w:rFonts w:eastAsiaTheme="minorEastAsia"/>
                      <w:color w:val="auto"/>
                      <w:szCs w:val="21"/>
                      <w:lang w:val="zh-CN"/>
                    </w:rPr>
                  </w:pPr>
                  <w:r>
                    <w:rPr>
                      <w:rFonts w:eastAsiaTheme="minorEastAsia"/>
                      <w:color w:val="auto"/>
                      <w:szCs w:val="21"/>
                      <w:lang w:val="zh-CN"/>
                    </w:rPr>
                    <w:t>噪声</w:t>
                  </w:r>
                </w:p>
              </w:tc>
              <w:tc>
                <w:tcPr>
                  <w:tcW w:w="992" w:type="dxa"/>
                  <w:vAlign w:val="center"/>
                </w:tcPr>
                <w:p>
                  <w:pPr>
                    <w:jc w:val="center"/>
                    <w:rPr>
                      <w:rFonts w:eastAsiaTheme="minorEastAsia"/>
                      <w:color w:val="auto"/>
                      <w:szCs w:val="21"/>
                      <w:lang w:val="zh-CN"/>
                    </w:rPr>
                  </w:pPr>
                  <w:r>
                    <w:rPr>
                      <w:rFonts w:eastAsiaTheme="minorEastAsia"/>
                      <w:color w:val="auto"/>
                      <w:szCs w:val="21"/>
                      <w:lang w:val="zh-CN"/>
                    </w:rPr>
                    <w:t>厂界外1m处</w:t>
                  </w:r>
                </w:p>
              </w:tc>
              <w:tc>
                <w:tcPr>
                  <w:tcW w:w="2126" w:type="dxa"/>
                  <w:vAlign w:val="center"/>
                </w:tcPr>
                <w:p>
                  <w:pPr>
                    <w:jc w:val="center"/>
                    <w:rPr>
                      <w:rFonts w:eastAsiaTheme="minorEastAsia"/>
                      <w:color w:val="auto"/>
                      <w:szCs w:val="21"/>
                      <w:lang w:val="zh-CN"/>
                    </w:rPr>
                  </w:pPr>
                  <w:r>
                    <w:rPr>
                      <w:rFonts w:eastAsiaTheme="minorEastAsia"/>
                      <w:color w:val="auto"/>
                      <w:szCs w:val="21"/>
                      <w:lang w:val="zh-CN"/>
                    </w:rPr>
                    <w:t>等效连续 A 声级</w:t>
                  </w:r>
                </w:p>
              </w:tc>
              <w:tc>
                <w:tcPr>
                  <w:tcW w:w="1843" w:type="dxa"/>
                  <w:vAlign w:val="center"/>
                </w:tcPr>
                <w:p>
                  <w:pPr>
                    <w:jc w:val="center"/>
                    <w:rPr>
                      <w:rFonts w:eastAsiaTheme="minorEastAsia"/>
                      <w:color w:val="auto"/>
                      <w:szCs w:val="21"/>
                      <w:lang w:val="zh-CN"/>
                    </w:rPr>
                  </w:pPr>
                  <w:r>
                    <w:rPr>
                      <w:rFonts w:eastAsiaTheme="minorEastAsia"/>
                      <w:color w:val="auto"/>
                      <w:szCs w:val="21"/>
                      <w:lang w:val="zh-CN"/>
                    </w:rPr>
                    <w:t>2次/年，随机抽查</w:t>
                  </w:r>
                </w:p>
              </w:tc>
              <w:tc>
                <w:tcPr>
                  <w:tcW w:w="1559" w:type="dxa"/>
                  <w:vAlign w:val="center"/>
                </w:tcPr>
                <w:p>
                  <w:pPr>
                    <w:jc w:val="center"/>
                    <w:rPr>
                      <w:rFonts w:eastAsiaTheme="minorEastAsia"/>
                      <w:color w:val="auto"/>
                      <w:szCs w:val="21"/>
                      <w:lang w:val="zh-CN"/>
                    </w:rPr>
                  </w:pPr>
                  <w:r>
                    <w:rPr>
                      <w:rFonts w:eastAsiaTheme="minorEastAsia"/>
                      <w:color w:val="auto"/>
                      <w:szCs w:val="21"/>
                      <w:lang w:val="zh-CN"/>
                    </w:rPr>
                    <w:t>有监测资质的机构</w:t>
                  </w:r>
                </w:p>
              </w:tc>
              <w:tc>
                <w:tcPr>
                  <w:tcW w:w="1295" w:type="dxa"/>
                  <w:vAlign w:val="center"/>
                </w:tcPr>
                <w:p>
                  <w:pPr>
                    <w:jc w:val="center"/>
                    <w:rPr>
                      <w:rFonts w:eastAsiaTheme="minorEastAsia"/>
                      <w:color w:val="auto"/>
                      <w:szCs w:val="21"/>
                      <w:lang w:val="zh-CN"/>
                    </w:rPr>
                  </w:pPr>
                  <w:r>
                    <w:rPr>
                      <w:rFonts w:eastAsiaTheme="minorEastAsia"/>
                      <w:color w:val="auto"/>
                      <w:szCs w:val="21"/>
                      <w:lang w:val="zh-CN"/>
                    </w:rPr>
                    <w:t>宁县环境保护局</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3" w:type="dxa"/>
                  <w:vMerge w:val="restart"/>
                  <w:vAlign w:val="center"/>
                </w:tcPr>
                <w:p>
                  <w:pPr>
                    <w:jc w:val="center"/>
                    <w:rPr>
                      <w:rFonts w:eastAsiaTheme="minorEastAsia"/>
                      <w:color w:val="auto"/>
                      <w:szCs w:val="21"/>
                      <w:lang w:val="zh-CN"/>
                    </w:rPr>
                  </w:pPr>
                  <w:r>
                    <w:rPr>
                      <w:rFonts w:eastAsiaTheme="minorEastAsia"/>
                      <w:color w:val="auto"/>
                      <w:szCs w:val="21"/>
                      <w:lang w:val="zh-CN"/>
                    </w:rPr>
                    <w:t>废水</w:t>
                  </w:r>
                </w:p>
              </w:tc>
              <w:tc>
                <w:tcPr>
                  <w:tcW w:w="992" w:type="dxa"/>
                  <w:vMerge w:val="restart"/>
                  <w:vAlign w:val="center"/>
                </w:tcPr>
                <w:p>
                  <w:pPr>
                    <w:jc w:val="center"/>
                    <w:rPr>
                      <w:rFonts w:eastAsiaTheme="minorEastAsia"/>
                      <w:color w:val="auto"/>
                      <w:szCs w:val="21"/>
                      <w:lang w:val="zh-CN"/>
                    </w:rPr>
                  </w:pPr>
                  <w:r>
                    <w:rPr>
                      <w:rFonts w:eastAsiaTheme="minorEastAsia"/>
                      <w:color w:val="auto"/>
                      <w:szCs w:val="21"/>
                      <w:lang w:val="zh-CN"/>
                    </w:rPr>
                    <w:t>污水处理厂进、出口</w:t>
                  </w:r>
                </w:p>
              </w:tc>
              <w:tc>
                <w:tcPr>
                  <w:tcW w:w="2126" w:type="dxa"/>
                  <w:vAlign w:val="center"/>
                </w:tcPr>
                <w:p>
                  <w:pPr>
                    <w:jc w:val="center"/>
                    <w:rPr>
                      <w:rFonts w:eastAsiaTheme="minorEastAsia"/>
                      <w:color w:val="auto"/>
                      <w:szCs w:val="21"/>
                    </w:rPr>
                  </w:pPr>
                  <w:r>
                    <w:rPr>
                      <w:rFonts w:eastAsiaTheme="minorEastAsia"/>
                      <w:color w:val="auto"/>
                      <w:szCs w:val="21"/>
                    </w:rPr>
                    <w:t>COD</w:t>
                  </w:r>
                  <w:r>
                    <w:rPr>
                      <w:rFonts w:eastAsiaTheme="minorEastAsia"/>
                      <w:color w:val="auto"/>
                      <w:szCs w:val="21"/>
                      <w:vertAlign w:val="subscript"/>
                    </w:rPr>
                    <w:t>Cr</w:t>
                  </w:r>
                  <w:r>
                    <w:rPr>
                      <w:rFonts w:eastAsiaTheme="minorEastAsia"/>
                      <w:color w:val="auto"/>
                      <w:szCs w:val="21"/>
                      <w:lang w:val="zh-CN"/>
                    </w:rPr>
                    <w:t>、</w:t>
                  </w:r>
                  <w:r>
                    <w:rPr>
                      <w:rFonts w:eastAsiaTheme="minorEastAsia"/>
                      <w:color w:val="auto"/>
                      <w:szCs w:val="21"/>
                    </w:rPr>
                    <w:t>NH</w:t>
                  </w:r>
                  <w:r>
                    <w:rPr>
                      <w:rFonts w:eastAsiaTheme="minorEastAsia"/>
                      <w:color w:val="auto"/>
                      <w:szCs w:val="21"/>
                      <w:vertAlign w:val="subscript"/>
                    </w:rPr>
                    <w:t>3</w:t>
                  </w:r>
                  <w:r>
                    <w:rPr>
                      <w:rFonts w:eastAsiaTheme="minorEastAsia"/>
                      <w:color w:val="auto"/>
                      <w:szCs w:val="21"/>
                    </w:rPr>
                    <w:t>-N</w:t>
                  </w:r>
                </w:p>
              </w:tc>
              <w:tc>
                <w:tcPr>
                  <w:tcW w:w="1843" w:type="dxa"/>
                  <w:vMerge w:val="restart"/>
                  <w:vAlign w:val="center"/>
                </w:tcPr>
                <w:p>
                  <w:pPr>
                    <w:jc w:val="center"/>
                    <w:rPr>
                      <w:rFonts w:eastAsiaTheme="minorEastAsia"/>
                      <w:color w:val="auto"/>
                      <w:szCs w:val="21"/>
                    </w:rPr>
                  </w:pPr>
                  <w:r>
                    <w:rPr>
                      <w:rFonts w:eastAsiaTheme="minorEastAsia"/>
                      <w:color w:val="auto"/>
                      <w:szCs w:val="21"/>
                    </w:rPr>
                    <w:t>每季度1次</w:t>
                  </w:r>
                </w:p>
              </w:tc>
              <w:tc>
                <w:tcPr>
                  <w:tcW w:w="1559" w:type="dxa"/>
                  <w:vMerge w:val="restart"/>
                  <w:vAlign w:val="center"/>
                </w:tcPr>
                <w:p>
                  <w:pPr>
                    <w:jc w:val="center"/>
                    <w:rPr>
                      <w:rFonts w:eastAsiaTheme="minorEastAsia"/>
                      <w:color w:val="auto"/>
                      <w:szCs w:val="21"/>
                    </w:rPr>
                  </w:pPr>
                  <w:r>
                    <w:rPr>
                      <w:rFonts w:eastAsiaTheme="minorEastAsia"/>
                      <w:color w:val="auto"/>
                      <w:szCs w:val="21"/>
                      <w:lang w:val="zh-CN"/>
                    </w:rPr>
                    <w:t>有监测资质的机构</w:t>
                  </w:r>
                </w:p>
              </w:tc>
              <w:tc>
                <w:tcPr>
                  <w:tcW w:w="1295" w:type="dxa"/>
                  <w:vMerge w:val="restart"/>
                  <w:vAlign w:val="center"/>
                </w:tcPr>
                <w:p>
                  <w:pPr>
                    <w:jc w:val="center"/>
                    <w:rPr>
                      <w:rFonts w:eastAsiaTheme="minorEastAsia"/>
                      <w:color w:val="auto"/>
                      <w:szCs w:val="21"/>
                    </w:rPr>
                  </w:pPr>
                  <w:r>
                    <w:rPr>
                      <w:rFonts w:eastAsiaTheme="minorEastAsia"/>
                      <w:color w:val="auto"/>
                      <w:szCs w:val="21"/>
                    </w:rPr>
                    <w:t>建设单位</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3" w:type="dxa"/>
                  <w:vMerge w:val="continue"/>
                  <w:vAlign w:val="center"/>
                </w:tcPr>
                <w:p>
                  <w:pPr>
                    <w:jc w:val="center"/>
                    <w:rPr>
                      <w:rFonts w:eastAsiaTheme="minorEastAsia"/>
                      <w:color w:val="auto"/>
                      <w:szCs w:val="21"/>
                    </w:rPr>
                  </w:pPr>
                </w:p>
              </w:tc>
              <w:tc>
                <w:tcPr>
                  <w:tcW w:w="992" w:type="dxa"/>
                  <w:vMerge w:val="continue"/>
                  <w:vAlign w:val="center"/>
                </w:tcPr>
                <w:p>
                  <w:pPr>
                    <w:jc w:val="center"/>
                    <w:rPr>
                      <w:rFonts w:eastAsiaTheme="minorEastAsia"/>
                      <w:color w:val="auto"/>
                      <w:szCs w:val="21"/>
                    </w:rPr>
                  </w:pPr>
                </w:p>
              </w:tc>
              <w:tc>
                <w:tcPr>
                  <w:tcW w:w="2126" w:type="dxa"/>
                  <w:vAlign w:val="center"/>
                </w:tcPr>
                <w:p>
                  <w:pPr>
                    <w:jc w:val="center"/>
                    <w:rPr>
                      <w:rFonts w:eastAsiaTheme="minorEastAsia"/>
                      <w:color w:val="auto"/>
                      <w:szCs w:val="21"/>
                    </w:rPr>
                  </w:pPr>
                  <w:r>
                    <w:rPr>
                      <w:rFonts w:eastAsiaTheme="minorEastAsia"/>
                      <w:color w:val="auto"/>
                      <w:szCs w:val="21"/>
                    </w:rPr>
                    <w:t>BOD</w:t>
                  </w:r>
                  <w:r>
                    <w:rPr>
                      <w:rFonts w:eastAsiaTheme="minorEastAsia"/>
                      <w:color w:val="auto"/>
                      <w:szCs w:val="21"/>
                      <w:vertAlign w:val="subscript"/>
                    </w:rPr>
                    <w:t>5</w:t>
                  </w:r>
                  <w:r>
                    <w:rPr>
                      <w:rFonts w:eastAsiaTheme="minorEastAsia"/>
                      <w:color w:val="auto"/>
                      <w:szCs w:val="21"/>
                      <w:lang w:val="zh-CN"/>
                    </w:rPr>
                    <w:t>、</w:t>
                  </w:r>
                  <w:r>
                    <w:rPr>
                      <w:rFonts w:eastAsiaTheme="minorEastAsia"/>
                      <w:color w:val="auto"/>
                      <w:szCs w:val="21"/>
                    </w:rPr>
                    <w:t>SS</w:t>
                  </w:r>
                  <w:r>
                    <w:rPr>
                      <w:rFonts w:eastAsiaTheme="minorEastAsia"/>
                      <w:color w:val="auto"/>
                      <w:szCs w:val="21"/>
                      <w:lang w:val="zh-CN"/>
                    </w:rPr>
                    <w:t>、</w:t>
                  </w:r>
                  <w:r>
                    <w:rPr>
                      <w:rFonts w:eastAsiaTheme="minorEastAsia"/>
                      <w:color w:val="auto"/>
                      <w:szCs w:val="21"/>
                    </w:rPr>
                    <w:t>TN</w:t>
                  </w:r>
                  <w:r>
                    <w:rPr>
                      <w:rFonts w:eastAsiaTheme="minorEastAsia"/>
                      <w:color w:val="auto"/>
                      <w:szCs w:val="21"/>
                      <w:lang w:val="zh-CN"/>
                    </w:rPr>
                    <w:t>、</w:t>
                  </w:r>
                  <w:r>
                    <w:rPr>
                      <w:rFonts w:eastAsiaTheme="minorEastAsia"/>
                      <w:color w:val="auto"/>
                      <w:szCs w:val="21"/>
                    </w:rPr>
                    <w:t>TP</w:t>
                  </w:r>
                </w:p>
              </w:tc>
              <w:tc>
                <w:tcPr>
                  <w:tcW w:w="1843" w:type="dxa"/>
                  <w:vMerge w:val="continue"/>
                  <w:vAlign w:val="center"/>
                </w:tcPr>
                <w:p>
                  <w:pPr>
                    <w:jc w:val="center"/>
                    <w:rPr>
                      <w:rFonts w:eastAsiaTheme="minorEastAsia"/>
                      <w:color w:val="auto"/>
                      <w:szCs w:val="21"/>
                    </w:rPr>
                  </w:pPr>
                </w:p>
              </w:tc>
              <w:tc>
                <w:tcPr>
                  <w:tcW w:w="1559" w:type="dxa"/>
                  <w:vMerge w:val="continue"/>
                  <w:vAlign w:val="center"/>
                </w:tcPr>
                <w:p>
                  <w:pPr>
                    <w:jc w:val="center"/>
                    <w:rPr>
                      <w:rFonts w:eastAsiaTheme="minorEastAsia"/>
                      <w:color w:val="auto"/>
                      <w:szCs w:val="21"/>
                    </w:rPr>
                  </w:pPr>
                </w:p>
              </w:tc>
              <w:tc>
                <w:tcPr>
                  <w:tcW w:w="1295" w:type="dxa"/>
                  <w:vMerge w:val="continue"/>
                  <w:vAlign w:val="center"/>
                </w:tcPr>
                <w:p>
                  <w:pPr>
                    <w:jc w:val="center"/>
                    <w:rPr>
                      <w:rFonts w:eastAsiaTheme="minorEastAsia"/>
                      <w:color w:val="auto"/>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3" w:type="dxa"/>
                  <w:vMerge w:val="continue"/>
                  <w:vAlign w:val="center"/>
                </w:tcPr>
                <w:p>
                  <w:pPr>
                    <w:jc w:val="center"/>
                    <w:rPr>
                      <w:rFonts w:eastAsiaTheme="minorEastAsia"/>
                      <w:color w:val="auto"/>
                      <w:szCs w:val="21"/>
                    </w:rPr>
                  </w:pPr>
                </w:p>
              </w:tc>
              <w:tc>
                <w:tcPr>
                  <w:tcW w:w="992" w:type="dxa"/>
                  <w:vMerge w:val="continue"/>
                  <w:vAlign w:val="center"/>
                </w:tcPr>
                <w:p>
                  <w:pPr>
                    <w:jc w:val="center"/>
                    <w:rPr>
                      <w:rFonts w:eastAsiaTheme="minorEastAsia"/>
                      <w:color w:val="auto"/>
                      <w:szCs w:val="21"/>
                    </w:rPr>
                  </w:pPr>
                </w:p>
              </w:tc>
              <w:tc>
                <w:tcPr>
                  <w:tcW w:w="2126" w:type="dxa"/>
                  <w:vAlign w:val="center"/>
                </w:tcPr>
                <w:p>
                  <w:pPr>
                    <w:jc w:val="center"/>
                    <w:rPr>
                      <w:rFonts w:eastAsiaTheme="minorEastAsia"/>
                      <w:color w:val="auto"/>
                      <w:szCs w:val="21"/>
                    </w:rPr>
                  </w:pPr>
                  <w:r>
                    <w:rPr>
                      <w:rFonts w:eastAsiaTheme="minorEastAsia"/>
                      <w:color w:val="auto"/>
                      <w:szCs w:val="21"/>
                    </w:rPr>
                    <w:t>pH</w:t>
                  </w:r>
                  <w:r>
                    <w:rPr>
                      <w:rFonts w:eastAsiaTheme="minorEastAsia"/>
                      <w:color w:val="auto"/>
                      <w:szCs w:val="21"/>
                      <w:lang w:val="zh-CN"/>
                    </w:rPr>
                    <w:t>、</w:t>
                  </w:r>
                  <w:r>
                    <w:rPr>
                      <w:rFonts w:eastAsiaTheme="minorEastAsia"/>
                      <w:color w:val="auto"/>
                      <w:szCs w:val="21"/>
                    </w:rPr>
                    <w:t>COD</w:t>
                  </w:r>
                  <w:r>
                    <w:rPr>
                      <w:rFonts w:eastAsiaTheme="minorEastAsia"/>
                      <w:color w:val="auto"/>
                      <w:szCs w:val="21"/>
                      <w:vertAlign w:val="subscript"/>
                    </w:rPr>
                    <w:t>Cr</w:t>
                  </w:r>
                  <w:r>
                    <w:rPr>
                      <w:rFonts w:eastAsiaTheme="minorEastAsia"/>
                      <w:color w:val="auto"/>
                      <w:szCs w:val="21"/>
                      <w:lang w:val="zh-CN"/>
                    </w:rPr>
                    <w:t>、</w:t>
                  </w:r>
                  <w:r>
                    <w:rPr>
                      <w:rFonts w:eastAsiaTheme="minorEastAsia"/>
                      <w:color w:val="auto"/>
                      <w:szCs w:val="21"/>
                    </w:rPr>
                    <w:t>BOD</w:t>
                  </w:r>
                  <w:r>
                    <w:rPr>
                      <w:rFonts w:eastAsiaTheme="minorEastAsia"/>
                      <w:color w:val="auto"/>
                      <w:szCs w:val="21"/>
                      <w:vertAlign w:val="subscript"/>
                    </w:rPr>
                    <w:t>5</w:t>
                  </w:r>
                  <w:r>
                    <w:rPr>
                      <w:rFonts w:eastAsiaTheme="minorEastAsia"/>
                      <w:color w:val="auto"/>
                      <w:szCs w:val="21"/>
                      <w:lang w:val="zh-CN"/>
                    </w:rPr>
                    <w:t>、</w:t>
                  </w:r>
                  <w:r>
                    <w:rPr>
                      <w:rFonts w:eastAsiaTheme="minorEastAsia"/>
                      <w:color w:val="auto"/>
                      <w:szCs w:val="21"/>
                    </w:rPr>
                    <w:t>SS</w:t>
                  </w:r>
                  <w:r>
                    <w:rPr>
                      <w:rFonts w:eastAsiaTheme="minorEastAsia"/>
                      <w:color w:val="auto"/>
                      <w:szCs w:val="21"/>
                      <w:lang w:val="zh-CN"/>
                    </w:rPr>
                    <w:t>、</w:t>
                  </w:r>
                  <w:r>
                    <w:rPr>
                      <w:rFonts w:eastAsiaTheme="minorEastAsia"/>
                      <w:color w:val="auto"/>
                      <w:szCs w:val="21"/>
                    </w:rPr>
                    <w:t>NH</w:t>
                  </w:r>
                  <w:r>
                    <w:rPr>
                      <w:rFonts w:eastAsiaTheme="minorEastAsia"/>
                      <w:color w:val="auto"/>
                      <w:szCs w:val="21"/>
                      <w:vertAlign w:val="subscript"/>
                    </w:rPr>
                    <w:t>3</w:t>
                  </w:r>
                  <w:r>
                    <w:rPr>
                      <w:rFonts w:eastAsiaTheme="minorEastAsia"/>
                      <w:color w:val="auto"/>
                      <w:szCs w:val="21"/>
                    </w:rPr>
                    <w:t>-N</w:t>
                  </w:r>
                  <w:r>
                    <w:rPr>
                      <w:rFonts w:eastAsiaTheme="minorEastAsia"/>
                      <w:color w:val="auto"/>
                      <w:szCs w:val="21"/>
                      <w:lang w:val="zh-CN"/>
                    </w:rPr>
                    <w:t>、</w:t>
                  </w:r>
                  <w:r>
                    <w:rPr>
                      <w:rFonts w:eastAsiaTheme="minorEastAsia"/>
                      <w:color w:val="auto"/>
                      <w:szCs w:val="21"/>
                    </w:rPr>
                    <w:t>TN</w:t>
                  </w:r>
                  <w:r>
                    <w:rPr>
                      <w:rFonts w:eastAsiaTheme="minorEastAsia"/>
                      <w:color w:val="auto"/>
                      <w:szCs w:val="21"/>
                      <w:lang w:val="zh-CN"/>
                    </w:rPr>
                    <w:t>、</w:t>
                  </w:r>
                  <w:r>
                    <w:rPr>
                      <w:rFonts w:eastAsiaTheme="minorEastAsia"/>
                      <w:color w:val="auto"/>
                      <w:szCs w:val="21"/>
                    </w:rPr>
                    <w:t>TP</w:t>
                  </w:r>
                </w:p>
              </w:tc>
              <w:tc>
                <w:tcPr>
                  <w:tcW w:w="1843" w:type="dxa"/>
                  <w:vAlign w:val="center"/>
                </w:tcPr>
                <w:p>
                  <w:pPr>
                    <w:jc w:val="center"/>
                    <w:rPr>
                      <w:rFonts w:eastAsiaTheme="minorEastAsia"/>
                      <w:color w:val="auto"/>
                      <w:szCs w:val="21"/>
                    </w:rPr>
                  </w:pPr>
                  <w:r>
                    <w:rPr>
                      <w:rFonts w:eastAsiaTheme="minorEastAsia"/>
                      <w:color w:val="auto"/>
                      <w:szCs w:val="21"/>
                    </w:rPr>
                    <w:t>每季度1次，随机抽查</w:t>
                  </w:r>
                </w:p>
              </w:tc>
              <w:tc>
                <w:tcPr>
                  <w:tcW w:w="1559" w:type="dxa"/>
                  <w:vAlign w:val="center"/>
                </w:tcPr>
                <w:p>
                  <w:pPr>
                    <w:jc w:val="center"/>
                    <w:rPr>
                      <w:rFonts w:eastAsiaTheme="minorEastAsia"/>
                      <w:color w:val="auto"/>
                      <w:szCs w:val="21"/>
                      <w:lang w:val="zh-CN"/>
                    </w:rPr>
                  </w:pPr>
                  <w:r>
                    <w:rPr>
                      <w:rFonts w:eastAsiaTheme="minorEastAsia"/>
                      <w:color w:val="auto"/>
                      <w:szCs w:val="21"/>
                      <w:lang w:val="zh-CN"/>
                    </w:rPr>
                    <w:t>有监测资质的机构</w:t>
                  </w:r>
                </w:p>
              </w:tc>
              <w:tc>
                <w:tcPr>
                  <w:tcW w:w="1295" w:type="dxa"/>
                  <w:vAlign w:val="center"/>
                </w:tcPr>
                <w:p>
                  <w:pPr>
                    <w:jc w:val="center"/>
                    <w:rPr>
                      <w:rFonts w:eastAsiaTheme="minorEastAsia"/>
                      <w:color w:val="auto"/>
                      <w:szCs w:val="21"/>
                      <w:lang w:val="zh-CN"/>
                    </w:rPr>
                  </w:pPr>
                  <w:r>
                    <w:rPr>
                      <w:rFonts w:eastAsiaTheme="minorEastAsia"/>
                      <w:color w:val="auto"/>
                      <w:szCs w:val="21"/>
                      <w:lang w:val="zh-CN"/>
                    </w:rPr>
                    <w:t>宁县环境保护局</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3" w:type="dxa"/>
                  <w:vAlign w:val="center"/>
                </w:tcPr>
                <w:p>
                  <w:pPr>
                    <w:jc w:val="center"/>
                    <w:rPr>
                      <w:rFonts w:eastAsiaTheme="minorEastAsia"/>
                      <w:color w:val="auto"/>
                      <w:szCs w:val="21"/>
                    </w:rPr>
                  </w:pPr>
                  <w:r>
                    <w:rPr>
                      <w:rFonts w:eastAsiaTheme="minorEastAsia"/>
                      <w:color w:val="auto"/>
                      <w:szCs w:val="21"/>
                    </w:rPr>
                    <w:t>地下水</w:t>
                  </w:r>
                </w:p>
              </w:tc>
              <w:tc>
                <w:tcPr>
                  <w:tcW w:w="992" w:type="dxa"/>
                  <w:vAlign w:val="center"/>
                </w:tcPr>
                <w:p>
                  <w:pPr>
                    <w:jc w:val="center"/>
                    <w:rPr>
                      <w:rFonts w:eastAsiaTheme="minorEastAsia"/>
                      <w:color w:val="auto"/>
                      <w:szCs w:val="21"/>
                    </w:rPr>
                  </w:pPr>
                  <w:r>
                    <w:rPr>
                      <w:rFonts w:eastAsiaTheme="minorEastAsia"/>
                      <w:color w:val="auto"/>
                      <w:szCs w:val="21"/>
                    </w:rPr>
                    <w:t>下游监控井</w:t>
                  </w:r>
                </w:p>
              </w:tc>
              <w:tc>
                <w:tcPr>
                  <w:tcW w:w="2126" w:type="dxa"/>
                  <w:vAlign w:val="center"/>
                </w:tcPr>
                <w:p>
                  <w:pPr>
                    <w:jc w:val="center"/>
                    <w:rPr>
                      <w:rFonts w:eastAsiaTheme="minorEastAsia"/>
                      <w:color w:val="auto"/>
                      <w:szCs w:val="21"/>
                    </w:rPr>
                  </w:pPr>
                  <w:r>
                    <w:rPr>
                      <w:rFonts w:eastAsiaTheme="minorEastAsia"/>
                      <w:color w:val="auto"/>
                      <w:szCs w:val="21"/>
                    </w:rPr>
                    <w:t>pH、氨氮、砷、汞、六价铬、总硬度、铅、镉、铁、锰、</w:t>
                  </w:r>
                </w:p>
              </w:tc>
              <w:tc>
                <w:tcPr>
                  <w:tcW w:w="1843" w:type="dxa"/>
                  <w:vAlign w:val="center"/>
                </w:tcPr>
                <w:p>
                  <w:pPr>
                    <w:jc w:val="center"/>
                    <w:rPr>
                      <w:rFonts w:eastAsiaTheme="minorEastAsia"/>
                      <w:color w:val="auto"/>
                      <w:szCs w:val="21"/>
                    </w:rPr>
                  </w:pPr>
                  <w:r>
                    <w:rPr>
                      <w:rFonts w:eastAsiaTheme="minorEastAsia"/>
                      <w:color w:val="auto"/>
                      <w:szCs w:val="21"/>
                    </w:rPr>
                    <w:t>每年2次</w:t>
                  </w:r>
                </w:p>
              </w:tc>
              <w:tc>
                <w:tcPr>
                  <w:tcW w:w="1559" w:type="dxa"/>
                  <w:vAlign w:val="center"/>
                </w:tcPr>
                <w:p>
                  <w:pPr>
                    <w:jc w:val="center"/>
                    <w:rPr>
                      <w:rFonts w:eastAsiaTheme="minorEastAsia"/>
                      <w:color w:val="auto"/>
                      <w:szCs w:val="21"/>
                      <w:lang w:val="zh-CN"/>
                    </w:rPr>
                  </w:pPr>
                  <w:r>
                    <w:rPr>
                      <w:rFonts w:eastAsiaTheme="minorEastAsia"/>
                      <w:color w:val="auto"/>
                      <w:szCs w:val="21"/>
                      <w:lang w:val="zh-CN"/>
                    </w:rPr>
                    <w:t>有监测资质的机构</w:t>
                  </w:r>
                </w:p>
              </w:tc>
              <w:tc>
                <w:tcPr>
                  <w:tcW w:w="1295" w:type="dxa"/>
                  <w:vAlign w:val="center"/>
                </w:tcPr>
                <w:p>
                  <w:pPr>
                    <w:jc w:val="center"/>
                    <w:rPr>
                      <w:rFonts w:eastAsiaTheme="minorEastAsia"/>
                      <w:color w:val="auto"/>
                      <w:szCs w:val="21"/>
                      <w:lang w:val="zh-CN"/>
                    </w:rPr>
                  </w:pPr>
                  <w:r>
                    <w:rPr>
                      <w:rFonts w:eastAsiaTheme="minorEastAsia"/>
                      <w:color w:val="auto"/>
                      <w:szCs w:val="21"/>
                      <w:lang w:val="zh-CN"/>
                    </w:rPr>
                    <w:t>宁县环境保护局</w:t>
                  </w:r>
                </w:p>
              </w:tc>
            </w:tr>
          </w:tbl>
          <w:p>
            <w:pPr>
              <w:adjustRightInd w:val="0"/>
              <w:snapToGrid w:val="0"/>
              <w:spacing w:line="360" w:lineRule="auto"/>
              <w:ind w:firstLine="482" w:firstLineChars="200"/>
              <w:rPr>
                <w:rFonts w:eastAsiaTheme="minorEastAsia"/>
                <w:b/>
                <w:color w:val="auto"/>
                <w:sz w:val="24"/>
              </w:rPr>
            </w:pPr>
            <w:r>
              <w:rPr>
                <w:rFonts w:eastAsiaTheme="minorEastAsia"/>
                <w:b/>
                <w:color w:val="auto"/>
                <w:sz w:val="24"/>
              </w:rPr>
              <w:t>2.4排污口规范化管理</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根据国家标准《环境保护图形标志—排放口（源）》和国家环保总局《排污口规范化整治要求（试行）》的技术要求，排污口的规范化要符合环境监理部门的有关要求。</w:t>
            </w:r>
          </w:p>
          <w:p>
            <w:pPr>
              <w:adjustRightInd w:val="0"/>
              <w:snapToGrid w:val="0"/>
              <w:spacing w:line="360" w:lineRule="auto"/>
              <w:ind w:firstLine="361" w:firstLineChars="150"/>
              <w:rPr>
                <w:rFonts w:eastAsiaTheme="minorEastAsia"/>
                <w:color w:val="auto"/>
                <w:sz w:val="24"/>
                <w:lang w:val="zh-CN"/>
              </w:rPr>
            </w:pPr>
            <w:r>
              <w:rPr>
                <w:rFonts w:eastAsiaTheme="minorEastAsia"/>
                <w:b/>
                <w:color w:val="auto"/>
                <w:sz w:val="24"/>
              </w:rPr>
              <w:t>2.4.1 排污口规范化管理的基本原则</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⑴</w:t>
            </w:r>
            <w:r>
              <w:rPr>
                <w:rFonts w:eastAsiaTheme="minorEastAsia"/>
                <w:color w:val="auto"/>
                <w:sz w:val="24"/>
              </w:rPr>
              <w:t>向环境排放污染物的排污口必须规范化。</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⑵</w:t>
            </w:r>
            <w:r>
              <w:rPr>
                <w:rFonts w:eastAsiaTheme="minorEastAsia"/>
                <w:color w:val="auto"/>
                <w:sz w:val="24"/>
              </w:rPr>
              <w:t>排污口应便于采样与计量监测，便于日常现场监督检查。</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⑶</w:t>
            </w:r>
            <w:r>
              <w:rPr>
                <w:rFonts w:eastAsiaTheme="minorEastAsia"/>
                <w:color w:val="auto"/>
                <w:sz w:val="24"/>
              </w:rPr>
              <w:t>各污染物排放口，应按国家《环境保护图形标志》（15562.1-1995）与（GB15562.2-1995）的规定，设置国家环保部统一制作的环境保护图形标志牌。</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⑷</w:t>
            </w:r>
            <w:r>
              <w:rPr>
                <w:rFonts w:eastAsiaTheme="minorEastAsia"/>
                <w:color w:val="auto"/>
                <w:sz w:val="24"/>
              </w:rPr>
              <w:t>污染物排放口的环保图形标志牌应设置在靠近采样点的醒目处，标志牌设置高度为其上缘距地面2m。</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⑸</w:t>
            </w:r>
            <w:r>
              <w:rPr>
                <w:rFonts w:eastAsiaTheme="minorEastAsia"/>
                <w:color w:val="auto"/>
                <w:sz w:val="24"/>
              </w:rPr>
              <w:t>各排气筒设置便于采样、监测的采样口和采样监测平台。废气净化设施的进出口均设置采样口。</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⑹</w:t>
            </w:r>
            <w:r>
              <w:rPr>
                <w:rFonts w:eastAsiaTheme="minorEastAsia"/>
                <w:color w:val="auto"/>
                <w:sz w:val="24"/>
              </w:rPr>
              <w:t>在固定噪声源风机对厂界噪声影响最大处设置环境保护图形标志牌。</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 7 \* GB2 </w:instrText>
            </w:r>
            <w:r>
              <w:rPr>
                <w:rFonts w:eastAsiaTheme="minorEastAsia"/>
                <w:color w:val="auto"/>
                <w:sz w:val="24"/>
              </w:rPr>
              <w:fldChar w:fldCharType="separate"/>
            </w:r>
            <w:r>
              <w:rPr>
                <w:rFonts w:hint="eastAsia" w:ascii="宋体" w:hAnsi="宋体" w:cs="宋体"/>
                <w:color w:val="auto"/>
                <w:sz w:val="24"/>
              </w:rPr>
              <w:t>⑺</w:t>
            </w:r>
            <w:r>
              <w:rPr>
                <w:rFonts w:eastAsiaTheme="minorEastAsia"/>
                <w:color w:val="auto"/>
                <w:sz w:val="24"/>
              </w:rPr>
              <w:fldChar w:fldCharType="end"/>
            </w:r>
            <w:r>
              <w:rPr>
                <w:rFonts w:eastAsiaTheme="minorEastAsia"/>
                <w:color w:val="auto"/>
                <w:sz w:val="24"/>
              </w:rPr>
              <w:t>固体废物储存场所要有防火、防扬散、防流失、防渗漏、防雨措施，固体废物贮存场所在醒目处设置一个标志牌。</w:t>
            </w:r>
          </w:p>
          <w:p>
            <w:pPr>
              <w:adjustRightInd w:val="0"/>
              <w:snapToGrid w:val="0"/>
              <w:spacing w:line="360" w:lineRule="auto"/>
              <w:ind w:firstLine="482" w:firstLineChars="200"/>
              <w:rPr>
                <w:rFonts w:eastAsiaTheme="minorEastAsia"/>
                <w:color w:val="auto"/>
                <w:sz w:val="24"/>
              </w:rPr>
            </w:pPr>
            <w:r>
              <w:rPr>
                <w:rFonts w:eastAsiaTheme="minorEastAsia"/>
                <w:b/>
                <w:color w:val="auto"/>
                <w:sz w:val="24"/>
              </w:rPr>
              <w:t>2.4.2 排污口的技术要求</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排污口必须按照规定设置与排污口相对应的环境保护图形标志牌。未经环保部门许可，任何单位和个人不得擅自设置、移动、扩大和改变排污口。</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排污者应建立排污口基础资料档案和管理档案。排污者对排污口及其监测计量装置、仪器设备和环保图形标志牌等环境保护设施，要制定相应的管理办法和维护保养制度。</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对污水排放口规范化设置具体要求如下：</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⑴</w:t>
            </w:r>
            <w:r>
              <w:rPr>
                <w:rFonts w:eastAsiaTheme="minorEastAsia"/>
                <w:color w:val="auto"/>
                <w:sz w:val="24"/>
              </w:rPr>
              <w:t>凡生产经营场所集中在一个地点的单位，原则上只允许设污水和“清下水”排污口各一个。确因特殊原因需要增加排污口，须报经环保部门审核同意。排污者已有多个排污口的，必须按照清污分流、雨污分流的原则，进行管网、排污口归并整治。</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⑵</w:t>
            </w:r>
            <w:r>
              <w:rPr>
                <w:rFonts w:eastAsiaTheme="minorEastAsia"/>
                <w:color w:val="auto"/>
                <w:sz w:val="24"/>
              </w:rPr>
              <w:t>污水排放口位置应根据实际地形和排放污染物的种类情况确定，原则应设置一段长度不小于1米长的明渠。排污口位置须合理确定，依据环监[1996]470号文件要求进行规范化管理。</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⑶</w:t>
            </w:r>
            <w:r>
              <w:rPr>
                <w:rFonts w:eastAsiaTheme="minorEastAsia"/>
                <w:color w:val="auto"/>
                <w:sz w:val="24"/>
              </w:rPr>
              <w:t>排污口须满足采样监测要求。经环保部门批准允许用暗管或暗渠排污的，要设置能满足采样条件的采样井或采样渠。压力管道式排污口应安装取样阀门。</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⑷</w:t>
            </w:r>
            <w:r>
              <w:rPr>
                <w:rFonts w:eastAsiaTheme="minorEastAsia"/>
                <w:color w:val="auto"/>
                <w:sz w:val="24"/>
              </w:rPr>
              <w:t>凡排放一类污染物或日排放污水100吨以上的排污单位，必须在一类污染物的排污口和总排污口设置一段与排放污水有明显色差的测流渠（管），以满足测量流量及监控的要求：利用排污渠道排放污水，污水流量宜采用堰槽法进行测量，测量方法应符合《堰槽测流规范》（SL24－1991）。使用其它方法测流时，可按测流仪器说明进行测量，测流仪器前应设置调节池和平稳过水段，确保水流为稳定流状态，以保证测量精度；利用封闭管道排放污水，污水流量宜采用电磁流量计进行测量。</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⑸</w:t>
            </w:r>
            <w:r>
              <w:rPr>
                <w:rFonts w:eastAsiaTheme="minorEastAsia"/>
                <w:color w:val="auto"/>
                <w:sz w:val="24"/>
              </w:rPr>
              <w:t>确因特殊原因无法修建测流段和安装污水流量计的排污者应向环保部门申明原因，其污水流量计算方法应得到环保部门的认可。</w:t>
            </w:r>
          </w:p>
          <w:p>
            <w:pPr>
              <w:adjustRightInd w:val="0"/>
              <w:snapToGrid w:val="0"/>
              <w:spacing w:line="360" w:lineRule="auto"/>
              <w:ind w:firstLine="482" w:firstLineChars="200"/>
              <w:rPr>
                <w:rFonts w:eastAsiaTheme="minorEastAsia"/>
                <w:color w:val="auto"/>
                <w:sz w:val="24"/>
              </w:rPr>
            </w:pPr>
            <w:r>
              <w:rPr>
                <w:rFonts w:eastAsiaTheme="minorEastAsia"/>
                <w:b/>
                <w:color w:val="auto"/>
                <w:sz w:val="24"/>
              </w:rPr>
              <w:t>2.4.3 排污口立标管理</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⑴</w:t>
            </w:r>
            <w:r>
              <w:rPr>
                <w:rFonts w:eastAsiaTheme="minorEastAsia"/>
                <w:color w:val="auto"/>
                <w:sz w:val="24"/>
              </w:rPr>
              <w:t>企业污染物排放口标志，应按照《环境保护图形标志排放口》（15562.1-1995）及《环境保护图形标志固体废物储存（处置）场》（15562.2-1995）的规定，设置环保部统一制作的环境保护图形标志牌。</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⑵</w:t>
            </w:r>
            <w:r>
              <w:rPr>
                <w:rFonts w:eastAsiaTheme="minorEastAsia"/>
                <w:color w:val="auto"/>
                <w:sz w:val="24"/>
              </w:rPr>
              <w:t>污染物排放口的环境保护图形标志牌应设置在靠近采样点的醒目处，标志牌设置高度为其上缘距地面约2m，排污口附近1m范围内有建筑物的，设平面式标志牌，无建筑物的设立式标志牌。</w:t>
            </w:r>
            <w:bookmarkStart w:id="15" w:name="_Toc236619464"/>
            <w:bookmarkStart w:id="16" w:name="_Toc385721809"/>
            <w:bookmarkStart w:id="17" w:name="_Toc167352992"/>
          </w:p>
          <w:p>
            <w:pPr>
              <w:adjustRightInd w:val="0"/>
              <w:snapToGrid w:val="0"/>
              <w:spacing w:line="360" w:lineRule="auto"/>
              <w:ind w:firstLine="479" w:firstLineChars="199"/>
              <w:rPr>
                <w:rFonts w:eastAsiaTheme="minorEastAsia"/>
                <w:color w:val="auto"/>
                <w:sz w:val="24"/>
              </w:rPr>
            </w:pPr>
            <w:r>
              <w:rPr>
                <w:rFonts w:eastAsiaTheme="minorEastAsia"/>
                <w:b/>
                <w:color w:val="auto"/>
                <w:sz w:val="24"/>
              </w:rPr>
              <w:t>2.4.4排污口建档管理</w:t>
            </w:r>
            <w:bookmarkEnd w:id="15"/>
            <w:bookmarkEnd w:id="16"/>
            <w:bookmarkEnd w:id="17"/>
          </w:p>
          <w:p>
            <w:pPr>
              <w:adjustRightInd w:val="0"/>
              <w:snapToGrid w:val="0"/>
              <w:spacing w:line="360" w:lineRule="auto"/>
              <w:ind w:firstLine="480" w:firstLineChars="200"/>
              <w:rPr>
                <w:rFonts w:eastAsiaTheme="minorEastAsia"/>
                <w:color w:val="auto"/>
                <w:sz w:val="24"/>
              </w:rPr>
            </w:pPr>
            <w:r>
              <w:rPr>
                <w:rFonts w:eastAsiaTheme="minorEastAsia"/>
                <w:color w:val="auto"/>
                <w:sz w:val="24"/>
              </w:rPr>
              <w:t>要求项目单位使用环保部统一印制的《中华人民共和国规范化排污口标志登记证》，并按要求填写有关内容。此外，应当根据排污口管理档案内容要求，项目建成并投入运营以后，应将主要污染物种类、数量、浓度、排放去向、达标情况及设施运行情况记录于档案。</w:t>
            </w:r>
          </w:p>
          <w:p>
            <w:pPr>
              <w:adjustRightInd w:val="0"/>
              <w:snapToGrid w:val="0"/>
              <w:spacing w:line="360" w:lineRule="auto"/>
              <w:ind w:firstLine="482" w:firstLineChars="200"/>
              <w:rPr>
                <w:rFonts w:eastAsiaTheme="minorEastAsia"/>
                <w:b/>
                <w:color w:val="auto"/>
                <w:sz w:val="24"/>
              </w:rPr>
            </w:pPr>
            <w:r>
              <w:rPr>
                <w:rFonts w:eastAsiaTheme="minorEastAsia"/>
                <w:b/>
                <w:color w:val="auto"/>
                <w:sz w:val="24"/>
              </w:rPr>
              <w:t>2.5环境保护“三同时”验收一览表</w:t>
            </w:r>
          </w:p>
          <w:p>
            <w:pPr>
              <w:pStyle w:val="20"/>
              <w:adjustRightInd w:val="0"/>
              <w:snapToGrid w:val="0"/>
              <w:spacing w:line="360" w:lineRule="auto"/>
              <w:ind w:left="0" w:leftChars="0" w:firstLine="360" w:firstLineChars="150"/>
              <w:rPr>
                <w:rFonts w:eastAsiaTheme="minorEastAsia"/>
                <w:color w:val="auto"/>
                <w:sz w:val="24"/>
              </w:rPr>
            </w:pPr>
            <w:r>
              <w:rPr>
                <w:rFonts w:eastAsiaTheme="minorEastAsia"/>
                <w:color w:val="auto"/>
                <w:sz w:val="24"/>
              </w:rPr>
              <w:t>依据建设项目管理办法，环境保护设施必须与主体工程同时设计、同时施工、同时投入使用，在建设项目完成后，应对环境保护设施进行验收。本工程环保设施“三同时”验收内容见表81。</w:t>
            </w:r>
          </w:p>
          <w:p>
            <w:pPr>
              <w:adjustRightInd w:val="0"/>
              <w:snapToGrid w:val="0"/>
              <w:spacing w:line="360" w:lineRule="auto"/>
              <w:jc w:val="center"/>
              <w:rPr>
                <w:rFonts w:eastAsiaTheme="minorEastAsia"/>
                <w:b/>
                <w:color w:val="auto"/>
                <w:sz w:val="24"/>
              </w:rPr>
            </w:pPr>
            <w:r>
              <w:rPr>
                <w:rFonts w:eastAsiaTheme="minorEastAsia"/>
                <w:b/>
                <w:color w:val="auto"/>
                <w:sz w:val="24"/>
              </w:rPr>
              <w:t>表81  “三同时”验收一览表</w:t>
            </w:r>
          </w:p>
          <w:tbl>
            <w:tblPr>
              <w:tblStyle w:val="38"/>
              <w:tblW w:w="8611" w:type="dxa"/>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8"/>
              <w:gridCol w:w="1227"/>
              <w:gridCol w:w="3030"/>
              <w:gridCol w:w="3616"/>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12" w:hRule="atLeast"/>
              </w:trPr>
              <w:tc>
                <w:tcPr>
                  <w:tcW w:w="738" w:type="dxa"/>
                  <w:vAlign w:val="center"/>
                </w:tcPr>
                <w:p>
                  <w:pPr>
                    <w:adjustRightInd w:val="0"/>
                    <w:snapToGrid w:val="0"/>
                    <w:jc w:val="center"/>
                    <w:rPr>
                      <w:rFonts w:eastAsiaTheme="minorEastAsia"/>
                      <w:color w:val="auto"/>
                      <w:szCs w:val="21"/>
                    </w:rPr>
                  </w:pPr>
                  <w:r>
                    <w:rPr>
                      <w:rFonts w:eastAsiaTheme="minorEastAsia"/>
                      <w:color w:val="auto"/>
                      <w:szCs w:val="21"/>
                    </w:rPr>
                    <w:t>类别</w:t>
                  </w:r>
                </w:p>
              </w:tc>
              <w:tc>
                <w:tcPr>
                  <w:tcW w:w="1227" w:type="dxa"/>
                  <w:vAlign w:val="center"/>
                </w:tcPr>
                <w:p>
                  <w:pPr>
                    <w:adjustRightInd w:val="0"/>
                    <w:snapToGrid w:val="0"/>
                    <w:jc w:val="center"/>
                    <w:rPr>
                      <w:rFonts w:eastAsiaTheme="minorEastAsia"/>
                      <w:color w:val="auto"/>
                      <w:szCs w:val="21"/>
                    </w:rPr>
                  </w:pPr>
                  <w:r>
                    <w:rPr>
                      <w:rFonts w:eastAsiaTheme="minorEastAsia"/>
                      <w:color w:val="auto"/>
                      <w:szCs w:val="21"/>
                    </w:rPr>
                    <w:t>验收内容</w:t>
                  </w:r>
                </w:p>
              </w:tc>
              <w:tc>
                <w:tcPr>
                  <w:tcW w:w="3030" w:type="dxa"/>
                  <w:vAlign w:val="center"/>
                </w:tcPr>
                <w:p>
                  <w:pPr>
                    <w:adjustRightInd w:val="0"/>
                    <w:snapToGrid w:val="0"/>
                    <w:jc w:val="center"/>
                    <w:rPr>
                      <w:rFonts w:eastAsiaTheme="minorEastAsia"/>
                      <w:color w:val="auto"/>
                      <w:szCs w:val="21"/>
                    </w:rPr>
                  </w:pPr>
                  <w:r>
                    <w:rPr>
                      <w:rFonts w:eastAsiaTheme="minorEastAsia"/>
                      <w:color w:val="auto"/>
                      <w:szCs w:val="21"/>
                    </w:rPr>
                    <w:t>治理措施</w:t>
                  </w:r>
                </w:p>
              </w:tc>
              <w:tc>
                <w:tcPr>
                  <w:tcW w:w="3616" w:type="dxa"/>
                  <w:vAlign w:val="center"/>
                </w:tcPr>
                <w:p>
                  <w:pPr>
                    <w:adjustRightInd w:val="0"/>
                    <w:snapToGrid w:val="0"/>
                    <w:jc w:val="center"/>
                    <w:rPr>
                      <w:rFonts w:eastAsiaTheme="minorEastAsia"/>
                      <w:color w:val="auto"/>
                      <w:szCs w:val="21"/>
                    </w:rPr>
                  </w:pPr>
                  <w:r>
                    <w:rPr>
                      <w:rFonts w:eastAsiaTheme="minorEastAsia"/>
                      <w:color w:val="auto"/>
                      <w:szCs w:val="21"/>
                    </w:rPr>
                    <w:t>验收要求</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8" w:hRule="atLeast"/>
              </w:trPr>
              <w:tc>
                <w:tcPr>
                  <w:tcW w:w="738" w:type="dxa"/>
                  <w:vAlign w:val="center"/>
                </w:tcPr>
                <w:p>
                  <w:pPr>
                    <w:adjustRightInd w:val="0"/>
                    <w:snapToGrid w:val="0"/>
                    <w:jc w:val="center"/>
                    <w:rPr>
                      <w:rFonts w:eastAsiaTheme="minorEastAsia"/>
                      <w:color w:val="auto"/>
                      <w:szCs w:val="21"/>
                    </w:rPr>
                  </w:pPr>
                  <w:r>
                    <w:rPr>
                      <w:rFonts w:eastAsiaTheme="minorEastAsia"/>
                      <w:color w:val="auto"/>
                      <w:szCs w:val="21"/>
                    </w:rPr>
                    <w:t>废气</w:t>
                  </w:r>
                </w:p>
              </w:tc>
              <w:tc>
                <w:tcPr>
                  <w:tcW w:w="1227" w:type="dxa"/>
                  <w:vAlign w:val="center"/>
                </w:tcPr>
                <w:p>
                  <w:pPr>
                    <w:adjustRightInd w:val="0"/>
                    <w:snapToGrid w:val="0"/>
                    <w:jc w:val="center"/>
                    <w:rPr>
                      <w:rFonts w:eastAsiaTheme="minorEastAsia"/>
                      <w:color w:val="auto"/>
                      <w:szCs w:val="21"/>
                    </w:rPr>
                  </w:pPr>
                  <w:r>
                    <w:rPr>
                      <w:rFonts w:eastAsiaTheme="minorEastAsia"/>
                      <w:color w:val="auto"/>
                      <w:szCs w:val="21"/>
                    </w:rPr>
                    <w:t>恶臭气体</w:t>
                  </w:r>
                </w:p>
              </w:tc>
              <w:tc>
                <w:tcPr>
                  <w:tcW w:w="3030" w:type="dxa"/>
                  <w:vAlign w:val="center"/>
                </w:tcPr>
                <w:p>
                  <w:pPr>
                    <w:adjustRightInd w:val="0"/>
                    <w:snapToGrid w:val="0"/>
                    <w:jc w:val="center"/>
                    <w:rPr>
                      <w:rFonts w:eastAsiaTheme="minorEastAsia"/>
                      <w:color w:val="auto"/>
                      <w:szCs w:val="21"/>
                    </w:rPr>
                  </w:pPr>
                  <w:r>
                    <w:rPr>
                      <w:rFonts w:eastAsiaTheme="minorEastAsia"/>
                      <w:color w:val="auto"/>
                      <w:szCs w:val="21"/>
                    </w:rPr>
                    <w:t>储泥池，池顶采用玻璃钢盖板密封，污泥脱水机房和产生臭气的设备间采用封闭式结构，定期喷洒除臭剂</w:t>
                  </w:r>
                </w:p>
              </w:tc>
              <w:tc>
                <w:tcPr>
                  <w:tcW w:w="3616" w:type="dxa"/>
                  <w:vAlign w:val="center"/>
                </w:tcPr>
                <w:p>
                  <w:pPr>
                    <w:adjustRightInd w:val="0"/>
                    <w:snapToGrid w:val="0"/>
                    <w:jc w:val="center"/>
                    <w:rPr>
                      <w:rFonts w:eastAsiaTheme="minorEastAsia"/>
                      <w:color w:val="auto"/>
                      <w:szCs w:val="21"/>
                    </w:rPr>
                  </w:pPr>
                  <w:r>
                    <w:rPr>
                      <w:rFonts w:eastAsiaTheme="minorEastAsia"/>
                      <w:color w:val="auto"/>
                      <w:szCs w:val="21"/>
                    </w:rPr>
                    <w:t>NH</w:t>
                  </w:r>
                  <w:r>
                    <w:rPr>
                      <w:rFonts w:eastAsiaTheme="minorEastAsia"/>
                      <w:color w:val="auto"/>
                      <w:szCs w:val="21"/>
                      <w:vertAlign w:val="subscript"/>
                    </w:rPr>
                    <w:t>3</w:t>
                  </w:r>
                  <w:r>
                    <w:rPr>
                      <w:rFonts w:eastAsiaTheme="minorEastAsia"/>
                      <w:color w:val="auto"/>
                      <w:szCs w:val="21"/>
                    </w:rPr>
                    <w:t>、H</w:t>
                  </w:r>
                  <w:r>
                    <w:rPr>
                      <w:rFonts w:eastAsiaTheme="minorEastAsia"/>
                      <w:color w:val="auto"/>
                      <w:szCs w:val="21"/>
                      <w:vertAlign w:val="subscript"/>
                    </w:rPr>
                    <w:t>2</w:t>
                  </w:r>
                  <w:r>
                    <w:rPr>
                      <w:rFonts w:eastAsiaTheme="minorEastAsia"/>
                      <w:color w:val="auto"/>
                      <w:szCs w:val="21"/>
                    </w:rPr>
                    <w:t>S排放执行《城镇污水处理厂污染物排放标准》（GB18918-2002）中表4厂界（防护带边缘）废气排放最高容许浓度</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738" w:type="dxa"/>
                  <w:vAlign w:val="center"/>
                </w:tcPr>
                <w:p>
                  <w:pPr>
                    <w:adjustRightInd w:val="0"/>
                    <w:snapToGrid w:val="0"/>
                    <w:jc w:val="center"/>
                    <w:rPr>
                      <w:rFonts w:eastAsiaTheme="minorEastAsia"/>
                      <w:color w:val="auto"/>
                      <w:szCs w:val="21"/>
                    </w:rPr>
                  </w:pPr>
                  <w:r>
                    <w:rPr>
                      <w:rFonts w:eastAsiaTheme="minorEastAsia"/>
                      <w:color w:val="auto"/>
                      <w:szCs w:val="21"/>
                    </w:rPr>
                    <w:t>废水</w:t>
                  </w:r>
                </w:p>
              </w:tc>
              <w:tc>
                <w:tcPr>
                  <w:tcW w:w="1227" w:type="dxa"/>
                  <w:vAlign w:val="center"/>
                </w:tcPr>
                <w:p>
                  <w:pPr>
                    <w:adjustRightInd w:val="0"/>
                    <w:snapToGrid w:val="0"/>
                    <w:jc w:val="center"/>
                    <w:rPr>
                      <w:rFonts w:eastAsiaTheme="minorEastAsia"/>
                      <w:color w:val="auto"/>
                      <w:szCs w:val="21"/>
                    </w:rPr>
                  </w:pPr>
                  <w:r>
                    <w:rPr>
                      <w:rFonts w:eastAsiaTheme="minorEastAsia"/>
                      <w:color w:val="auto"/>
                      <w:szCs w:val="21"/>
                    </w:rPr>
                    <w:t>污水</w:t>
                  </w:r>
                </w:p>
              </w:tc>
              <w:tc>
                <w:tcPr>
                  <w:tcW w:w="3030" w:type="dxa"/>
                  <w:vAlign w:val="center"/>
                </w:tcPr>
                <w:p>
                  <w:pPr>
                    <w:adjustRightInd w:val="0"/>
                    <w:snapToGrid w:val="0"/>
                    <w:jc w:val="center"/>
                    <w:rPr>
                      <w:rFonts w:eastAsiaTheme="minorEastAsia"/>
                      <w:color w:val="auto"/>
                      <w:szCs w:val="21"/>
                    </w:rPr>
                  </w:pPr>
                  <w:r>
                    <w:rPr>
                      <w:rFonts w:eastAsiaTheme="minorEastAsia"/>
                      <w:bCs/>
                      <w:color w:val="auto"/>
                      <w:kern w:val="0"/>
                      <w:szCs w:val="21"/>
                    </w:rPr>
                    <w:t>A</w:t>
                  </w:r>
                  <w:r>
                    <w:rPr>
                      <w:rFonts w:eastAsiaTheme="minorEastAsia"/>
                      <w:bCs/>
                      <w:color w:val="auto"/>
                      <w:kern w:val="0"/>
                      <w:szCs w:val="21"/>
                      <w:vertAlign w:val="superscript"/>
                    </w:rPr>
                    <w:t>2</w:t>
                  </w:r>
                  <w:r>
                    <w:rPr>
                      <w:rFonts w:eastAsiaTheme="minorEastAsia"/>
                      <w:bCs/>
                      <w:color w:val="auto"/>
                      <w:kern w:val="0"/>
                      <w:szCs w:val="21"/>
                    </w:rPr>
                    <w:t>/O+MBR一体化组合式污水处理设备</w:t>
                  </w:r>
                </w:p>
              </w:tc>
              <w:tc>
                <w:tcPr>
                  <w:tcW w:w="3616" w:type="dxa"/>
                  <w:vAlign w:val="center"/>
                </w:tcPr>
                <w:p>
                  <w:pPr>
                    <w:adjustRightInd w:val="0"/>
                    <w:snapToGrid w:val="0"/>
                    <w:jc w:val="center"/>
                    <w:rPr>
                      <w:rFonts w:eastAsiaTheme="minorEastAsia"/>
                      <w:color w:val="auto"/>
                      <w:szCs w:val="21"/>
                    </w:rPr>
                  </w:pPr>
                  <w:r>
                    <w:rPr>
                      <w:rFonts w:eastAsiaTheme="minorEastAsia"/>
                      <w:color w:val="auto"/>
                      <w:kern w:val="0"/>
                      <w:szCs w:val="21"/>
                    </w:rPr>
                    <w:t>执行《城镇污水处理厂污染物排放标准》（GB18918-2002）及修改单水污染物一级 A 标准</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8" w:hRule="atLeast"/>
              </w:trPr>
              <w:tc>
                <w:tcPr>
                  <w:tcW w:w="738" w:type="dxa"/>
                  <w:vAlign w:val="center"/>
                </w:tcPr>
                <w:p>
                  <w:pPr>
                    <w:adjustRightInd w:val="0"/>
                    <w:snapToGrid w:val="0"/>
                    <w:jc w:val="center"/>
                    <w:rPr>
                      <w:rFonts w:eastAsiaTheme="minorEastAsia"/>
                      <w:color w:val="auto"/>
                      <w:szCs w:val="21"/>
                    </w:rPr>
                  </w:pPr>
                  <w:r>
                    <w:rPr>
                      <w:rFonts w:eastAsiaTheme="minorEastAsia"/>
                      <w:color w:val="auto"/>
                      <w:szCs w:val="21"/>
                    </w:rPr>
                    <w:t>噪声</w:t>
                  </w:r>
                </w:p>
              </w:tc>
              <w:tc>
                <w:tcPr>
                  <w:tcW w:w="1227" w:type="dxa"/>
                  <w:vAlign w:val="center"/>
                </w:tcPr>
                <w:p>
                  <w:pPr>
                    <w:adjustRightInd w:val="0"/>
                    <w:snapToGrid w:val="0"/>
                    <w:jc w:val="center"/>
                    <w:rPr>
                      <w:rFonts w:eastAsiaTheme="minorEastAsia"/>
                      <w:color w:val="auto"/>
                      <w:szCs w:val="21"/>
                    </w:rPr>
                  </w:pPr>
                  <w:r>
                    <w:rPr>
                      <w:rFonts w:eastAsiaTheme="minorEastAsia"/>
                      <w:color w:val="auto"/>
                      <w:szCs w:val="21"/>
                    </w:rPr>
                    <w:t>噪声</w:t>
                  </w:r>
                </w:p>
              </w:tc>
              <w:tc>
                <w:tcPr>
                  <w:tcW w:w="3030" w:type="dxa"/>
                  <w:vAlign w:val="center"/>
                </w:tcPr>
                <w:p>
                  <w:pPr>
                    <w:adjustRightInd w:val="0"/>
                    <w:snapToGrid w:val="0"/>
                    <w:jc w:val="center"/>
                    <w:rPr>
                      <w:rFonts w:eastAsiaTheme="minorEastAsia"/>
                      <w:color w:val="auto"/>
                      <w:szCs w:val="21"/>
                    </w:rPr>
                  </w:pPr>
                  <w:r>
                    <w:rPr>
                      <w:rFonts w:eastAsiaTheme="minorEastAsia"/>
                      <w:color w:val="auto"/>
                      <w:szCs w:val="21"/>
                    </w:rPr>
                    <w:t>采用隔声、吸声、消声、减振等措施</w:t>
                  </w:r>
                </w:p>
              </w:tc>
              <w:tc>
                <w:tcPr>
                  <w:tcW w:w="3616" w:type="dxa"/>
                  <w:vAlign w:val="center"/>
                </w:tcPr>
                <w:p>
                  <w:pPr>
                    <w:adjustRightInd w:val="0"/>
                    <w:snapToGrid w:val="0"/>
                    <w:jc w:val="center"/>
                    <w:rPr>
                      <w:rFonts w:eastAsiaTheme="minorEastAsia"/>
                      <w:color w:val="auto"/>
                      <w:szCs w:val="21"/>
                    </w:rPr>
                  </w:pPr>
                  <w:r>
                    <w:rPr>
                      <w:rFonts w:eastAsiaTheme="minorEastAsia"/>
                      <w:color w:val="auto"/>
                      <w:szCs w:val="21"/>
                    </w:rPr>
                    <w:t>噪声执行《工业企业厂界环境噪声排放标准》（GB12348-2008）2类标准</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4" w:hRule="atLeast"/>
              </w:trPr>
              <w:tc>
                <w:tcPr>
                  <w:tcW w:w="738" w:type="dxa"/>
                  <w:vMerge w:val="restart"/>
                  <w:vAlign w:val="center"/>
                </w:tcPr>
                <w:p>
                  <w:pPr>
                    <w:adjustRightInd w:val="0"/>
                    <w:snapToGrid w:val="0"/>
                    <w:jc w:val="center"/>
                    <w:rPr>
                      <w:rFonts w:eastAsiaTheme="minorEastAsia"/>
                      <w:color w:val="auto"/>
                      <w:szCs w:val="21"/>
                    </w:rPr>
                  </w:pPr>
                  <w:r>
                    <w:rPr>
                      <w:rFonts w:eastAsiaTheme="minorEastAsia"/>
                      <w:color w:val="auto"/>
                      <w:szCs w:val="21"/>
                    </w:rPr>
                    <w:t>固废</w:t>
                  </w:r>
                </w:p>
              </w:tc>
              <w:tc>
                <w:tcPr>
                  <w:tcW w:w="1227" w:type="dxa"/>
                  <w:vAlign w:val="center"/>
                </w:tcPr>
                <w:p>
                  <w:pPr>
                    <w:adjustRightInd w:val="0"/>
                    <w:snapToGrid w:val="0"/>
                    <w:jc w:val="center"/>
                    <w:rPr>
                      <w:rFonts w:eastAsiaTheme="minorEastAsia"/>
                      <w:color w:val="auto"/>
                      <w:szCs w:val="21"/>
                    </w:rPr>
                  </w:pPr>
                  <w:r>
                    <w:rPr>
                      <w:rFonts w:eastAsiaTheme="minorEastAsia"/>
                      <w:color w:val="auto"/>
                      <w:szCs w:val="21"/>
                    </w:rPr>
                    <w:t>栅渣、沉砂</w:t>
                  </w:r>
                </w:p>
              </w:tc>
              <w:tc>
                <w:tcPr>
                  <w:tcW w:w="3030" w:type="dxa"/>
                  <w:vAlign w:val="center"/>
                </w:tcPr>
                <w:p>
                  <w:pPr>
                    <w:adjustRightInd w:val="0"/>
                    <w:snapToGrid w:val="0"/>
                    <w:jc w:val="center"/>
                    <w:rPr>
                      <w:rFonts w:eastAsiaTheme="minorEastAsia"/>
                      <w:color w:val="auto"/>
                      <w:szCs w:val="21"/>
                    </w:rPr>
                  </w:pPr>
                  <w:r>
                    <w:rPr>
                      <w:rFonts w:eastAsiaTheme="minorEastAsia"/>
                      <w:color w:val="auto"/>
                      <w:szCs w:val="21"/>
                    </w:rPr>
                    <w:t>运至宁县生活垃圾场处置</w:t>
                  </w:r>
                </w:p>
              </w:tc>
              <w:tc>
                <w:tcPr>
                  <w:tcW w:w="3616" w:type="dxa"/>
                  <w:vAlign w:val="center"/>
                </w:tcPr>
                <w:p>
                  <w:pPr>
                    <w:adjustRightInd w:val="0"/>
                    <w:snapToGrid w:val="0"/>
                    <w:jc w:val="center"/>
                    <w:rPr>
                      <w:rFonts w:eastAsiaTheme="minorEastAsia"/>
                      <w:color w:val="auto"/>
                      <w:szCs w:val="21"/>
                    </w:rPr>
                  </w:pPr>
                  <w:r>
                    <w:rPr>
                      <w:rFonts w:eastAsiaTheme="minorEastAsia"/>
                      <w:color w:val="auto"/>
                      <w:szCs w:val="21"/>
                    </w:rPr>
                    <w:t>合理处置</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6" w:hRule="atLeast"/>
              </w:trPr>
              <w:tc>
                <w:tcPr>
                  <w:tcW w:w="738" w:type="dxa"/>
                  <w:vMerge w:val="continue"/>
                  <w:vAlign w:val="center"/>
                </w:tcPr>
                <w:p>
                  <w:pPr>
                    <w:adjustRightInd w:val="0"/>
                    <w:snapToGrid w:val="0"/>
                    <w:jc w:val="center"/>
                    <w:rPr>
                      <w:rFonts w:eastAsiaTheme="minorEastAsia"/>
                      <w:color w:val="auto"/>
                      <w:szCs w:val="21"/>
                    </w:rPr>
                  </w:pPr>
                </w:p>
              </w:tc>
              <w:tc>
                <w:tcPr>
                  <w:tcW w:w="1227" w:type="dxa"/>
                  <w:vAlign w:val="center"/>
                </w:tcPr>
                <w:p>
                  <w:pPr>
                    <w:adjustRightInd w:val="0"/>
                    <w:snapToGrid w:val="0"/>
                    <w:jc w:val="center"/>
                    <w:rPr>
                      <w:rFonts w:eastAsiaTheme="minorEastAsia"/>
                      <w:color w:val="auto"/>
                      <w:szCs w:val="21"/>
                    </w:rPr>
                  </w:pPr>
                  <w:r>
                    <w:rPr>
                      <w:rFonts w:eastAsiaTheme="minorEastAsia"/>
                      <w:color w:val="auto"/>
                      <w:szCs w:val="21"/>
                    </w:rPr>
                    <w:t>生活垃圾</w:t>
                  </w:r>
                </w:p>
              </w:tc>
              <w:tc>
                <w:tcPr>
                  <w:tcW w:w="3030" w:type="dxa"/>
                  <w:vAlign w:val="center"/>
                </w:tcPr>
                <w:p>
                  <w:pPr>
                    <w:adjustRightInd w:val="0"/>
                    <w:snapToGrid w:val="0"/>
                    <w:jc w:val="center"/>
                    <w:rPr>
                      <w:rFonts w:eastAsiaTheme="minorEastAsia"/>
                      <w:color w:val="auto"/>
                      <w:szCs w:val="21"/>
                    </w:rPr>
                  </w:pPr>
                  <w:r>
                    <w:rPr>
                      <w:rFonts w:eastAsiaTheme="minorEastAsia"/>
                      <w:color w:val="auto"/>
                      <w:szCs w:val="21"/>
                    </w:rPr>
                    <w:t>运至宁县生活垃圾场处置</w:t>
                  </w:r>
                </w:p>
              </w:tc>
              <w:tc>
                <w:tcPr>
                  <w:tcW w:w="3616" w:type="dxa"/>
                  <w:vAlign w:val="center"/>
                </w:tcPr>
                <w:p>
                  <w:pPr>
                    <w:adjustRightInd w:val="0"/>
                    <w:snapToGrid w:val="0"/>
                    <w:jc w:val="center"/>
                    <w:rPr>
                      <w:rFonts w:eastAsiaTheme="minorEastAsia"/>
                      <w:color w:val="auto"/>
                      <w:szCs w:val="21"/>
                    </w:rPr>
                  </w:pPr>
                  <w:r>
                    <w:rPr>
                      <w:rFonts w:eastAsiaTheme="minorEastAsia"/>
                      <w:color w:val="auto"/>
                      <w:szCs w:val="21"/>
                    </w:rPr>
                    <w:t>合理处置</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8" w:hRule="atLeast"/>
              </w:trPr>
              <w:tc>
                <w:tcPr>
                  <w:tcW w:w="738" w:type="dxa"/>
                  <w:vMerge w:val="continue"/>
                  <w:vAlign w:val="center"/>
                </w:tcPr>
                <w:p>
                  <w:pPr>
                    <w:adjustRightInd w:val="0"/>
                    <w:snapToGrid w:val="0"/>
                    <w:jc w:val="center"/>
                    <w:rPr>
                      <w:rFonts w:eastAsiaTheme="minorEastAsia"/>
                      <w:color w:val="auto"/>
                      <w:szCs w:val="21"/>
                    </w:rPr>
                  </w:pPr>
                </w:p>
              </w:tc>
              <w:tc>
                <w:tcPr>
                  <w:tcW w:w="1227" w:type="dxa"/>
                  <w:vAlign w:val="center"/>
                </w:tcPr>
                <w:p>
                  <w:pPr>
                    <w:adjustRightInd w:val="0"/>
                    <w:snapToGrid w:val="0"/>
                    <w:jc w:val="center"/>
                    <w:rPr>
                      <w:rFonts w:eastAsiaTheme="minorEastAsia"/>
                      <w:color w:val="auto"/>
                      <w:szCs w:val="21"/>
                    </w:rPr>
                  </w:pPr>
                  <w:r>
                    <w:rPr>
                      <w:rFonts w:eastAsiaTheme="minorEastAsia"/>
                      <w:color w:val="auto"/>
                      <w:szCs w:val="21"/>
                    </w:rPr>
                    <w:t>污泥</w:t>
                  </w:r>
                </w:p>
              </w:tc>
              <w:tc>
                <w:tcPr>
                  <w:tcW w:w="3030" w:type="dxa"/>
                  <w:vAlign w:val="center"/>
                </w:tcPr>
                <w:p>
                  <w:pPr>
                    <w:adjustRightInd w:val="0"/>
                    <w:snapToGrid w:val="0"/>
                    <w:jc w:val="center"/>
                    <w:rPr>
                      <w:rFonts w:eastAsiaTheme="minorEastAsia"/>
                      <w:color w:val="auto"/>
                      <w:szCs w:val="21"/>
                    </w:rPr>
                  </w:pPr>
                  <w:r>
                    <w:rPr>
                      <w:rFonts w:eastAsiaTheme="minorEastAsia"/>
                      <w:color w:val="auto"/>
                      <w:szCs w:val="21"/>
                    </w:rPr>
                    <w:t>脱水后定期运往指定地点处置</w:t>
                  </w:r>
                </w:p>
              </w:tc>
              <w:tc>
                <w:tcPr>
                  <w:tcW w:w="3616" w:type="dxa"/>
                  <w:vAlign w:val="center"/>
                </w:tcPr>
                <w:p>
                  <w:pPr>
                    <w:adjustRightInd w:val="0"/>
                    <w:snapToGrid w:val="0"/>
                    <w:jc w:val="center"/>
                    <w:rPr>
                      <w:rFonts w:eastAsiaTheme="minorEastAsia"/>
                      <w:color w:val="auto"/>
                      <w:szCs w:val="21"/>
                    </w:rPr>
                  </w:pPr>
                  <w:r>
                    <w:rPr>
                      <w:rFonts w:eastAsiaTheme="minorEastAsia"/>
                      <w:color w:val="auto"/>
                      <w:szCs w:val="21"/>
                    </w:rPr>
                    <w:t>合理处置</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738" w:type="dxa"/>
                  <w:vAlign w:val="center"/>
                </w:tcPr>
                <w:p>
                  <w:pPr>
                    <w:adjustRightInd w:val="0"/>
                    <w:snapToGrid w:val="0"/>
                    <w:jc w:val="center"/>
                    <w:rPr>
                      <w:rFonts w:eastAsiaTheme="minorEastAsia"/>
                      <w:color w:val="auto"/>
                      <w:szCs w:val="21"/>
                    </w:rPr>
                  </w:pPr>
                  <w:r>
                    <w:rPr>
                      <w:rFonts w:eastAsiaTheme="minorEastAsia"/>
                      <w:color w:val="auto"/>
                      <w:szCs w:val="21"/>
                    </w:rPr>
                    <w:t>其他</w:t>
                  </w:r>
                </w:p>
              </w:tc>
              <w:tc>
                <w:tcPr>
                  <w:tcW w:w="1227" w:type="dxa"/>
                  <w:vAlign w:val="center"/>
                </w:tcPr>
                <w:p>
                  <w:pPr>
                    <w:adjustRightInd w:val="0"/>
                    <w:snapToGrid w:val="0"/>
                    <w:jc w:val="center"/>
                    <w:rPr>
                      <w:rFonts w:eastAsiaTheme="minorEastAsia"/>
                      <w:color w:val="auto"/>
                      <w:szCs w:val="21"/>
                    </w:rPr>
                  </w:pPr>
                  <w:r>
                    <w:rPr>
                      <w:rFonts w:eastAsiaTheme="minorEastAsia"/>
                      <w:color w:val="auto"/>
                      <w:szCs w:val="21"/>
                    </w:rPr>
                    <w:t>绿化</w:t>
                  </w:r>
                </w:p>
              </w:tc>
              <w:tc>
                <w:tcPr>
                  <w:tcW w:w="3030" w:type="dxa"/>
                  <w:vAlign w:val="center"/>
                </w:tcPr>
                <w:p>
                  <w:pPr>
                    <w:adjustRightInd w:val="0"/>
                    <w:snapToGrid w:val="0"/>
                    <w:jc w:val="center"/>
                    <w:rPr>
                      <w:rFonts w:eastAsiaTheme="minorEastAsia"/>
                      <w:color w:val="auto"/>
                      <w:szCs w:val="21"/>
                    </w:rPr>
                  </w:pPr>
                  <w:r>
                    <w:rPr>
                      <w:rFonts w:eastAsiaTheme="minorEastAsia"/>
                      <w:color w:val="auto"/>
                      <w:szCs w:val="21"/>
                    </w:rPr>
                    <w:t>绿化面积</w:t>
                  </w:r>
                </w:p>
              </w:tc>
              <w:tc>
                <w:tcPr>
                  <w:tcW w:w="3616" w:type="dxa"/>
                  <w:vAlign w:val="center"/>
                </w:tcPr>
                <w:p>
                  <w:pPr>
                    <w:autoSpaceDE w:val="0"/>
                    <w:autoSpaceDN w:val="0"/>
                    <w:adjustRightInd w:val="0"/>
                    <w:snapToGrid w:val="0"/>
                    <w:jc w:val="center"/>
                    <w:rPr>
                      <w:rFonts w:eastAsiaTheme="minorEastAsia"/>
                      <w:color w:val="auto"/>
                      <w:kern w:val="0"/>
                      <w:szCs w:val="21"/>
                    </w:rPr>
                  </w:pPr>
                  <w:r>
                    <w:rPr>
                      <w:rFonts w:eastAsiaTheme="minorEastAsia"/>
                      <w:color w:val="auto"/>
                      <w:szCs w:val="21"/>
                    </w:rPr>
                    <w:t>358m</w:t>
                  </w:r>
                  <w:r>
                    <w:rPr>
                      <w:rFonts w:eastAsiaTheme="minorEastAsia"/>
                      <w:color w:val="auto"/>
                      <w:szCs w:val="21"/>
                      <w:vertAlign w:val="superscript"/>
                    </w:rPr>
                    <w:t>2</w:t>
                  </w:r>
                </w:p>
              </w:tc>
            </w:tr>
          </w:tbl>
          <w:p>
            <w:pPr>
              <w:pStyle w:val="17"/>
              <w:spacing w:line="360" w:lineRule="auto"/>
              <w:ind w:firstLine="0" w:firstLineChars="0"/>
              <w:rPr>
                <w:rFonts w:eastAsiaTheme="minorEastAsia"/>
                <w:color w:val="auto"/>
                <w:sz w:val="24"/>
                <w:szCs w:val="24"/>
                <w:highlight w:val="cyan"/>
              </w:rPr>
            </w:pPr>
          </w:p>
          <w:p>
            <w:pPr>
              <w:pStyle w:val="17"/>
              <w:spacing w:line="360" w:lineRule="auto"/>
              <w:ind w:firstLine="0" w:firstLineChars="0"/>
              <w:rPr>
                <w:rFonts w:eastAsiaTheme="minorEastAsia"/>
                <w:color w:val="auto"/>
                <w:sz w:val="24"/>
                <w:szCs w:val="24"/>
                <w:highlight w:val="cyan"/>
              </w:rPr>
            </w:pPr>
          </w:p>
          <w:p>
            <w:pPr>
              <w:pStyle w:val="17"/>
              <w:spacing w:line="360" w:lineRule="auto"/>
              <w:ind w:firstLine="0" w:firstLineChars="0"/>
              <w:rPr>
                <w:rFonts w:eastAsiaTheme="minorEastAsia"/>
                <w:color w:val="auto"/>
                <w:sz w:val="24"/>
                <w:szCs w:val="24"/>
                <w:highlight w:val="cyan"/>
              </w:rPr>
            </w:pPr>
          </w:p>
          <w:p>
            <w:pPr>
              <w:pStyle w:val="17"/>
              <w:spacing w:line="360" w:lineRule="auto"/>
              <w:ind w:firstLine="0" w:firstLineChars="0"/>
              <w:rPr>
                <w:rFonts w:eastAsiaTheme="minorEastAsia"/>
                <w:color w:val="auto"/>
                <w:sz w:val="24"/>
                <w:szCs w:val="24"/>
                <w:highlight w:val="cyan"/>
              </w:rPr>
            </w:pPr>
          </w:p>
          <w:p>
            <w:pPr>
              <w:pStyle w:val="17"/>
              <w:spacing w:line="360" w:lineRule="auto"/>
              <w:ind w:firstLine="0" w:firstLineChars="0"/>
              <w:rPr>
                <w:rFonts w:eastAsiaTheme="minorEastAsia"/>
                <w:color w:val="auto"/>
                <w:sz w:val="24"/>
                <w:szCs w:val="24"/>
                <w:highlight w:val="cyan"/>
              </w:rPr>
            </w:pPr>
          </w:p>
          <w:p>
            <w:pPr>
              <w:pStyle w:val="17"/>
              <w:spacing w:line="360" w:lineRule="auto"/>
              <w:ind w:firstLine="0" w:firstLineChars="0"/>
              <w:rPr>
                <w:rFonts w:eastAsiaTheme="minorEastAsia"/>
                <w:color w:val="auto"/>
                <w:sz w:val="24"/>
                <w:szCs w:val="24"/>
                <w:highlight w:val="cyan"/>
              </w:rPr>
            </w:pPr>
          </w:p>
        </w:tc>
      </w:tr>
    </w:tbl>
    <w:p>
      <w:pPr>
        <w:adjustRightInd w:val="0"/>
        <w:snapToGrid w:val="0"/>
        <w:rPr>
          <w:rFonts w:eastAsiaTheme="minorEastAsia"/>
          <w:b/>
          <w:color w:val="auto"/>
          <w:sz w:val="28"/>
          <w:szCs w:val="28"/>
        </w:rPr>
      </w:pPr>
      <w:r>
        <w:rPr>
          <w:rFonts w:eastAsiaTheme="minorEastAsia"/>
          <w:b/>
          <w:color w:val="auto"/>
          <w:sz w:val="28"/>
          <w:szCs w:val="28"/>
        </w:rPr>
        <w:br w:type="page"/>
      </w:r>
    </w:p>
    <w:p>
      <w:pPr>
        <w:adjustRightInd w:val="0"/>
        <w:snapToGrid w:val="0"/>
        <w:rPr>
          <w:rFonts w:eastAsiaTheme="minorEastAsia"/>
          <w:b/>
          <w:color w:val="auto"/>
          <w:sz w:val="28"/>
          <w:szCs w:val="28"/>
        </w:rPr>
      </w:pPr>
      <w:r>
        <w:rPr>
          <w:rFonts w:eastAsiaTheme="minorEastAsia"/>
          <w:b/>
          <w:color w:val="auto"/>
          <w:sz w:val="28"/>
          <w:szCs w:val="28"/>
        </w:rPr>
        <w:t>结论与建议</w:t>
      </w:r>
    </w:p>
    <w:tbl>
      <w:tblPr>
        <w:tblStyle w:val="38"/>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8947" w:type="dxa"/>
          </w:tcPr>
          <w:p>
            <w:pPr>
              <w:adjustRightInd w:val="0"/>
              <w:snapToGrid w:val="0"/>
              <w:spacing w:line="360" w:lineRule="auto"/>
              <w:ind w:firstLine="472" w:firstLineChars="196"/>
              <w:rPr>
                <w:rFonts w:eastAsiaTheme="minorEastAsia"/>
                <w:b/>
                <w:color w:val="auto"/>
                <w:sz w:val="24"/>
              </w:rPr>
            </w:pPr>
            <w:r>
              <w:rPr>
                <w:rFonts w:eastAsiaTheme="minorEastAsia"/>
                <w:b/>
                <w:color w:val="auto"/>
                <w:sz w:val="24"/>
              </w:rPr>
              <w:t>1、结论</w:t>
            </w:r>
          </w:p>
          <w:p>
            <w:pPr>
              <w:adjustRightInd w:val="0"/>
              <w:snapToGrid w:val="0"/>
              <w:spacing w:line="360" w:lineRule="auto"/>
              <w:ind w:firstLine="482" w:firstLineChars="200"/>
              <w:rPr>
                <w:rFonts w:eastAsiaTheme="minorEastAsia"/>
                <w:b/>
                <w:color w:val="auto"/>
                <w:sz w:val="24"/>
              </w:rPr>
            </w:pPr>
            <w:r>
              <w:rPr>
                <w:rFonts w:eastAsiaTheme="minorEastAsia"/>
                <w:b/>
                <w:color w:val="auto"/>
                <w:sz w:val="24"/>
              </w:rPr>
              <w:t>1.1项目概况</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宁县金村乡金村村生活污水截污处置工程位于宁县金村乡金村村西侧，，厂区中心地理坐标为E108°17'28.05"，N35°39'02.20"。本项目占地面积1.5亩，项目总投资597.22万元。主要建设内容为钢混结构预处理池1座、格栅井1座、调节池1座、设备基础2座;新建砖混结构巴氏计量槽1座、管沟1座、储泥池1座、成品钢化玻璃罩一个、业主自定水质检测系统1套、消毒系统1套、人工格栅3台、机械格栅1台、加药装置2套、提升泵2台、风机2台、A/0HMBR-100系统2台、启闭机及闸门2套、紫外消毒装置1套、双曲面搅拌器1套、配套管阀1套、曝气搅拌系统1套;进水管50m、出水管50m、钢砼雨水检查井5座、重型球墨铸铁井盖及井座5套、防坠网5套。污水处理规模200m</w:t>
            </w:r>
            <w:r>
              <w:rPr>
                <w:rFonts w:eastAsiaTheme="minorEastAsia"/>
                <w:color w:val="auto"/>
                <w:sz w:val="24"/>
                <w:vertAlign w:val="superscript"/>
              </w:rPr>
              <w:t>3</w:t>
            </w:r>
            <w:r>
              <w:rPr>
                <w:rFonts w:eastAsiaTheme="minorEastAsia"/>
                <w:color w:val="auto"/>
                <w:sz w:val="24"/>
              </w:rPr>
              <w:t>/d，采用A</w:t>
            </w:r>
            <w:r>
              <w:rPr>
                <w:rFonts w:eastAsiaTheme="minorEastAsia"/>
                <w:color w:val="auto"/>
                <w:sz w:val="24"/>
                <w:vertAlign w:val="superscript"/>
              </w:rPr>
              <w:t>2</w:t>
            </w:r>
            <w:r>
              <w:rPr>
                <w:rFonts w:eastAsiaTheme="minorEastAsia"/>
                <w:color w:val="auto"/>
                <w:sz w:val="24"/>
              </w:rPr>
              <w:t>/O+MBR膜处理工艺，污水经过处理后水质满足《城镇污水处理厂污染物排放标准》（GB18918-2002）一级A标准后排入沟道至柏树底河，最后排至马莲河。</w:t>
            </w:r>
          </w:p>
          <w:p>
            <w:pPr>
              <w:adjustRightInd w:val="0"/>
              <w:snapToGrid w:val="0"/>
              <w:spacing w:line="360" w:lineRule="auto"/>
              <w:ind w:firstLine="482" w:firstLineChars="200"/>
              <w:rPr>
                <w:rFonts w:eastAsiaTheme="minorEastAsia"/>
                <w:b/>
                <w:bCs/>
                <w:color w:val="auto"/>
                <w:sz w:val="24"/>
              </w:rPr>
            </w:pPr>
            <w:r>
              <w:rPr>
                <w:rFonts w:eastAsiaTheme="minorEastAsia"/>
                <w:b/>
                <w:bCs/>
                <w:color w:val="auto"/>
                <w:sz w:val="24"/>
              </w:rPr>
              <w:t>1.2产业政策及选址符合性</w:t>
            </w:r>
          </w:p>
          <w:p>
            <w:pPr>
              <w:adjustRightInd w:val="0"/>
              <w:snapToGrid w:val="0"/>
              <w:spacing w:line="360" w:lineRule="auto"/>
              <w:ind w:firstLine="480" w:firstLineChars="200"/>
              <w:rPr>
                <w:rFonts w:eastAsiaTheme="minorEastAsia"/>
                <w:bCs/>
                <w:color w:val="auto"/>
                <w:sz w:val="24"/>
              </w:rPr>
            </w:pPr>
            <w:r>
              <w:rPr>
                <w:rFonts w:eastAsiaTheme="minorEastAsia"/>
                <w:bCs/>
                <w:color w:val="auto"/>
                <w:sz w:val="24"/>
              </w:rPr>
              <w:t>根据《产业结构调整指导目录(2011年本)》（2013年修改）（国家发展和改革委员会第21号令），本项目属于其鼓励类中“三十八、环境保护与资源节约综合利用 15、‘三废’综合利用及治理工程”项目，符合国家的产业政策。</w:t>
            </w:r>
          </w:p>
          <w:p>
            <w:pPr>
              <w:autoSpaceDE w:val="0"/>
              <w:autoSpaceDN w:val="0"/>
              <w:adjustRightInd w:val="0"/>
              <w:snapToGrid w:val="0"/>
              <w:spacing w:line="360" w:lineRule="auto"/>
              <w:ind w:firstLine="480" w:firstLineChars="200"/>
              <w:jc w:val="left"/>
              <w:rPr>
                <w:rFonts w:eastAsiaTheme="minorEastAsia"/>
                <w:color w:val="auto"/>
                <w:kern w:val="0"/>
                <w:sz w:val="24"/>
              </w:rPr>
            </w:pPr>
            <w:r>
              <w:rPr>
                <w:rFonts w:eastAsiaTheme="minorEastAsia"/>
                <w:color w:val="auto"/>
                <w:sz w:val="24"/>
              </w:rPr>
              <w:t>本项目位于宁县金村乡金村村西侧，</w:t>
            </w:r>
            <w:r>
              <w:rPr>
                <w:rFonts w:eastAsiaTheme="minorEastAsia"/>
                <w:color w:val="auto"/>
                <w:kern w:val="0"/>
                <w:sz w:val="24"/>
              </w:rPr>
              <w:t>根据宁县多年气象数据资料，宁县金村乡常年主导风向为南东风，污水处理厂厂址位于县城西北侧，处于主导风向的下风侧，便于污水处理站产生的恶臭气体扩散，不会对周边环境产生不良影响。</w:t>
            </w:r>
          </w:p>
          <w:p>
            <w:pPr>
              <w:adjustRightInd w:val="0"/>
              <w:snapToGrid w:val="0"/>
              <w:spacing w:line="360" w:lineRule="auto"/>
              <w:ind w:firstLine="482" w:firstLineChars="200"/>
              <w:rPr>
                <w:rFonts w:eastAsiaTheme="minorEastAsia"/>
                <w:color w:val="auto"/>
                <w:sz w:val="24"/>
              </w:rPr>
            </w:pPr>
            <w:r>
              <w:rPr>
                <w:rFonts w:eastAsiaTheme="minorEastAsia"/>
                <w:b/>
                <w:color w:val="auto"/>
                <w:sz w:val="24"/>
              </w:rPr>
              <w:t>1.3环境影响分析及防治措施</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废气：本工程中除储泥池及污泥脱水机房高出地面，其他构筑物均为地埋式，有效的减少了臭气对厂区的影响，对于储泥池，池顶采用玻璃钢盖板密封，污泥脱水机房和设备间产生臭气的设备采用全封闭式设计，定期喷洒除臭剂，同时本工程对厂区进行绿化，改善臭气对环境影响。预计项目设备采用全封闭式设计，定期喷洒除臭剂，以及绿化对臭气的消除率为90%。根据估算模式计算得到项目无组织排放H</w:t>
            </w:r>
            <w:r>
              <w:rPr>
                <w:rFonts w:eastAsiaTheme="minorEastAsia"/>
                <w:color w:val="auto"/>
                <w:sz w:val="24"/>
                <w:vertAlign w:val="subscript"/>
              </w:rPr>
              <w:t>2</w:t>
            </w:r>
            <w:r>
              <w:rPr>
                <w:rFonts w:eastAsiaTheme="minorEastAsia"/>
                <w:color w:val="auto"/>
                <w:sz w:val="24"/>
              </w:rPr>
              <w:t>S对各厂界地面浓度的贡献值范围为 0.006~0.189ug</w:t>
            </w:r>
            <w:r>
              <w:rPr>
                <w:rFonts w:eastAsiaTheme="minorEastAsia"/>
                <w:color w:val="auto"/>
                <w:kern w:val="0"/>
                <w:sz w:val="24"/>
              </w:rPr>
              <w:t xml:space="preserve"> /m</w:t>
            </w:r>
            <w:r>
              <w:rPr>
                <w:rFonts w:eastAsiaTheme="minorEastAsia"/>
                <w:color w:val="auto"/>
                <w:kern w:val="0"/>
                <w:sz w:val="24"/>
                <w:vertAlign w:val="superscript"/>
              </w:rPr>
              <w:t>3</w:t>
            </w:r>
            <w:r>
              <w:rPr>
                <w:rFonts w:eastAsiaTheme="minorEastAsia"/>
                <w:color w:val="auto"/>
                <w:sz w:val="24"/>
              </w:rPr>
              <w:t>，下风向最大落地浓度和占标率分别为0.189 ug</w:t>
            </w:r>
            <w:r>
              <w:rPr>
                <w:rFonts w:eastAsiaTheme="minorEastAsia"/>
                <w:color w:val="auto"/>
                <w:kern w:val="0"/>
                <w:sz w:val="24"/>
              </w:rPr>
              <w:t xml:space="preserve"> /m</w:t>
            </w:r>
            <w:r>
              <w:rPr>
                <w:rFonts w:eastAsiaTheme="minorEastAsia"/>
                <w:color w:val="auto"/>
                <w:kern w:val="0"/>
                <w:sz w:val="24"/>
                <w:vertAlign w:val="superscript"/>
              </w:rPr>
              <w:t>3</w:t>
            </w:r>
            <w:r>
              <w:rPr>
                <w:rFonts w:eastAsiaTheme="minorEastAsia"/>
                <w:color w:val="auto"/>
                <w:sz w:val="24"/>
              </w:rPr>
              <w:t>，1.892%，厂界浓度均满足《环境影响评价技术导则-大气环境》 HJ 2.2-2018 附录D无组织排放监控浓度限值10μg/m</w:t>
            </w:r>
            <w:r>
              <w:rPr>
                <w:rFonts w:eastAsiaTheme="minorEastAsia"/>
                <w:color w:val="auto"/>
                <w:sz w:val="24"/>
                <w:vertAlign w:val="superscript"/>
              </w:rPr>
              <w:t>3</w:t>
            </w:r>
            <w:r>
              <w:rPr>
                <w:rFonts w:eastAsiaTheme="minorEastAsia"/>
                <w:color w:val="auto"/>
                <w:sz w:val="24"/>
              </w:rPr>
              <w:t>的要求；NH</w:t>
            </w:r>
            <w:r>
              <w:rPr>
                <w:rFonts w:eastAsiaTheme="minorEastAsia"/>
                <w:color w:val="auto"/>
                <w:sz w:val="24"/>
                <w:vertAlign w:val="subscript"/>
              </w:rPr>
              <w:t>3</w:t>
            </w:r>
            <w:r>
              <w:rPr>
                <w:rFonts w:eastAsiaTheme="minorEastAsia"/>
                <w:color w:val="auto"/>
                <w:sz w:val="24"/>
              </w:rPr>
              <w:t>对各厂界地面浓度的贡献值范围为 0.508~16.087ug</w:t>
            </w:r>
            <w:r>
              <w:rPr>
                <w:rFonts w:eastAsiaTheme="minorEastAsia"/>
                <w:color w:val="auto"/>
                <w:kern w:val="0"/>
                <w:sz w:val="24"/>
              </w:rPr>
              <w:t xml:space="preserve"> /m</w:t>
            </w:r>
            <w:r>
              <w:rPr>
                <w:rFonts w:eastAsiaTheme="minorEastAsia"/>
                <w:color w:val="auto"/>
                <w:kern w:val="0"/>
                <w:sz w:val="24"/>
                <w:vertAlign w:val="superscript"/>
              </w:rPr>
              <w:t>3</w:t>
            </w:r>
            <w:r>
              <w:rPr>
                <w:rFonts w:eastAsiaTheme="minorEastAsia"/>
                <w:color w:val="auto"/>
                <w:sz w:val="24"/>
              </w:rPr>
              <w:t>，下风向最大落地浓度和占标率分别为16.087 ug</w:t>
            </w:r>
            <w:r>
              <w:rPr>
                <w:rFonts w:eastAsiaTheme="minorEastAsia"/>
                <w:color w:val="auto"/>
                <w:kern w:val="0"/>
                <w:sz w:val="24"/>
              </w:rPr>
              <w:t xml:space="preserve"> /m</w:t>
            </w:r>
            <w:r>
              <w:rPr>
                <w:rFonts w:eastAsiaTheme="minorEastAsia"/>
                <w:color w:val="auto"/>
                <w:kern w:val="0"/>
                <w:sz w:val="24"/>
                <w:vertAlign w:val="superscript"/>
              </w:rPr>
              <w:t>3</w:t>
            </w:r>
            <w:r>
              <w:rPr>
                <w:rFonts w:eastAsiaTheme="minorEastAsia"/>
                <w:color w:val="auto"/>
                <w:sz w:val="24"/>
              </w:rPr>
              <w:t>，8.044%，厂界浓度均满足《环境影响评价技术导则-大气环境》 HJ 2.2-2018 附录D无组织排放监控浓度限值200μg/m</w:t>
            </w:r>
            <w:r>
              <w:rPr>
                <w:rFonts w:eastAsiaTheme="minorEastAsia"/>
                <w:color w:val="auto"/>
                <w:sz w:val="24"/>
                <w:vertAlign w:val="superscript"/>
              </w:rPr>
              <w:t>3</w:t>
            </w:r>
            <w:r>
              <w:rPr>
                <w:rFonts w:eastAsiaTheme="minorEastAsia"/>
                <w:color w:val="auto"/>
                <w:sz w:val="24"/>
              </w:rPr>
              <w:t>的要求；</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本项目NH</w:t>
            </w:r>
            <w:r>
              <w:rPr>
                <w:rFonts w:eastAsiaTheme="minorEastAsia"/>
                <w:color w:val="auto"/>
                <w:sz w:val="24"/>
                <w:vertAlign w:val="subscript"/>
              </w:rPr>
              <w:t>3</w:t>
            </w:r>
            <w:r>
              <w:rPr>
                <w:rFonts w:eastAsiaTheme="minorEastAsia"/>
                <w:color w:val="auto"/>
                <w:sz w:val="24"/>
              </w:rPr>
              <w:t>和H</w:t>
            </w:r>
            <w:r>
              <w:rPr>
                <w:rFonts w:eastAsiaTheme="minorEastAsia"/>
                <w:color w:val="auto"/>
                <w:sz w:val="24"/>
                <w:vertAlign w:val="subscript"/>
              </w:rPr>
              <w:t>2</w:t>
            </w:r>
            <w:r>
              <w:rPr>
                <w:rFonts w:eastAsiaTheme="minorEastAsia"/>
                <w:color w:val="auto"/>
                <w:sz w:val="24"/>
              </w:rPr>
              <w:t>S无超标点，无需设大气环境防护距离。氨气的卫生防护距离为50m，硫化氢的卫生防护距离为50m，提级可得本项目的卫生防护距离为100m。经现场勘踏，项目距最近敏感点</w:t>
            </w:r>
            <w:r>
              <w:rPr>
                <w:rFonts w:eastAsiaTheme="minorEastAsia"/>
                <w:color w:val="auto"/>
                <w:szCs w:val="21"/>
                <w:lang w:val="zh-CN"/>
              </w:rPr>
              <w:t>金村乡卫生院</w:t>
            </w:r>
            <w:r>
              <w:rPr>
                <w:rFonts w:eastAsiaTheme="minorEastAsia"/>
                <w:color w:val="auto"/>
                <w:sz w:val="24"/>
              </w:rPr>
              <w:t>距离为250.3m，大于卫生防护距离，卫生防护距离符合要求。</w:t>
            </w:r>
          </w:p>
          <w:p>
            <w:pPr>
              <w:widowControl/>
              <w:adjustRightInd w:val="0"/>
              <w:snapToGrid w:val="0"/>
              <w:spacing w:line="360" w:lineRule="auto"/>
              <w:ind w:firstLine="480" w:firstLineChars="200"/>
              <w:rPr>
                <w:rFonts w:eastAsiaTheme="minorEastAsia"/>
                <w:color w:val="auto"/>
                <w:sz w:val="24"/>
              </w:rPr>
            </w:pPr>
            <w:r>
              <w:rPr>
                <w:rFonts w:eastAsiaTheme="minorEastAsia"/>
                <w:color w:val="auto"/>
                <w:sz w:val="24"/>
              </w:rPr>
              <w:t>废水：营运期废水主要为污水处理厂处理后的尾水，在满负荷运行的情况下，本工程日处理污水量200m</w:t>
            </w:r>
            <w:r>
              <w:rPr>
                <w:rFonts w:eastAsiaTheme="minorEastAsia"/>
                <w:color w:val="auto"/>
                <w:sz w:val="24"/>
                <w:vertAlign w:val="superscript"/>
              </w:rPr>
              <w:t>3</w:t>
            </w:r>
            <w:r>
              <w:rPr>
                <w:rFonts w:eastAsiaTheme="minorEastAsia"/>
                <w:color w:val="auto"/>
                <w:sz w:val="24"/>
              </w:rPr>
              <w:t>/d，</w:t>
            </w:r>
            <w:r>
              <w:rPr>
                <w:rFonts w:eastAsiaTheme="minorEastAsia"/>
                <w:bCs/>
                <w:color w:val="auto"/>
                <w:sz w:val="24"/>
              </w:rPr>
              <w:t>主要污染物排放浓度</w:t>
            </w:r>
            <w:r>
              <w:rPr>
                <w:rFonts w:eastAsiaTheme="minorEastAsia"/>
                <w:color w:val="auto"/>
                <w:sz w:val="24"/>
              </w:rPr>
              <w:t>达到《城镇污水处理厂污染物排放标准》（GB18918-2002）一级A标准后排入柏树底河，出水水质虽然较为洁净，但其可能对排放口下游水环境造成一定的影响，故本环评分别就项目污水处理厂全厂尾水排放对柏树底河的影响进行分析评价。</w:t>
            </w:r>
            <w:r>
              <w:rPr>
                <w:rFonts w:eastAsiaTheme="minorEastAsia"/>
                <w:snapToGrid w:val="0"/>
                <w:color w:val="auto"/>
                <w:sz w:val="24"/>
              </w:rPr>
              <w:t>经核算，</w:t>
            </w:r>
            <w:r>
              <w:rPr>
                <w:rFonts w:eastAsiaTheme="minorEastAsia"/>
                <w:color w:val="auto"/>
                <w:sz w:val="24"/>
              </w:rPr>
              <w:t>最终排放污水7.3万t/a、COD3.65t/a、BOD</w:t>
            </w:r>
            <w:r>
              <w:rPr>
                <w:rFonts w:eastAsiaTheme="minorEastAsia"/>
                <w:color w:val="auto"/>
                <w:sz w:val="24"/>
                <w:vertAlign w:val="subscript"/>
              </w:rPr>
              <w:t>5</w:t>
            </w:r>
            <w:r>
              <w:rPr>
                <w:rFonts w:eastAsiaTheme="minorEastAsia"/>
                <w:color w:val="auto"/>
                <w:sz w:val="24"/>
              </w:rPr>
              <w:t>0.73t/a 、SS 0.73t/a、NH</w:t>
            </w:r>
            <w:r>
              <w:rPr>
                <w:rFonts w:eastAsiaTheme="minorEastAsia"/>
                <w:color w:val="auto"/>
                <w:sz w:val="24"/>
                <w:vertAlign w:val="subscript"/>
              </w:rPr>
              <w:t>3</w:t>
            </w:r>
            <w:r>
              <w:rPr>
                <w:rFonts w:eastAsiaTheme="minorEastAsia"/>
                <w:color w:val="auto"/>
                <w:sz w:val="24"/>
              </w:rPr>
              <w:t>-N0.365t/a、TP0.039t/a。</w:t>
            </w:r>
          </w:p>
          <w:p>
            <w:pPr>
              <w:adjustRightInd w:val="0"/>
              <w:snapToGrid w:val="0"/>
              <w:spacing w:line="360" w:lineRule="auto"/>
              <w:ind w:firstLine="480" w:firstLineChars="200"/>
              <w:rPr>
                <w:rFonts w:eastAsiaTheme="minorEastAsia"/>
                <w:color w:val="auto"/>
                <w:sz w:val="24"/>
              </w:rPr>
            </w:pPr>
            <w:r>
              <w:rPr>
                <w:rFonts w:eastAsiaTheme="minorEastAsia"/>
                <w:bCs/>
                <w:color w:val="auto"/>
                <w:sz w:val="24"/>
              </w:rPr>
              <w:t>经预测，废水正常排放，</w:t>
            </w:r>
            <w:r>
              <w:rPr>
                <w:rFonts w:eastAsiaTheme="minorEastAsia"/>
                <w:color w:val="auto"/>
                <w:sz w:val="24"/>
              </w:rPr>
              <w:t>柏树底河在排口下游20.5km处的处的COD</w:t>
            </w:r>
            <w:r>
              <w:rPr>
                <w:rFonts w:eastAsiaTheme="minorEastAsia"/>
                <w:color w:val="auto"/>
                <w:sz w:val="24"/>
                <w:vertAlign w:val="subscript"/>
              </w:rPr>
              <w:t>cr</w:t>
            </w:r>
            <w:r>
              <w:rPr>
                <w:rFonts w:eastAsiaTheme="minorEastAsia"/>
                <w:color w:val="auto"/>
                <w:sz w:val="24"/>
              </w:rPr>
              <w:t>、NH</w:t>
            </w:r>
            <w:r>
              <w:rPr>
                <w:rFonts w:eastAsiaTheme="minorEastAsia"/>
                <w:color w:val="auto"/>
                <w:sz w:val="24"/>
                <w:vertAlign w:val="subscript"/>
              </w:rPr>
              <w:t>3</w:t>
            </w:r>
            <w:r>
              <w:rPr>
                <w:rFonts w:eastAsiaTheme="minorEastAsia"/>
                <w:color w:val="auto"/>
                <w:sz w:val="24"/>
              </w:rPr>
              <w:t>-N、TP的增量分别为0.125mg/L、0.00mg/L、0.0014mg/L，分别占《地表水环境质量标准》（GB3838-2002）中</w:t>
            </w:r>
            <w:r>
              <w:rPr>
                <w:rFonts w:eastAsiaTheme="minorEastAsia"/>
                <w:color w:val="auto"/>
                <w:sz w:val="24"/>
              </w:rPr>
              <w:fldChar w:fldCharType="begin"/>
            </w:r>
            <w:r>
              <w:rPr>
                <w:rFonts w:eastAsiaTheme="minorEastAsia"/>
                <w:color w:val="auto"/>
                <w:sz w:val="24"/>
              </w:rPr>
              <w:instrText xml:space="preserve"> = 3 \* ROMAN </w:instrText>
            </w:r>
            <w:r>
              <w:rPr>
                <w:rFonts w:eastAsiaTheme="minorEastAsia"/>
                <w:color w:val="auto"/>
                <w:sz w:val="24"/>
              </w:rPr>
              <w:fldChar w:fldCharType="separate"/>
            </w:r>
            <w:r>
              <w:rPr>
                <w:rFonts w:eastAsiaTheme="minorEastAsia"/>
                <w:color w:val="auto"/>
                <w:sz w:val="24"/>
              </w:rPr>
              <w:t>IV</w:t>
            </w:r>
            <w:r>
              <w:rPr>
                <w:rFonts w:eastAsiaTheme="minorEastAsia"/>
                <w:color w:val="auto"/>
                <w:sz w:val="24"/>
              </w:rPr>
              <w:fldChar w:fldCharType="end"/>
            </w:r>
            <w:r>
              <w:rPr>
                <w:rFonts w:eastAsiaTheme="minorEastAsia"/>
                <w:color w:val="auto"/>
                <w:sz w:val="24"/>
              </w:rPr>
              <w:t>类标准的0.416%、0%、0.467%，对柏树底河现状水质影响较小。</w:t>
            </w:r>
          </w:p>
          <w:p>
            <w:pPr>
              <w:keepNext/>
              <w:adjustRightInd w:val="0"/>
              <w:snapToGrid w:val="0"/>
              <w:spacing w:line="360" w:lineRule="auto"/>
              <w:ind w:firstLine="480" w:firstLineChars="200"/>
              <w:jc w:val="left"/>
              <w:rPr>
                <w:rFonts w:eastAsiaTheme="minorEastAsia"/>
                <w:color w:val="auto"/>
                <w:sz w:val="24"/>
              </w:rPr>
            </w:pPr>
            <w:r>
              <w:rPr>
                <w:rFonts w:eastAsiaTheme="minorEastAsia"/>
                <w:color w:val="auto"/>
                <w:sz w:val="24"/>
              </w:rPr>
              <w:t>污水厂发生事故后柏树底河在污水厂排污口下游20.5km处COD</w:t>
            </w:r>
            <w:r>
              <w:rPr>
                <w:rFonts w:eastAsiaTheme="minorEastAsia"/>
                <w:color w:val="auto"/>
                <w:sz w:val="24"/>
                <w:vertAlign w:val="subscript"/>
              </w:rPr>
              <w:t>cr</w:t>
            </w:r>
            <w:r>
              <w:rPr>
                <w:rFonts w:eastAsiaTheme="minorEastAsia"/>
                <w:color w:val="auto"/>
                <w:sz w:val="24"/>
              </w:rPr>
              <w:t>、NH</w:t>
            </w:r>
            <w:r>
              <w:rPr>
                <w:rFonts w:eastAsiaTheme="minorEastAsia"/>
                <w:color w:val="auto"/>
                <w:sz w:val="24"/>
                <w:vertAlign w:val="subscript"/>
              </w:rPr>
              <w:t>3</w:t>
            </w:r>
            <w:r>
              <w:rPr>
                <w:rFonts w:eastAsiaTheme="minorEastAsia"/>
                <w:color w:val="auto"/>
                <w:sz w:val="24"/>
              </w:rPr>
              <w:t>-N、TP的增量分别为0.34mg/L、0.00mg/L、0.077 mg/L，占《地表水环境质量标准》（GB3838-2002）IV类标准的1.13%、0%、2.57%。虽然对柏树底河现状水质不会有明显影响，但污水厂排污口下游20.5km处COD</w:t>
            </w:r>
            <w:r>
              <w:rPr>
                <w:rFonts w:eastAsiaTheme="minorEastAsia"/>
                <w:color w:val="auto"/>
                <w:sz w:val="24"/>
                <w:vertAlign w:val="subscript"/>
              </w:rPr>
              <w:t>cr</w:t>
            </w:r>
            <w:r>
              <w:rPr>
                <w:rFonts w:eastAsiaTheme="minorEastAsia"/>
                <w:color w:val="auto"/>
                <w:sz w:val="24"/>
              </w:rPr>
              <w:t>、NH</w:t>
            </w:r>
            <w:r>
              <w:rPr>
                <w:rFonts w:eastAsiaTheme="minorEastAsia"/>
                <w:color w:val="auto"/>
                <w:sz w:val="24"/>
                <w:vertAlign w:val="subscript"/>
              </w:rPr>
              <w:t>3</w:t>
            </w:r>
            <w:r>
              <w:rPr>
                <w:rFonts w:eastAsiaTheme="minorEastAsia"/>
                <w:color w:val="auto"/>
                <w:sz w:val="24"/>
              </w:rPr>
              <w:t>-N、TP的增量较正常排放有明显的增加，应避免废水的事故性排放。</w:t>
            </w:r>
          </w:p>
          <w:p>
            <w:pPr>
              <w:keepNext/>
              <w:adjustRightInd w:val="0"/>
              <w:snapToGrid w:val="0"/>
              <w:spacing w:line="360" w:lineRule="auto"/>
              <w:ind w:firstLine="480" w:firstLineChars="200"/>
              <w:jc w:val="left"/>
              <w:rPr>
                <w:rFonts w:eastAsiaTheme="minorEastAsia"/>
                <w:color w:val="auto"/>
              </w:rPr>
            </w:pPr>
            <w:r>
              <w:rPr>
                <w:rFonts w:eastAsiaTheme="minorEastAsia"/>
                <w:color w:val="auto"/>
                <w:sz w:val="24"/>
              </w:rPr>
              <w:t>本项目对废水收集管道进行防渗处理，无废水沿途渗漏，且在各污水处理单元池体建造时采取防渗措施，污水处理厂产生的污泥经机械浓缩+板框压滤脱水处理后，可使污泥含水率降至</w:t>
            </w:r>
            <w:r>
              <w:rPr>
                <w:rFonts w:eastAsiaTheme="minorEastAsia"/>
                <w:color w:val="auto"/>
                <w:sz w:val="24"/>
                <w:szCs w:val="18"/>
              </w:rPr>
              <w:t>60%</w:t>
            </w:r>
            <w:r>
              <w:rPr>
                <w:rFonts w:eastAsiaTheme="minorEastAsia"/>
                <w:color w:val="auto"/>
                <w:sz w:val="24"/>
              </w:rPr>
              <w:t>以下，且脱水后的污泥在污泥暂存间储存，暂存间做防渗处理，污泥并做到及时外运。以上措施均可减小项目废水对地下水污染的可能性。因此，本项目正常运行对地下水不会产生明显的污染。</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固废：本项目固体废物主要为格栅及沉砂池产生的栅渣、沉砂，污泥处理间产生的剩余污泥以及办公人员产生的生活垃圾等。项目固体废物产生总量为10.5156t/a，其中，栅渣、沉砂产生量为8.895t/a，污泥产生量为0.5256t/a，生活垃圾产生量为1.095t/a，均为一般固废。上述固体废物随意堆放会对周围环境产生较大的影响，建设单位在生产过程中必须制定切实可行的环保措施，及时处置，定期运至宁县生活垃圾填埋场填埋处置，以减轻环境影响，污泥由当地环保部门统一协调，将本县各个乡镇污水处理站产生的有机污泥脱水后集中运输至指定地点，进行统一处理。</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噪声：本工程营运期噪声主要为鼓风机、污水泵、污泥泵等设备的运行噪声，噪声值可达75~87dB（A）。</w:t>
            </w:r>
            <w:r>
              <w:rPr>
                <w:rFonts w:eastAsiaTheme="minorEastAsia"/>
                <w:bCs/>
                <w:color w:val="auto"/>
                <w:sz w:val="24"/>
              </w:rPr>
              <w:t>运营后各主要声源经基础防震、减震的措施治理后的合成声功率级作为预测的源强。</w:t>
            </w:r>
            <w:r>
              <w:rPr>
                <w:rFonts w:eastAsiaTheme="minorEastAsia"/>
                <w:color w:val="auto"/>
                <w:sz w:val="24"/>
              </w:rPr>
              <w:t>本项目建成运行后，在各项噪声治理措施落实情况下，</w:t>
            </w:r>
            <w:r>
              <w:rPr>
                <w:rFonts w:eastAsiaTheme="minorEastAsia"/>
                <w:bCs/>
                <w:color w:val="auto"/>
                <w:sz w:val="24"/>
              </w:rPr>
              <w:t>预测噪声对厂区的贡献值均较小，污水处理厂厂区四周噪声均低于《工业企业厂界环境噪声排放标准》（GB12348-2008）2类标准的要求，即昼间60dB（A）、夜间50dB（A），评价范围200m 内无环境敏感目标，项目运营期产生的噪声对周围声环境影响较小。</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综上所述，该建设项目废水、废气、噪声以及固废治理措施可行，对周边环境影响较小。</w:t>
            </w:r>
          </w:p>
          <w:p>
            <w:pPr>
              <w:adjustRightInd w:val="0"/>
              <w:snapToGrid w:val="0"/>
              <w:spacing w:line="360" w:lineRule="auto"/>
              <w:ind w:firstLine="482" w:firstLineChars="200"/>
              <w:rPr>
                <w:rFonts w:eastAsiaTheme="minorEastAsia"/>
                <w:b/>
                <w:color w:val="auto"/>
                <w:sz w:val="24"/>
              </w:rPr>
            </w:pPr>
            <w:r>
              <w:rPr>
                <w:rFonts w:eastAsiaTheme="minorEastAsia"/>
                <w:b/>
                <w:color w:val="auto"/>
                <w:sz w:val="24"/>
              </w:rPr>
              <w:t>1.4环保投资</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本工程环保投资114万元，占总投资597.22万元的19%。</w:t>
            </w:r>
          </w:p>
          <w:p>
            <w:pPr>
              <w:adjustRightInd w:val="0"/>
              <w:snapToGrid w:val="0"/>
              <w:spacing w:line="360" w:lineRule="auto"/>
              <w:ind w:firstLine="482" w:firstLineChars="200"/>
              <w:rPr>
                <w:rFonts w:eastAsiaTheme="minorEastAsia"/>
                <w:b/>
                <w:color w:val="auto"/>
                <w:sz w:val="24"/>
              </w:rPr>
            </w:pPr>
            <w:r>
              <w:rPr>
                <w:rFonts w:eastAsiaTheme="minorEastAsia"/>
                <w:b/>
                <w:color w:val="auto"/>
                <w:sz w:val="24"/>
              </w:rPr>
              <w:t>1.6综合评价</w:t>
            </w:r>
          </w:p>
          <w:p>
            <w:pPr>
              <w:adjustRightInd w:val="0"/>
              <w:snapToGrid w:val="0"/>
              <w:spacing w:line="360" w:lineRule="auto"/>
              <w:ind w:firstLine="480" w:firstLineChars="200"/>
              <w:rPr>
                <w:rFonts w:eastAsiaTheme="minorEastAsia"/>
                <w:color w:val="auto"/>
                <w:sz w:val="24"/>
              </w:rPr>
            </w:pPr>
            <w:r>
              <w:rPr>
                <w:rFonts w:eastAsiaTheme="minorEastAsia"/>
                <w:color w:val="auto"/>
                <w:sz w:val="24"/>
              </w:rPr>
              <w:t>宁县金村乡金村村生活污水截污处置工程符合国家产业政策和城市规划，项目选址可行。运营期产生一定量的“三废”和噪声污染，经采取一系列环保治理措施后，各污染物均能达标排放，对周围环境影响较小。从环保角度出发，在认真落实本报告中提出的各项环保治理措施，排污水平保证达到环保“三同时”要求的前提下，本项目的建设是可行的。</w:t>
            </w:r>
          </w:p>
          <w:p>
            <w:pPr>
              <w:adjustRightInd w:val="0"/>
              <w:snapToGrid w:val="0"/>
              <w:spacing w:line="360" w:lineRule="auto"/>
              <w:ind w:firstLine="482" w:firstLineChars="200"/>
              <w:rPr>
                <w:rFonts w:eastAsiaTheme="minorEastAsia"/>
                <w:b/>
                <w:color w:val="auto"/>
                <w:sz w:val="24"/>
              </w:rPr>
            </w:pPr>
            <w:r>
              <w:rPr>
                <w:rFonts w:eastAsiaTheme="minorEastAsia"/>
                <w:b/>
                <w:color w:val="auto"/>
                <w:sz w:val="24"/>
              </w:rPr>
              <w:t>2.建议</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⑴</w:t>
            </w:r>
            <w:r>
              <w:rPr>
                <w:rFonts w:eastAsiaTheme="minorEastAsia"/>
                <w:color w:val="auto"/>
                <w:sz w:val="24"/>
              </w:rPr>
              <w:t>按环保“三同时”要求，切实落实废水、废气、噪声及固废防治措施，并应经环保部门验收合格后本项目方可投入运行，平时加强治理装置的运行管理、维护，做好治理装置的运行记录，确保各类污染物达标排放，并接收当地环保部门的监督检查。</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⑵</w:t>
            </w:r>
            <w:r>
              <w:rPr>
                <w:rFonts w:eastAsiaTheme="minorEastAsia"/>
                <w:color w:val="auto"/>
                <w:sz w:val="24"/>
              </w:rPr>
              <w:t>进一步加强人员环境意识教育，制定环保设施操作管理规程，建立健全各项环保岗位责任制，确保环保设施正常、稳定运行，防止污染事故发生。</w:t>
            </w:r>
          </w:p>
          <w:p>
            <w:pPr>
              <w:adjustRightInd w:val="0"/>
              <w:snapToGrid w:val="0"/>
              <w:spacing w:line="360" w:lineRule="auto"/>
              <w:ind w:firstLine="480" w:firstLineChars="200"/>
              <w:rPr>
                <w:rFonts w:eastAsiaTheme="minorEastAsia"/>
                <w:color w:val="auto"/>
                <w:sz w:val="24"/>
              </w:rPr>
            </w:pPr>
            <w:r>
              <w:rPr>
                <w:rFonts w:hint="eastAsia" w:ascii="宋体" w:hAnsi="宋体" w:cs="宋体"/>
                <w:color w:val="auto"/>
                <w:sz w:val="24"/>
              </w:rPr>
              <w:t>⑶</w:t>
            </w:r>
            <w:r>
              <w:rPr>
                <w:rFonts w:eastAsiaTheme="minorEastAsia"/>
                <w:color w:val="auto"/>
                <w:sz w:val="24"/>
              </w:rPr>
              <w:t>搞好项目区环境，加强绿化，确保环保设施正常运行，及时维护维修，使排放污染物对环境的影响降到最低。</w:t>
            </w:r>
          </w:p>
          <w:p>
            <w:pPr>
              <w:spacing w:line="360" w:lineRule="auto"/>
              <w:ind w:firstLine="480" w:firstLineChars="200"/>
              <w:rPr>
                <w:rFonts w:eastAsiaTheme="minorEastAsia"/>
                <w:color w:val="auto"/>
                <w:sz w:val="24"/>
              </w:rPr>
            </w:pPr>
          </w:p>
          <w:p>
            <w:pPr>
              <w:adjustRightInd w:val="0"/>
              <w:snapToGrid w:val="0"/>
              <w:rPr>
                <w:rFonts w:eastAsiaTheme="minorEastAsia"/>
                <w:color w:val="auto"/>
                <w:sz w:val="28"/>
                <w:szCs w:val="28"/>
              </w:rPr>
            </w:pPr>
          </w:p>
          <w:p>
            <w:pPr>
              <w:adjustRightInd w:val="0"/>
              <w:snapToGrid w:val="0"/>
              <w:rPr>
                <w:rFonts w:eastAsiaTheme="minorEastAsia"/>
                <w:color w:val="auto"/>
                <w:sz w:val="28"/>
                <w:szCs w:val="28"/>
              </w:rPr>
            </w:pPr>
          </w:p>
          <w:p>
            <w:pPr>
              <w:adjustRightInd w:val="0"/>
              <w:snapToGrid w:val="0"/>
              <w:rPr>
                <w:rFonts w:eastAsiaTheme="minorEastAsia"/>
                <w:color w:val="auto"/>
                <w:sz w:val="28"/>
                <w:szCs w:val="28"/>
              </w:rPr>
            </w:pPr>
          </w:p>
          <w:p>
            <w:pPr>
              <w:adjustRightInd w:val="0"/>
              <w:snapToGrid w:val="0"/>
              <w:rPr>
                <w:rFonts w:eastAsiaTheme="minorEastAsia"/>
                <w:color w:val="auto"/>
                <w:sz w:val="28"/>
                <w:szCs w:val="28"/>
              </w:rPr>
            </w:pPr>
          </w:p>
          <w:p>
            <w:pPr>
              <w:adjustRightInd w:val="0"/>
              <w:snapToGrid w:val="0"/>
              <w:rPr>
                <w:rFonts w:eastAsiaTheme="minorEastAsia"/>
                <w:color w:val="auto"/>
                <w:sz w:val="28"/>
                <w:szCs w:val="28"/>
              </w:rPr>
            </w:pPr>
          </w:p>
          <w:p>
            <w:pPr>
              <w:adjustRightInd w:val="0"/>
              <w:snapToGrid w:val="0"/>
              <w:rPr>
                <w:rFonts w:eastAsiaTheme="minorEastAsia"/>
                <w:color w:val="auto"/>
                <w:sz w:val="28"/>
                <w:szCs w:val="28"/>
              </w:rPr>
            </w:pPr>
          </w:p>
          <w:p>
            <w:pPr>
              <w:adjustRightInd w:val="0"/>
              <w:snapToGrid w:val="0"/>
              <w:rPr>
                <w:rFonts w:eastAsiaTheme="minorEastAsia"/>
                <w:color w:val="auto"/>
                <w:sz w:val="28"/>
                <w:szCs w:val="28"/>
              </w:rPr>
            </w:pPr>
          </w:p>
          <w:p>
            <w:pPr>
              <w:adjustRightInd w:val="0"/>
              <w:snapToGrid w:val="0"/>
              <w:rPr>
                <w:rFonts w:eastAsiaTheme="minorEastAsia"/>
                <w:color w:val="auto"/>
                <w:sz w:val="28"/>
                <w:szCs w:val="28"/>
              </w:rPr>
            </w:pPr>
          </w:p>
          <w:p>
            <w:pPr>
              <w:adjustRightInd w:val="0"/>
              <w:snapToGrid w:val="0"/>
              <w:rPr>
                <w:rFonts w:eastAsiaTheme="minorEastAsia"/>
                <w:color w:val="auto"/>
                <w:sz w:val="28"/>
                <w:szCs w:val="28"/>
              </w:rPr>
            </w:pPr>
          </w:p>
          <w:p>
            <w:pPr>
              <w:adjustRightInd w:val="0"/>
              <w:snapToGrid w:val="0"/>
              <w:rPr>
                <w:rFonts w:eastAsiaTheme="minorEastAsia"/>
                <w:color w:val="auto"/>
                <w:sz w:val="28"/>
                <w:szCs w:val="28"/>
              </w:rPr>
            </w:pPr>
          </w:p>
          <w:p>
            <w:pPr>
              <w:adjustRightInd w:val="0"/>
              <w:snapToGrid w:val="0"/>
              <w:rPr>
                <w:rFonts w:eastAsiaTheme="minorEastAsia"/>
                <w:color w:val="auto"/>
                <w:sz w:val="28"/>
                <w:szCs w:val="28"/>
              </w:rPr>
            </w:pPr>
          </w:p>
          <w:p>
            <w:pPr>
              <w:adjustRightInd w:val="0"/>
              <w:snapToGrid w:val="0"/>
              <w:rPr>
                <w:rFonts w:eastAsiaTheme="minorEastAsia"/>
                <w:color w:val="auto"/>
                <w:sz w:val="28"/>
                <w:szCs w:val="28"/>
              </w:rPr>
            </w:pPr>
          </w:p>
          <w:p>
            <w:pPr>
              <w:adjustRightInd w:val="0"/>
              <w:snapToGrid w:val="0"/>
              <w:rPr>
                <w:rFonts w:eastAsiaTheme="minorEastAsia"/>
                <w:color w:val="auto"/>
                <w:sz w:val="28"/>
                <w:szCs w:val="28"/>
              </w:rPr>
            </w:pPr>
          </w:p>
          <w:p>
            <w:pPr>
              <w:adjustRightInd w:val="0"/>
              <w:snapToGrid w:val="0"/>
              <w:rPr>
                <w:rFonts w:eastAsiaTheme="minorEastAsia"/>
                <w:color w:val="auto"/>
                <w:sz w:val="28"/>
                <w:szCs w:val="28"/>
              </w:rPr>
            </w:pPr>
          </w:p>
          <w:p>
            <w:pPr>
              <w:adjustRightInd w:val="0"/>
              <w:snapToGrid w:val="0"/>
              <w:rPr>
                <w:rFonts w:eastAsiaTheme="minorEastAsia"/>
                <w:color w:val="auto"/>
                <w:sz w:val="28"/>
                <w:szCs w:val="28"/>
              </w:rPr>
            </w:pPr>
          </w:p>
          <w:p>
            <w:pPr>
              <w:adjustRightInd w:val="0"/>
              <w:snapToGrid w:val="0"/>
              <w:rPr>
                <w:rFonts w:eastAsiaTheme="minorEastAsia"/>
                <w:color w:val="auto"/>
                <w:sz w:val="28"/>
                <w:szCs w:val="28"/>
              </w:rPr>
            </w:pPr>
          </w:p>
          <w:p>
            <w:pPr>
              <w:adjustRightInd w:val="0"/>
              <w:snapToGrid w:val="0"/>
              <w:rPr>
                <w:rFonts w:eastAsiaTheme="minorEastAsia"/>
                <w:color w:val="auto"/>
                <w:sz w:val="28"/>
                <w:szCs w:val="28"/>
              </w:rPr>
            </w:pPr>
          </w:p>
          <w:p>
            <w:pPr>
              <w:adjustRightInd w:val="0"/>
              <w:snapToGrid w:val="0"/>
              <w:rPr>
                <w:rFonts w:eastAsiaTheme="minorEastAsia"/>
                <w:color w:val="auto"/>
                <w:sz w:val="28"/>
                <w:szCs w:val="28"/>
              </w:rPr>
            </w:pPr>
          </w:p>
          <w:p>
            <w:pPr>
              <w:adjustRightInd w:val="0"/>
              <w:snapToGrid w:val="0"/>
              <w:rPr>
                <w:rFonts w:eastAsiaTheme="minorEastAsia"/>
                <w:color w:val="auto"/>
                <w:sz w:val="28"/>
                <w:szCs w:val="28"/>
              </w:rPr>
            </w:pPr>
          </w:p>
          <w:p>
            <w:pPr>
              <w:adjustRightInd w:val="0"/>
              <w:snapToGrid w:val="0"/>
              <w:rPr>
                <w:rFonts w:eastAsiaTheme="minorEastAsia"/>
                <w:color w:val="auto"/>
                <w:sz w:val="28"/>
                <w:szCs w:val="28"/>
              </w:rPr>
            </w:pPr>
          </w:p>
          <w:p>
            <w:pPr>
              <w:adjustRightInd w:val="0"/>
              <w:snapToGrid w:val="0"/>
              <w:rPr>
                <w:rFonts w:eastAsiaTheme="minorEastAsia"/>
                <w:color w:val="auto"/>
                <w:sz w:val="28"/>
                <w:szCs w:val="28"/>
              </w:rPr>
            </w:pPr>
          </w:p>
          <w:p>
            <w:pPr>
              <w:adjustRightInd w:val="0"/>
              <w:snapToGrid w:val="0"/>
              <w:rPr>
                <w:rFonts w:eastAsiaTheme="minorEastAsia"/>
                <w:color w:val="auto"/>
                <w:sz w:val="28"/>
                <w:szCs w:val="28"/>
              </w:rPr>
            </w:pPr>
          </w:p>
          <w:p>
            <w:pPr>
              <w:adjustRightInd w:val="0"/>
              <w:snapToGrid w:val="0"/>
              <w:rPr>
                <w:rFonts w:eastAsiaTheme="minorEastAsia"/>
                <w:color w:val="auto"/>
                <w:sz w:val="28"/>
                <w:szCs w:val="28"/>
              </w:rPr>
            </w:pPr>
          </w:p>
        </w:tc>
      </w:tr>
    </w:tbl>
    <w:p>
      <w:pPr>
        <w:adjustRightInd w:val="0"/>
        <w:snapToGrid w:val="0"/>
        <w:rPr>
          <w:rFonts w:eastAsiaTheme="minorEastAsia"/>
          <w:color w:val="auto"/>
          <w:sz w:val="28"/>
          <w:szCs w:val="28"/>
        </w:rPr>
      </w:pPr>
    </w:p>
    <w:tbl>
      <w:tblPr>
        <w:tblStyle w:val="38"/>
        <w:tblW w:w="87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4" w:hRule="atLeast"/>
        </w:trPr>
        <w:tc>
          <w:tcPr>
            <w:tcW w:w="8700" w:type="dxa"/>
          </w:tcPr>
          <w:p>
            <w:pPr>
              <w:spacing w:line="360" w:lineRule="auto"/>
              <w:rPr>
                <w:rFonts w:eastAsiaTheme="minorEastAsia"/>
                <w:b/>
                <w:color w:val="auto"/>
                <w:sz w:val="24"/>
              </w:rPr>
            </w:pPr>
            <w:r>
              <w:rPr>
                <w:rFonts w:eastAsiaTheme="minorEastAsia"/>
                <w:b/>
                <w:color w:val="auto"/>
                <w:sz w:val="24"/>
              </w:rPr>
              <w:t>审批意见：</w:t>
            </w: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rPr>
                <w:rFonts w:eastAsiaTheme="minorEastAsia"/>
                <w:color w:val="auto"/>
                <w:sz w:val="24"/>
              </w:rPr>
            </w:pPr>
          </w:p>
          <w:p>
            <w:pPr>
              <w:spacing w:line="360" w:lineRule="auto"/>
              <w:ind w:firstLine="6720" w:firstLineChars="2800"/>
              <w:rPr>
                <w:rFonts w:eastAsiaTheme="minorEastAsia"/>
                <w:color w:val="auto"/>
                <w:sz w:val="24"/>
              </w:rPr>
            </w:pPr>
            <w:r>
              <w:rPr>
                <w:rFonts w:eastAsiaTheme="minorEastAsia"/>
                <w:color w:val="auto"/>
                <w:sz w:val="24"/>
              </w:rPr>
              <w:t>公章</w:t>
            </w:r>
          </w:p>
          <w:p>
            <w:pPr>
              <w:spacing w:line="360" w:lineRule="auto"/>
              <w:rPr>
                <w:rFonts w:eastAsiaTheme="minorEastAsia"/>
                <w:color w:val="auto"/>
                <w:sz w:val="24"/>
              </w:rPr>
            </w:pPr>
          </w:p>
          <w:p>
            <w:pPr>
              <w:spacing w:line="360" w:lineRule="auto"/>
              <w:rPr>
                <w:rFonts w:eastAsiaTheme="minorEastAsia"/>
                <w:color w:val="auto"/>
                <w:sz w:val="24"/>
                <w:highlight w:val="cyan"/>
              </w:rPr>
            </w:pPr>
            <w:r>
              <w:rPr>
                <w:rFonts w:eastAsiaTheme="minorEastAsia"/>
                <w:color w:val="auto"/>
                <w:sz w:val="24"/>
              </w:rPr>
              <w:t>经办人：年月日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3" w:hRule="atLeast"/>
        </w:trPr>
        <w:tc>
          <w:tcPr>
            <w:tcW w:w="8700" w:type="dxa"/>
          </w:tcPr>
          <w:p>
            <w:pPr>
              <w:spacing w:line="360" w:lineRule="auto"/>
              <w:jc w:val="center"/>
              <w:rPr>
                <w:rFonts w:eastAsiaTheme="minorEastAsia"/>
                <w:b/>
                <w:bCs/>
                <w:color w:val="auto"/>
                <w:sz w:val="24"/>
              </w:rPr>
            </w:pPr>
            <w:r>
              <w:rPr>
                <w:rFonts w:eastAsiaTheme="minorEastAsia"/>
                <w:b/>
                <w:bCs/>
                <w:color w:val="auto"/>
                <w:sz w:val="24"/>
              </w:rPr>
              <w:t>注释</w:t>
            </w:r>
          </w:p>
          <w:p>
            <w:pPr>
              <w:spacing w:line="360" w:lineRule="auto"/>
              <w:ind w:firstLine="480" w:firstLineChars="200"/>
              <w:rPr>
                <w:rFonts w:eastAsiaTheme="minorEastAsia"/>
                <w:color w:val="auto"/>
                <w:sz w:val="24"/>
              </w:rPr>
            </w:pPr>
            <w:r>
              <w:rPr>
                <w:rFonts w:eastAsiaTheme="minorEastAsia"/>
                <w:color w:val="auto"/>
                <w:sz w:val="24"/>
              </w:rPr>
              <w:t>一、本报告表应附以下附件、附图：</w:t>
            </w:r>
          </w:p>
          <w:p>
            <w:pPr>
              <w:spacing w:line="360" w:lineRule="auto"/>
              <w:ind w:firstLine="480" w:firstLineChars="200"/>
              <w:rPr>
                <w:rFonts w:eastAsiaTheme="minorEastAsia"/>
                <w:color w:val="auto"/>
                <w:sz w:val="24"/>
              </w:rPr>
            </w:pPr>
            <w:r>
              <w:rPr>
                <w:rFonts w:eastAsiaTheme="minorEastAsia"/>
                <w:color w:val="auto"/>
                <w:sz w:val="24"/>
              </w:rPr>
              <w:t>附件1  项目委托书</w:t>
            </w:r>
          </w:p>
          <w:p>
            <w:pPr>
              <w:spacing w:line="360" w:lineRule="auto"/>
              <w:ind w:firstLine="480" w:firstLineChars="200"/>
              <w:rPr>
                <w:rFonts w:eastAsiaTheme="minorEastAsia"/>
                <w:color w:val="auto"/>
                <w:sz w:val="24"/>
              </w:rPr>
            </w:pPr>
            <w:r>
              <w:rPr>
                <w:rFonts w:eastAsiaTheme="minorEastAsia"/>
                <w:color w:val="auto"/>
                <w:sz w:val="24"/>
              </w:rPr>
              <w:t>附图1  地表水环境功能区划图</w:t>
            </w:r>
          </w:p>
          <w:p>
            <w:pPr>
              <w:spacing w:line="360" w:lineRule="auto"/>
              <w:ind w:firstLine="480" w:firstLineChars="200"/>
              <w:rPr>
                <w:rFonts w:eastAsiaTheme="minorEastAsia"/>
                <w:color w:val="auto"/>
                <w:sz w:val="24"/>
              </w:rPr>
            </w:pPr>
            <w:r>
              <w:rPr>
                <w:rFonts w:eastAsiaTheme="minorEastAsia"/>
                <w:color w:val="auto"/>
                <w:sz w:val="24"/>
              </w:rPr>
              <w:t>附图2  项目地理位置图</w:t>
            </w:r>
          </w:p>
          <w:p>
            <w:pPr>
              <w:spacing w:line="360" w:lineRule="auto"/>
              <w:ind w:firstLine="480" w:firstLineChars="200"/>
              <w:rPr>
                <w:rFonts w:eastAsiaTheme="minorEastAsia"/>
                <w:color w:val="auto"/>
                <w:sz w:val="24"/>
              </w:rPr>
            </w:pPr>
            <w:r>
              <w:rPr>
                <w:rFonts w:eastAsiaTheme="minorEastAsia"/>
                <w:color w:val="auto"/>
                <w:sz w:val="24"/>
              </w:rPr>
              <w:t>附图3  项目设施总平面布置图</w:t>
            </w:r>
          </w:p>
          <w:p>
            <w:pPr>
              <w:spacing w:line="360" w:lineRule="auto"/>
              <w:ind w:firstLine="480" w:firstLineChars="200"/>
              <w:rPr>
                <w:rFonts w:eastAsiaTheme="minorEastAsia"/>
                <w:color w:val="auto"/>
                <w:sz w:val="24"/>
              </w:rPr>
            </w:pPr>
            <w:r>
              <w:rPr>
                <w:rFonts w:eastAsiaTheme="minorEastAsia"/>
                <w:color w:val="auto"/>
                <w:sz w:val="24"/>
              </w:rPr>
              <w:t>二、如果本报告不能说明项目产生的污染及对环境造成的影响，应进行专项评价。根据建设项目的特点和当地环境特征，应选下列1-2项进行专项评价。</w:t>
            </w:r>
          </w:p>
          <w:p>
            <w:pPr>
              <w:spacing w:line="360" w:lineRule="auto"/>
              <w:ind w:firstLine="480" w:firstLineChars="200"/>
              <w:rPr>
                <w:rFonts w:eastAsiaTheme="minorEastAsia"/>
                <w:color w:val="auto"/>
                <w:sz w:val="24"/>
              </w:rPr>
            </w:pPr>
            <w:r>
              <w:rPr>
                <w:rFonts w:eastAsiaTheme="minorEastAsia"/>
                <w:color w:val="auto"/>
                <w:sz w:val="24"/>
              </w:rPr>
              <w:t>1、大气环境影响专项评价。</w:t>
            </w:r>
          </w:p>
          <w:p>
            <w:pPr>
              <w:spacing w:line="360" w:lineRule="auto"/>
              <w:ind w:firstLine="480" w:firstLineChars="200"/>
              <w:rPr>
                <w:rFonts w:eastAsiaTheme="minorEastAsia"/>
                <w:color w:val="auto"/>
                <w:sz w:val="24"/>
              </w:rPr>
            </w:pPr>
            <w:r>
              <w:rPr>
                <w:rFonts w:eastAsiaTheme="minorEastAsia"/>
                <w:color w:val="auto"/>
                <w:sz w:val="24"/>
              </w:rPr>
              <w:t>2、水环境影响专项评价（包括地表水和地下水）</w:t>
            </w:r>
          </w:p>
          <w:p>
            <w:pPr>
              <w:spacing w:line="360" w:lineRule="auto"/>
              <w:ind w:firstLine="480" w:firstLineChars="200"/>
              <w:rPr>
                <w:rFonts w:eastAsiaTheme="minorEastAsia"/>
                <w:color w:val="auto"/>
                <w:sz w:val="24"/>
              </w:rPr>
            </w:pPr>
            <w:r>
              <w:rPr>
                <w:rFonts w:eastAsiaTheme="minorEastAsia"/>
                <w:color w:val="auto"/>
                <w:sz w:val="24"/>
              </w:rPr>
              <w:t>3、生态影响专项评价</w:t>
            </w:r>
          </w:p>
          <w:p>
            <w:pPr>
              <w:spacing w:line="360" w:lineRule="auto"/>
              <w:ind w:firstLine="480" w:firstLineChars="200"/>
              <w:rPr>
                <w:rFonts w:eastAsiaTheme="minorEastAsia"/>
                <w:color w:val="auto"/>
                <w:sz w:val="24"/>
              </w:rPr>
            </w:pPr>
            <w:r>
              <w:rPr>
                <w:rFonts w:eastAsiaTheme="minorEastAsia"/>
                <w:color w:val="auto"/>
                <w:sz w:val="24"/>
              </w:rPr>
              <w:t>4、声影响专项评价</w:t>
            </w:r>
          </w:p>
          <w:p>
            <w:pPr>
              <w:spacing w:line="360" w:lineRule="auto"/>
              <w:ind w:firstLine="480" w:firstLineChars="200"/>
              <w:rPr>
                <w:rFonts w:eastAsiaTheme="minorEastAsia"/>
                <w:color w:val="auto"/>
                <w:sz w:val="24"/>
              </w:rPr>
            </w:pPr>
            <w:r>
              <w:rPr>
                <w:rFonts w:eastAsiaTheme="minorEastAsia"/>
                <w:color w:val="auto"/>
                <w:sz w:val="24"/>
              </w:rPr>
              <w:t>5、土壤影响专项评价</w:t>
            </w:r>
          </w:p>
          <w:p>
            <w:pPr>
              <w:spacing w:line="360" w:lineRule="auto"/>
              <w:ind w:firstLine="480" w:firstLineChars="200"/>
              <w:rPr>
                <w:rFonts w:eastAsiaTheme="minorEastAsia"/>
                <w:color w:val="auto"/>
                <w:sz w:val="24"/>
              </w:rPr>
            </w:pPr>
            <w:r>
              <w:rPr>
                <w:rFonts w:eastAsiaTheme="minorEastAsia"/>
                <w:color w:val="auto"/>
                <w:sz w:val="24"/>
              </w:rPr>
              <w:t>6、固体废弃物影响专项评价</w:t>
            </w:r>
          </w:p>
          <w:p>
            <w:pPr>
              <w:spacing w:line="360" w:lineRule="auto"/>
              <w:ind w:firstLine="480" w:firstLineChars="200"/>
              <w:rPr>
                <w:rFonts w:eastAsiaTheme="minorEastAsia"/>
                <w:color w:val="auto"/>
                <w:sz w:val="24"/>
              </w:rPr>
            </w:pPr>
            <w:r>
              <w:rPr>
                <w:rFonts w:eastAsiaTheme="minorEastAsia"/>
                <w:color w:val="auto"/>
                <w:sz w:val="24"/>
              </w:rPr>
              <w:t>以上专项评未包括的可另列专项，专项评价按照《环境影响评价技术导则》中的要求进行。</w:t>
            </w:r>
          </w:p>
          <w:p>
            <w:pPr>
              <w:spacing w:line="360" w:lineRule="auto"/>
              <w:rPr>
                <w:rFonts w:eastAsiaTheme="minorEastAsia"/>
                <w:color w:val="auto"/>
                <w:sz w:val="24"/>
                <w:highlight w:val="cyan"/>
              </w:rPr>
            </w:pPr>
          </w:p>
        </w:tc>
      </w:tr>
    </w:tbl>
    <w:p>
      <w:pPr>
        <w:rPr>
          <w:rFonts w:eastAsiaTheme="minorEastAsia"/>
          <w:color w:val="auto"/>
          <w:highlight w:val="cyan"/>
        </w:rPr>
      </w:pPr>
    </w:p>
    <w:sectPr>
      <w:headerReference r:id="rId3" w:type="default"/>
      <w:footerReference r:id="rId4" w:type="default"/>
      <w:type w:val="continuous"/>
      <w:pgSz w:w="11907" w:h="16840"/>
      <w:pgMar w:top="1418" w:right="1588" w:bottom="2410" w:left="1588" w:header="851" w:footer="992" w:gutter="0"/>
      <w:pgNumType w:fmt="numberInDash"/>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TimesNewRomanPS-BoldMT">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TimesNewRoman">
    <w:altName w:val="Times New Roman"/>
    <w:panose1 w:val="00000000000000000000"/>
    <w:charset w:val="01"/>
    <w:family w:val="roman"/>
    <w:pitch w:val="default"/>
    <w:sig w:usb0="00000000" w:usb1="00000000" w:usb2="00000010" w:usb3="00000000" w:csb0="00040001" w:csb1="00000000"/>
  </w:font>
  <w:font w:name="TimesNewRomanPSMT">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华文仿宋">
    <w:panose1 w:val="02010600040101010101"/>
    <w:charset w:val="86"/>
    <w:family w:val="auto"/>
    <w:pitch w:val="default"/>
    <w:sig w:usb0="00000287" w:usb1="080F0000" w:usb2="00000000" w:usb3="00000000" w:csb0="0004009F" w:csb1="DFD70000"/>
  </w:font>
  <w:font w:name="SymbolMT">
    <w:altName w:val="MS Gothic"/>
    <w:panose1 w:val="00000000000000000000"/>
    <w:charset w:val="80"/>
    <w:family w:val="auto"/>
    <w:pitch w:val="default"/>
    <w:sig w:usb0="00000000" w:usb1="00000000" w:usb2="00000010" w:usb3="00000000" w:csb0="00020000" w:csb1="00000000"/>
  </w:font>
  <w:font w:name="MicrosoftYaHei-Bold">
    <w:altName w:val="Times New Roman"/>
    <w:panose1 w:val="00000000000000000000"/>
    <w:charset w:val="00"/>
    <w:family w:val="roman"/>
    <w:pitch w:val="default"/>
    <w:sig w:usb0="00000000" w:usb1="00000000" w:usb2="00000000" w:usb3="00000000" w:csb0="00000000" w:csb1="00000000"/>
  </w:font>
  <w:font w:name="PMingLiU">
    <w:altName w:val="PMingLiU-ExtB"/>
    <w:panose1 w:val="02020500000000000000"/>
    <w:charset w:val="88"/>
    <w:family w:val="roman"/>
    <w:pitch w:val="default"/>
    <w:sig w:usb0="00000000" w:usb1="00000000" w:usb2="00000016" w:usb3="00000000" w:csb0="00100001" w:csb1="00000000"/>
  </w:font>
  <w:font w:name="Cambria Math">
    <w:panose1 w:val="02040503050406030204"/>
    <w:charset w:val="01"/>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left="418"/>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w:t>
    </w:r>
    <w:r>
      <w:rPr>
        <w:sz w:val="21"/>
        <w:szCs w:val="21"/>
      </w:rPr>
      <w:t xml:space="preserve"> 1 -</w:t>
    </w:r>
    <w:r>
      <w:rPr>
        <w:sz w:val="21"/>
        <w:szCs w:val="21"/>
      </w:rPr>
      <w:fldChar w:fldCharType="end"/>
    </w:r>
  </w:p>
  <w:p>
    <w:pPr>
      <w:pStyle w:val="23"/>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A262F7"/>
    <w:multiLevelType w:val="singleLevel"/>
    <w:tmpl w:val="43A262F7"/>
    <w:lvl w:ilvl="0" w:tentative="0">
      <w:start w:val="1"/>
      <w:numFmt w:val="decimal"/>
      <w:pStyle w:val="87"/>
      <w:lvlText w:val="(%1)"/>
      <w:lvlJc w:val="left"/>
      <w:pPr>
        <w:tabs>
          <w:tab w:val="left" w:pos="360"/>
        </w:tabs>
        <w:ind w:left="0" w:firstLine="0"/>
      </w:pPr>
      <w:rPr>
        <w:rFonts w:hint="default"/>
      </w:rPr>
    </w:lvl>
  </w:abstractNum>
  <w:abstractNum w:abstractNumId="1">
    <w:nsid w:val="48117BCD"/>
    <w:multiLevelType w:val="multilevel"/>
    <w:tmpl w:val="48117BCD"/>
    <w:lvl w:ilvl="0" w:tentative="0">
      <w:start w:val="1"/>
      <w:numFmt w:val="decimalEnclosedParen"/>
      <w:lvlText w:val="%1"/>
      <w:lvlJc w:val="left"/>
      <w:pPr>
        <w:ind w:left="840" w:hanging="360"/>
      </w:pPr>
      <w:rPr>
        <w:rFonts w:hint="default" w:ascii="宋体" w:hAnsi="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67F03CA0"/>
    <w:multiLevelType w:val="multilevel"/>
    <w:tmpl w:val="67F03CA0"/>
    <w:lvl w:ilvl="0" w:tentative="0">
      <w:start w:val="1"/>
      <w:numFmt w:val="decimalEnclosedParen"/>
      <w:lvlText w:val="%1"/>
      <w:lvlJc w:val="left"/>
      <w:pPr>
        <w:ind w:left="840" w:hanging="360"/>
      </w:pPr>
      <w:rPr>
        <w:rFonts w:hint="default" w:ascii="宋体" w:hAnsi="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105"/>
  <w:drawingGridVerticalSpacing w:val="319"/>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4YmI4YjM4YmZiOGQ2ZTMxZWNhMzA3ZDA0ZjY1OGQifQ=="/>
  </w:docVars>
  <w:rsids>
    <w:rsidRoot w:val="00274EB5"/>
    <w:rsid w:val="000005A4"/>
    <w:rsid w:val="00000626"/>
    <w:rsid w:val="000007B8"/>
    <w:rsid w:val="00000BFF"/>
    <w:rsid w:val="00000C11"/>
    <w:rsid w:val="00000E4B"/>
    <w:rsid w:val="00001A42"/>
    <w:rsid w:val="0000203D"/>
    <w:rsid w:val="00002112"/>
    <w:rsid w:val="0000217A"/>
    <w:rsid w:val="0000219F"/>
    <w:rsid w:val="0000221D"/>
    <w:rsid w:val="000025CA"/>
    <w:rsid w:val="000025F1"/>
    <w:rsid w:val="00002AF1"/>
    <w:rsid w:val="000033A4"/>
    <w:rsid w:val="00003576"/>
    <w:rsid w:val="000035F2"/>
    <w:rsid w:val="000038AD"/>
    <w:rsid w:val="00003A70"/>
    <w:rsid w:val="00003C67"/>
    <w:rsid w:val="00003E5C"/>
    <w:rsid w:val="000044F8"/>
    <w:rsid w:val="00004839"/>
    <w:rsid w:val="000048A9"/>
    <w:rsid w:val="00004BB4"/>
    <w:rsid w:val="00004BE9"/>
    <w:rsid w:val="00004D20"/>
    <w:rsid w:val="00004EF3"/>
    <w:rsid w:val="00004F87"/>
    <w:rsid w:val="00005374"/>
    <w:rsid w:val="00005888"/>
    <w:rsid w:val="00005B7D"/>
    <w:rsid w:val="00005F20"/>
    <w:rsid w:val="00005F5A"/>
    <w:rsid w:val="00005FDB"/>
    <w:rsid w:val="0000627B"/>
    <w:rsid w:val="00006588"/>
    <w:rsid w:val="00006B41"/>
    <w:rsid w:val="00006C64"/>
    <w:rsid w:val="00006FDA"/>
    <w:rsid w:val="00006FFD"/>
    <w:rsid w:val="0000743B"/>
    <w:rsid w:val="00007DF5"/>
    <w:rsid w:val="00007E18"/>
    <w:rsid w:val="00007E45"/>
    <w:rsid w:val="0001000C"/>
    <w:rsid w:val="000101AC"/>
    <w:rsid w:val="00010235"/>
    <w:rsid w:val="00010255"/>
    <w:rsid w:val="0001047E"/>
    <w:rsid w:val="000104D0"/>
    <w:rsid w:val="0001051A"/>
    <w:rsid w:val="00010625"/>
    <w:rsid w:val="0001063A"/>
    <w:rsid w:val="00010926"/>
    <w:rsid w:val="00010A5C"/>
    <w:rsid w:val="00010D7D"/>
    <w:rsid w:val="00011473"/>
    <w:rsid w:val="000116D0"/>
    <w:rsid w:val="00011E17"/>
    <w:rsid w:val="0001234D"/>
    <w:rsid w:val="00012853"/>
    <w:rsid w:val="0001294E"/>
    <w:rsid w:val="00012F79"/>
    <w:rsid w:val="00013041"/>
    <w:rsid w:val="00013124"/>
    <w:rsid w:val="000134D4"/>
    <w:rsid w:val="000137AC"/>
    <w:rsid w:val="000138E8"/>
    <w:rsid w:val="00013E6C"/>
    <w:rsid w:val="00013ED9"/>
    <w:rsid w:val="00013F80"/>
    <w:rsid w:val="000143EC"/>
    <w:rsid w:val="000144A7"/>
    <w:rsid w:val="0001454D"/>
    <w:rsid w:val="000149FC"/>
    <w:rsid w:val="00014D1E"/>
    <w:rsid w:val="00015004"/>
    <w:rsid w:val="0001522A"/>
    <w:rsid w:val="0001573A"/>
    <w:rsid w:val="0001587A"/>
    <w:rsid w:val="000158E1"/>
    <w:rsid w:val="0001598D"/>
    <w:rsid w:val="00015D48"/>
    <w:rsid w:val="00016755"/>
    <w:rsid w:val="000167A2"/>
    <w:rsid w:val="00016992"/>
    <w:rsid w:val="00016C57"/>
    <w:rsid w:val="00017337"/>
    <w:rsid w:val="0001756C"/>
    <w:rsid w:val="0001779C"/>
    <w:rsid w:val="000179FE"/>
    <w:rsid w:val="00017CC4"/>
    <w:rsid w:val="00017F2B"/>
    <w:rsid w:val="000200F0"/>
    <w:rsid w:val="000201A1"/>
    <w:rsid w:val="00020243"/>
    <w:rsid w:val="00020C4D"/>
    <w:rsid w:val="00020EDF"/>
    <w:rsid w:val="00021038"/>
    <w:rsid w:val="00021337"/>
    <w:rsid w:val="000213D5"/>
    <w:rsid w:val="0002149D"/>
    <w:rsid w:val="000214DA"/>
    <w:rsid w:val="000214ED"/>
    <w:rsid w:val="00021501"/>
    <w:rsid w:val="000215B8"/>
    <w:rsid w:val="000215E3"/>
    <w:rsid w:val="00021A95"/>
    <w:rsid w:val="00021CFC"/>
    <w:rsid w:val="00021D57"/>
    <w:rsid w:val="000223D6"/>
    <w:rsid w:val="0002243B"/>
    <w:rsid w:val="00022471"/>
    <w:rsid w:val="000225E5"/>
    <w:rsid w:val="0002274A"/>
    <w:rsid w:val="00022CF0"/>
    <w:rsid w:val="00022F01"/>
    <w:rsid w:val="00023659"/>
    <w:rsid w:val="0002382C"/>
    <w:rsid w:val="00024093"/>
    <w:rsid w:val="00024235"/>
    <w:rsid w:val="00024332"/>
    <w:rsid w:val="0002440E"/>
    <w:rsid w:val="0002479C"/>
    <w:rsid w:val="0002487B"/>
    <w:rsid w:val="000248DC"/>
    <w:rsid w:val="00024C2E"/>
    <w:rsid w:val="00024E0D"/>
    <w:rsid w:val="00024FAA"/>
    <w:rsid w:val="000251E9"/>
    <w:rsid w:val="0002525A"/>
    <w:rsid w:val="000252FD"/>
    <w:rsid w:val="000256AC"/>
    <w:rsid w:val="00025820"/>
    <w:rsid w:val="000259FD"/>
    <w:rsid w:val="00025A00"/>
    <w:rsid w:val="00025B17"/>
    <w:rsid w:val="00025C01"/>
    <w:rsid w:val="0002604B"/>
    <w:rsid w:val="000263FA"/>
    <w:rsid w:val="00026416"/>
    <w:rsid w:val="00026420"/>
    <w:rsid w:val="000268D7"/>
    <w:rsid w:val="000269BD"/>
    <w:rsid w:val="000269D7"/>
    <w:rsid w:val="00026D1F"/>
    <w:rsid w:val="00026EA9"/>
    <w:rsid w:val="000274B6"/>
    <w:rsid w:val="0002760C"/>
    <w:rsid w:val="00027962"/>
    <w:rsid w:val="000279BE"/>
    <w:rsid w:val="00027CE5"/>
    <w:rsid w:val="00030048"/>
    <w:rsid w:val="000304B9"/>
    <w:rsid w:val="0003075B"/>
    <w:rsid w:val="00030974"/>
    <w:rsid w:val="00030AA5"/>
    <w:rsid w:val="00030BF5"/>
    <w:rsid w:val="00030DA6"/>
    <w:rsid w:val="00030DC8"/>
    <w:rsid w:val="00030FD0"/>
    <w:rsid w:val="00031100"/>
    <w:rsid w:val="000312B1"/>
    <w:rsid w:val="00031A8B"/>
    <w:rsid w:val="00031AD7"/>
    <w:rsid w:val="000324EB"/>
    <w:rsid w:val="00032639"/>
    <w:rsid w:val="00032951"/>
    <w:rsid w:val="000334E5"/>
    <w:rsid w:val="000335BA"/>
    <w:rsid w:val="000338AC"/>
    <w:rsid w:val="000338DB"/>
    <w:rsid w:val="00033A70"/>
    <w:rsid w:val="00033B2C"/>
    <w:rsid w:val="00033BD3"/>
    <w:rsid w:val="00033EAF"/>
    <w:rsid w:val="00033FA4"/>
    <w:rsid w:val="00034037"/>
    <w:rsid w:val="000340F3"/>
    <w:rsid w:val="000341C7"/>
    <w:rsid w:val="000342D8"/>
    <w:rsid w:val="00034655"/>
    <w:rsid w:val="00034D47"/>
    <w:rsid w:val="00034DB1"/>
    <w:rsid w:val="00034DF1"/>
    <w:rsid w:val="000352B9"/>
    <w:rsid w:val="000353F2"/>
    <w:rsid w:val="000355CE"/>
    <w:rsid w:val="000356F2"/>
    <w:rsid w:val="00035A35"/>
    <w:rsid w:val="00035B7B"/>
    <w:rsid w:val="00035BC5"/>
    <w:rsid w:val="00035C2B"/>
    <w:rsid w:val="00035FF6"/>
    <w:rsid w:val="00036C12"/>
    <w:rsid w:val="00036FA7"/>
    <w:rsid w:val="000370E1"/>
    <w:rsid w:val="0003712E"/>
    <w:rsid w:val="0003723B"/>
    <w:rsid w:val="00037595"/>
    <w:rsid w:val="00037926"/>
    <w:rsid w:val="00037A49"/>
    <w:rsid w:val="00040437"/>
    <w:rsid w:val="000404BD"/>
    <w:rsid w:val="0004056F"/>
    <w:rsid w:val="00040577"/>
    <w:rsid w:val="0004069E"/>
    <w:rsid w:val="000409C9"/>
    <w:rsid w:val="00040A0D"/>
    <w:rsid w:val="00041114"/>
    <w:rsid w:val="000415CB"/>
    <w:rsid w:val="00041CD9"/>
    <w:rsid w:val="00041F56"/>
    <w:rsid w:val="000422F9"/>
    <w:rsid w:val="000424C5"/>
    <w:rsid w:val="00042B05"/>
    <w:rsid w:val="00042B3D"/>
    <w:rsid w:val="000431CB"/>
    <w:rsid w:val="0004345C"/>
    <w:rsid w:val="00043577"/>
    <w:rsid w:val="00043642"/>
    <w:rsid w:val="00043675"/>
    <w:rsid w:val="00043BEB"/>
    <w:rsid w:val="00043CF3"/>
    <w:rsid w:val="00043D31"/>
    <w:rsid w:val="0004401F"/>
    <w:rsid w:val="00044405"/>
    <w:rsid w:val="00044C02"/>
    <w:rsid w:val="00045486"/>
    <w:rsid w:val="000454FE"/>
    <w:rsid w:val="000455FD"/>
    <w:rsid w:val="0004598B"/>
    <w:rsid w:val="000459ED"/>
    <w:rsid w:val="00045B20"/>
    <w:rsid w:val="00045D5F"/>
    <w:rsid w:val="00045D60"/>
    <w:rsid w:val="00046159"/>
    <w:rsid w:val="0004656C"/>
    <w:rsid w:val="0004674D"/>
    <w:rsid w:val="000470CB"/>
    <w:rsid w:val="000471DC"/>
    <w:rsid w:val="000472F8"/>
    <w:rsid w:val="000473F9"/>
    <w:rsid w:val="00047497"/>
    <w:rsid w:val="00047668"/>
    <w:rsid w:val="0004780E"/>
    <w:rsid w:val="0004780F"/>
    <w:rsid w:val="000478AF"/>
    <w:rsid w:val="00047F5E"/>
    <w:rsid w:val="00047F85"/>
    <w:rsid w:val="00050052"/>
    <w:rsid w:val="000500B9"/>
    <w:rsid w:val="000501A9"/>
    <w:rsid w:val="0005021C"/>
    <w:rsid w:val="000502C1"/>
    <w:rsid w:val="0005038D"/>
    <w:rsid w:val="00050492"/>
    <w:rsid w:val="0005051C"/>
    <w:rsid w:val="00050595"/>
    <w:rsid w:val="0005077B"/>
    <w:rsid w:val="00050E64"/>
    <w:rsid w:val="00051166"/>
    <w:rsid w:val="0005144F"/>
    <w:rsid w:val="00051489"/>
    <w:rsid w:val="000514A8"/>
    <w:rsid w:val="0005151F"/>
    <w:rsid w:val="000518A3"/>
    <w:rsid w:val="0005194B"/>
    <w:rsid w:val="000519A5"/>
    <w:rsid w:val="000519BC"/>
    <w:rsid w:val="00051DF9"/>
    <w:rsid w:val="000527BB"/>
    <w:rsid w:val="00052846"/>
    <w:rsid w:val="00052902"/>
    <w:rsid w:val="00052C30"/>
    <w:rsid w:val="00052E17"/>
    <w:rsid w:val="000532DD"/>
    <w:rsid w:val="000534C5"/>
    <w:rsid w:val="000534FC"/>
    <w:rsid w:val="000538F2"/>
    <w:rsid w:val="00053A21"/>
    <w:rsid w:val="00053EBE"/>
    <w:rsid w:val="000542BA"/>
    <w:rsid w:val="000546E7"/>
    <w:rsid w:val="000549CB"/>
    <w:rsid w:val="00054A1C"/>
    <w:rsid w:val="00054BBB"/>
    <w:rsid w:val="00054D0F"/>
    <w:rsid w:val="00054E32"/>
    <w:rsid w:val="00054E59"/>
    <w:rsid w:val="00055063"/>
    <w:rsid w:val="00055657"/>
    <w:rsid w:val="00055927"/>
    <w:rsid w:val="00055DCA"/>
    <w:rsid w:val="00056072"/>
    <w:rsid w:val="0005623A"/>
    <w:rsid w:val="00056671"/>
    <w:rsid w:val="00056AC4"/>
    <w:rsid w:val="00056B09"/>
    <w:rsid w:val="00056E75"/>
    <w:rsid w:val="00057421"/>
    <w:rsid w:val="0005778A"/>
    <w:rsid w:val="00057C17"/>
    <w:rsid w:val="0006008D"/>
    <w:rsid w:val="000604B9"/>
    <w:rsid w:val="0006061C"/>
    <w:rsid w:val="00060714"/>
    <w:rsid w:val="00060951"/>
    <w:rsid w:val="00060CF9"/>
    <w:rsid w:val="00060D73"/>
    <w:rsid w:val="00060DC8"/>
    <w:rsid w:val="00060EB9"/>
    <w:rsid w:val="00060F67"/>
    <w:rsid w:val="000611CE"/>
    <w:rsid w:val="0006131D"/>
    <w:rsid w:val="00061B07"/>
    <w:rsid w:val="000620CB"/>
    <w:rsid w:val="00062233"/>
    <w:rsid w:val="00062942"/>
    <w:rsid w:val="00062A07"/>
    <w:rsid w:val="00062C78"/>
    <w:rsid w:val="00062C79"/>
    <w:rsid w:val="00062D3B"/>
    <w:rsid w:val="00062F5A"/>
    <w:rsid w:val="000638A9"/>
    <w:rsid w:val="00063C65"/>
    <w:rsid w:val="00063DC3"/>
    <w:rsid w:val="000640B9"/>
    <w:rsid w:val="0006431D"/>
    <w:rsid w:val="00064331"/>
    <w:rsid w:val="00064439"/>
    <w:rsid w:val="000646A8"/>
    <w:rsid w:val="00064820"/>
    <w:rsid w:val="000650B3"/>
    <w:rsid w:val="0006533C"/>
    <w:rsid w:val="00065428"/>
    <w:rsid w:val="00065532"/>
    <w:rsid w:val="0006556B"/>
    <w:rsid w:val="00065671"/>
    <w:rsid w:val="000662E9"/>
    <w:rsid w:val="0006631D"/>
    <w:rsid w:val="0006649B"/>
    <w:rsid w:val="00066798"/>
    <w:rsid w:val="000667D6"/>
    <w:rsid w:val="00066B36"/>
    <w:rsid w:val="000672D6"/>
    <w:rsid w:val="00067390"/>
    <w:rsid w:val="000673EE"/>
    <w:rsid w:val="0006741B"/>
    <w:rsid w:val="000674A7"/>
    <w:rsid w:val="00067519"/>
    <w:rsid w:val="00067804"/>
    <w:rsid w:val="00067B5E"/>
    <w:rsid w:val="0007012B"/>
    <w:rsid w:val="00070143"/>
    <w:rsid w:val="0007019B"/>
    <w:rsid w:val="00070297"/>
    <w:rsid w:val="00070385"/>
    <w:rsid w:val="000704DB"/>
    <w:rsid w:val="00070C2E"/>
    <w:rsid w:val="00070CB8"/>
    <w:rsid w:val="0007105B"/>
    <w:rsid w:val="00071188"/>
    <w:rsid w:val="000717D4"/>
    <w:rsid w:val="00071C67"/>
    <w:rsid w:val="00071E47"/>
    <w:rsid w:val="00071E66"/>
    <w:rsid w:val="00071F32"/>
    <w:rsid w:val="0007208C"/>
    <w:rsid w:val="000720F7"/>
    <w:rsid w:val="0007223B"/>
    <w:rsid w:val="000723C9"/>
    <w:rsid w:val="00072416"/>
    <w:rsid w:val="000727D0"/>
    <w:rsid w:val="00072982"/>
    <w:rsid w:val="000729EB"/>
    <w:rsid w:val="00072A54"/>
    <w:rsid w:val="00072C7E"/>
    <w:rsid w:val="00072D07"/>
    <w:rsid w:val="000733F1"/>
    <w:rsid w:val="000737D4"/>
    <w:rsid w:val="00073B2B"/>
    <w:rsid w:val="00073B8D"/>
    <w:rsid w:val="000742ED"/>
    <w:rsid w:val="00074423"/>
    <w:rsid w:val="00074480"/>
    <w:rsid w:val="000745AF"/>
    <w:rsid w:val="00074621"/>
    <w:rsid w:val="00074692"/>
    <w:rsid w:val="00074B27"/>
    <w:rsid w:val="00074B3D"/>
    <w:rsid w:val="00074D7F"/>
    <w:rsid w:val="000751DC"/>
    <w:rsid w:val="0007546C"/>
    <w:rsid w:val="00075484"/>
    <w:rsid w:val="0007548E"/>
    <w:rsid w:val="0007554F"/>
    <w:rsid w:val="00075742"/>
    <w:rsid w:val="0007576B"/>
    <w:rsid w:val="00075B50"/>
    <w:rsid w:val="00075EB4"/>
    <w:rsid w:val="000761AC"/>
    <w:rsid w:val="0007630B"/>
    <w:rsid w:val="000764B6"/>
    <w:rsid w:val="000764C6"/>
    <w:rsid w:val="000765FC"/>
    <w:rsid w:val="00076F48"/>
    <w:rsid w:val="00076F92"/>
    <w:rsid w:val="000771A6"/>
    <w:rsid w:val="000779E5"/>
    <w:rsid w:val="00077D49"/>
    <w:rsid w:val="00080046"/>
    <w:rsid w:val="0008024C"/>
    <w:rsid w:val="0008049F"/>
    <w:rsid w:val="00080579"/>
    <w:rsid w:val="00080950"/>
    <w:rsid w:val="00080D04"/>
    <w:rsid w:val="00081208"/>
    <w:rsid w:val="00081244"/>
    <w:rsid w:val="0008150F"/>
    <w:rsid w:val="00081589"/>
    <w:rsid w:val="000816F4"/>
    <w:rsid w:val="00081CE2"/>
    <w:rsid w:val="00082656"/>
    <w:rsid w:val="000828C5"/>
    <w:rsid w:val="00082A09"/>
    <w:rsid w:val="00082A0E"/>
    <w:rsid w:val="00082D36"/>
    <w:rsid w:val="000830E1"/>
    <w:rsid w:val="00083386"/>
    <w:rsid w:val="00083394"/>
    <w:rsid w:val="000836A4"/>
    <w:rsid w:val="00083835"/>
    <w:rsid w:val="00083963"/>
    <w:rsid w:val="000839AC"/>
    <w:rsid w:val="00083BAB"/>
    <w:rsid w:val="00083CFF"/>
    <w:rsid w:val="00084033"/>
    <w:rsid w:val="000840FD"/>
    <w:rsid w:val="00084256"/>
    <w:rsid w:val="00084338"/>
    <w:rsid w:val="00084458"/>
    <w:rsid w:val="000845CC"/>
    <w:rsid w:val="00084BE8"/>
    <w:rsid w:val="000857D9"/>
    <w:rsid w:val="000858F6"/>
    <w:rsid w:val="00085C8E"/>
    <w:rsid w:val="00085D63"/>
    <w:rsid w:val="000860B9"/>
    <w:rsid w:val="00086390"/>
    <w:rsid w:val="000867C9"/>
    <w:rsid w:val="0008690F"/>
    <w:rsid w:val="000869A3"/>
    <w:rsid w:val="00086B55"/>
    <w:rsid w:val="00086BDD"/>
    <w:rsid w:val="00087487"/>
    <w:rsid w:val="00087874"/>
    <w:rsid w:val="00087B52"/>
    <w:rsid w:val="00090D9F"/>
    <w:rsid w:val="000910BA"/>
    <w:rsid w:val="0009161B"/>
    <w:rsid w:val="000917C7"/>
    <w:rsid w:val="00091897"/>
    <w:rsid w:val="00091AF8"/>
    <w:rsid w:val="00091D60"/>
    <w:rsid w:val="00092032"/>
    <w:rsid w:val="000920CF"/>
    <w:rsid w:val="000925CE"/>
    <w:rsid w:val="00092668"/>
    <w:rsid w:val="00092EE4"/>
    <w:rsid w:val="000930F2"/>
    <w:rsid w:val="00093208"/>
    <w:rsid w:val="0009386F"/>
    <w:rsid w:val="000939C9"/>
    <w:rsid w:val="00093AD1"/>
    <w:rsid w:val="00093C3A"/>
    <w:rsid w:val="00093C9C"/>
    <w:rsid w:val="00093FD6"/>
    <w:rsid w:val="00094118"/>
    <w:rsid w:val="000942F5"/>
    <w:rsid w:val="000943DE"/>
    <w:rsid w:val="000944AE"/>
    <w:rsid w:val="00094626"/>
    <w:rsid w:val="0009489E"/>
    <w:rsid w:val="00094B0D"/>
    <w:rsid w:val="00094BBD"/>
    <w:rsid w:val="000952DD"/>
    <w:rsid w:val="000954C0"/>
    <w:rsid w:val="000956CB"/>
    <w:rsid w:val="0009572B"/>
    <w:rsid w:val="000957E3"/>
    <w:rsid w:val="00095A27"/>
    <w:rsid w:val="00095F6E"/>
    <w:rsid w:val="00095F71"/>
    <w:rsid w:val="000960EE"/>
    <w:rsid w:val="000962F7"/>
    <w:rsid w:val="000963A1"/>
    <w:rsid w:val="0009664C"/>
    <w:rsid w:val="00096856"/>
    <w:rsid w:val="000968B2"/>
    <w:rsid w:val="00096AF1"/>
    <w:rsid w:val="00096CB5"/>
    <w:rsid w:val="00096D17"/>
    <w:rsid w:val="00096DA9"/>
    <w:rsid w:val="00097094"/>
    <w:rsid w:val="000972CD"/>
    <w:rsid w:val="00097353"/>
    <w:rsid w:val="00097B6A"/>
    <w:rsid w:val="00097D15"/>
    <w:rsid w:val="00097D64"/>
    <w:rsid w:val="000A0051"/>
    <w:rsid w:val="000A03A8"/>
    <w:rsid w:val="000A0410"/>
    <w:rsid w:val="000A0451"/>
    <w:rsid w:val="000A06B4"/>
    <w:rsid w:val="000A0805"/>
    <w:rsid w:val="000A0BFB"/>
    <w:rsid w:val="000A0E78"/>
    <w:rsid w:val="000A10AC"/>
    <w:rsid w:val="000A1194"/>
    <w:rsid w:val="000A126F"/>
    <w:rsid w:val="000A199A"/>
    <w:rsid w:val="000A1B8C"/>
    <w:rsid w:val="000A1DAA"/>
    <w:rsid w:val="000A1F8A"/>
    <w:rsid w:val="000A2574"/>
    <w:rsid w:val="000A25F9"/>
    <w:rsid w:val="000A2970"/>
    <w:rsid w:val="000A2B04"/>
    <w:rsid w:val="000A2D35"/>
    <w:rsid w:val="000A3364"/>
    <w:rsid w:val="000A3846"/>
    <w:rsid w:val="000A3850"/>
    <w:rsid w:val="000A397A"/>
    <w:rsid w:val="000A3BF9"/>
    <w:rsid w:val="000A3CCA"/>
    <w:rsid w:val="000A46C6"/>
    <w:rsid w:val="000A4712"/>
    <w:rsid w:val="000A4940"/>
    <w:rsid w:val="000A4C0C"/>
    <w:rsid w:val="000A4CB4"/>
    <w:rsid w:val="000A50D2"/>
    <w:rsid w:val="000A52B5"/>
    <w:rsid w:val="000A556D"/>
    <w:rsid w:val="000A5652"/>
    <w:rsid w:val="000A5835"/>
    <w:rsid w:val="000A58A9"/>
    <w:rsid w:val="000A5DB8"/>
    <w:rsid w:val="000A5DF1"/>
    <w:rsid w:val="000A6039"/>
    <w:rsid w:val="000A64AE"/>
    <w:rsid w:val="000A692C"/>
    <w:rsid w:val="000A699D"/>
    <w:rsid w:val="000A6AA8"/>
    <w:rsid w:val="000A6B33"/>
    <w:rsid w:val="000A6DF6"/>
    <w:rsid w:val="000A6FD2"/>
    <w:rsid w:val="000A7070"/>
    <w:rsid w:val="000A72E3"/>
    <w:rsid w:val="000A7316"/>
    <w:rsid w:val="000A7479"/>
    <w:rsid w:val="000A75FC"/>
    <w:rsid w:val="000A7831"/>
    <w:rsid w:val="000A79E5"/>
    <w:rsid w:val="000B01AA"/>
    <w:rsid w:val="000B062F"/>
    <w:rsid w:val="000B07DC"/>
    <w:rsid w:val="000B0811"/>
    <w:rsid w:val="000B0BD4"/>
    <w:rsid w:val="000B0EFA"/>
    <w:rsid w:val="000B1063"/>
    <w:rsid w:val="000B10DF"/>
    <w:rsid w:val="000B12E9"/>
    <w:rsid w:val="000B12F3"/>
    <w:rsid w:val="000B131B"/>
    <w:rsid w:val="000B1425"/>
    <w:rsid w:val="000B1555"/>
    <w:rsid w:val="000B169C"/>
    <w:rsid w:val="000B1B75"/>
    <w:rsid w:val="000B1C8D"/>
    <w:rsid w:val="000B1F4B"/>
    <w:rsid w:val="000B1F79"/>
    <w:rsid w:val="000B1FB4"/>
    <w:rsid w:val="000B2001"/>
    <w:rsid w:val="000B28CE"/>
    <w:rsid w:val="000B2D95"/>
    <w:rsid w:val="000B34A4"/>
    <w:rsid w:val="000B366E"/>
    <w:rsid w:val="000B3B65"/>
    <w:rsid w:val="000B3F2E"/>
    <w:rsid w:val="000B42D1"/>
    <w:rsid w:val="000B46AA"/>
    <w:rsid w:val="000B473C"/>
    <w:rsid w:val="000B4868"/>
    <w:rsid w:val="000B486A"/>
    <w:rsid w:val="000B49B7"/>
    <w:rsid w:val="000B4A35"/>
    <w:rsid w:val="000B4B1F"/>
    <w:rsid w:val="000B4F46"/>
    <w:rsid w:val="000B55AF"/>
    <w:rsid w:val="000B58C4"/>
    <w:rsid w:val="000B5A93"/>
    <w:rsid w:val="000B5B22"/>
    <w:rsid w:val="000B5D41"/>
    <w:rsid w:val="000B5FC3"/>
    <w:rsid w:val="000B6171"/>
    <w:rsid w:val="000B6D07"/>
    <w:rsid w:val="000B6D64"/>
    <w:rsid w:val="000B6F8B"/>
    <w:rsid w:val="000B6FD2"/>
    <w:rsid w:val="000B715F"/>
    <w:rsid w:val="000B717B"/>
    <w:rsid w:val="000B7196"/>
    <w:rsid w:val="000B7B7B"/>
    <w:rsid w:val="000C012B"/>
    <w:rsid w:val="000C01A8"/>
    <w:rsid w:val="000C0592"/>
    <w:rsid w:val="000C08AD"/>
    <w:rsid w:val="000C0D34"/>
    <w:rsid w:val="000C0FE5"/>
    <w:rsid w:val="000C104C"/>
    <w:rsid w:val="000C11C1"/>
    <w:rsid w:val="000C12E3"/>
    <w:rsid w:val="000C1554"/>
    <w:rsid w:val="000C1A4D"/>
    <w:rsid w:val="000C1E1E"/>
    <w:rsid w:val="000C2109"/>
    <w:rsid w:val="000C22C2"/>
    <w:rsid w:val="000C2A42"/>
    <w:rsid w:val="000C2A81"/>
    <w:rsid w:val="000C2B1E"/>
    <w:rsid w:val="000C2BAC"/>
    <w:rsid w:val="000C2EE5"/>
    <w:rsid w:val="000C2F29"/>
    <w:rsid w:val="000C35ED"/>
    <w:rsid w:val="000C3694"/>
    <w:rsid w:val="000C3C61"/>
    <w:rsid w:val="000C3CD4"/>
    <w:rsid w:val="000C3F55"/>
    <w:rsid w:val="000C43CC"/>
    <w:rsid w:val="000C46E5"/>
    <w:rsid w:val="000C4796"/>
    <w:rsid w:val="000C48AA"/>
    <w:rsid w:val="000C48C5"/>
    <w:rsid w:val="000C4C76"/>
    <w:rsid w:val="000C4CEF"/>
    <w:rsid w:val="000C5081"/>
    <w:rsid w:val="000C548E"/>
    <w:rsid w:val="000C5518"/>
    <w:rsid w:val="000C5767"/>
    <w:rsid w:val="000C595F"/>
    <w:rsid w:val="000C5AC9"/>
    <w:rsid w:val="000C5E71"/>
    <w:rsid w:val="000C5F71"/>
    <w:rsid w:val="000C600D"/>
    <w:rsid w:val="000C64ED"/>
    <w:rsid w:val="000C6736"/>
    <w:rsid w:val="000C6B18"/>
    <w:rsid w:val="000C6BA1"/>
    <w:rsid w:val="000C6CC6"/>
    <w:rsid w:val="000C6F3A"/>
    <w:rsid w:val="000C7096"/>
    <w:rsid w:val="000C71DB"/>
    <w:rsid w:val="000C7314"/>
    <w:rsid w:val="000C74B1"/>
    <w:rsid w:val="000C76EF"/>
    <w:rsid w:val="000C7BB9"/>
    <w:rsid w:val="000D003F"/>
    <w:rsid w:val="000D014A"/>
    <w:rsid w:val="000D01BB"/>
    <w:rsid w:val="000D0219"/>
    <w:rsid w:val="000D0333"/>
    <w:rsid w:val="000D0800"/>
    <w:rsid w:val="000D084A"/>
    <w:rsid w:val="000D0887"/>
    <w:rsid w:val="000D08CE"/>
    <w:rsid w:val="000D08EC"/>
    <w:rsid w:val="000D0F6C"/>
    <w:rsid w:val="000D10EE"/>
    <w:rsid w:val="000D10F7"/>
    <w:rsid w:val="000D119D"/>
    <w:rsid w:val="000D19D7"/>
    <w:rsid w:val="000D1A96"/>
    <w:rsid w:val="000D1ACA"/>
    <w:rsid w:val="000D1C2D"/>
    <w:rsid w:val="000D1EE6"/>
    <w:rsid w:val="000D209B"/>
    <w:rsid w:val="000D24ED"/>
    <w:rsid w:val="000D2684"/>
    <w:rsid w:val="000D27B5"/>
    <w:rsid w:val="000D27D0"/>
    <w:rsid w:val="000D2D27"/>
    <w:rsid w:val="000D3779"/>
    <w:rsid w:val="000D3834"/>
    <w:rsid w:val="000D38E6"/>
    <w:rsid w:val="000D3C6D"/>
    <w:rsid w:val="000D3D05"/>
    <w:rsid w:val="000D43A3"/>
    <w:rsid w:val="000D4943"/>
    <w:rsid w:val="000D49E0"/>
    <w:rsid w:val="000D4AED"/>
    <w:rsid w:val="000D4F34"/>
    <w:rsid w:val="000D5148"/>
    <w:rsid w:val="000D569F"/>
    <w:rsid w:val="000D5838"/>
    <w:rsid w:val="000D589C"/>
    <w:rsid w:val="000D59D7"/>
    <w:rsid w:val="000D5E4A"/>
    <w:rsid w:val="000D6012"/>
    <w:rsid w:val="000D6037"/>
    <w:rsid w:val="000D614B"/>
    <w:rsid w:val="000D6447"/>
    <w:rsid w:val="000D64F1"/>
    <w:rsid w:val="000D67CE"/>
    <w:rsid w:val="000D6903"/>
    <w:rsid w:val="000D699A"/>
    <w:rsid w:val="000D6E34"/>
    <w:rsid w:val="000D6F05"/>
    <w:rsid w:val="000D6F8C"/>
    <w:rsid w:val="000D74B4"/>
    <w:rsid w:val="000D7654"/>
    <w:rsid w:val="000D7671"/>
    <w:rsid w:val="000D77A8"/>
    <w:rsid w:val="000D7D18"/>
    <w:rsid w:val="000D7FAF"/>
    <w:rsid w:val="000E01B3"/>
    <w:rsid w:val="000E01DD"/>
    <w:rsid w:val="000E02CA"/>
    <w:rsid w:val="000E059E"/>
    <w:rsid w:val="000E072E"/>
    <w:rsid w:val="000E07F5"/>
    <w:rsid w:val="000E0CE5"/>
    <w:rsid w:val="000E0E1B"/>
    <w:rsid w:val="000E0F68"/>
    <w:rsid w:val="000E1052"/>
    <w:rsid w:val="000E1153"/>
    <w:rsid w:val="000E12D8"/>
    <w:rsid w:val="000E1378"/>
    <w:rsid w:val="000E1E1F"/>
    <w:rsid w:val="000E23B2"/>
    <w:rsid w:val="000E23DC"/>
    <w:rsid w:val="000E23E0"/>
    <w:rsid w:val="000E26A6"/>
    <w:rsid w:val="000E2E16"/>
    <w:rsid w:val="000E361F"/>
    <w:rsid w:val="000E37E3"/>
    <w:rsid w:val="000E3921"/>
    <w:rsid w:val="000E42A1"/>
    <w:rsid w:val="000E42D8"/>
    <w:rsid w:val="000E48DD"/>
    <w:rsid w:val="000E4A6C"/>
    <w:rsid w:val="000E4CAF"/>
    <w:rsid w:val="000E50E2"/>
    <w:rsid w:val="000E517E"/>
    <w:rsid w:val="000E520A"/>
    <w:rsid w:val="000E52BA"/>
    <w:rsid w:val="000E540A"/>
    <w:rsid w:val="000E5CCE"/>
    <w:rsid w:val="000E5EAB"/>
    <w:rsid w:val="000E61BE"/>
    <w:rsid w:val="000E6280"/>
    <w:rsid w:val="000E681B"/>
    <w:rsid w:val="000E691F"/>
    <w:rsid w:val="000E6E64"/>
    <w:rsid w:val="000E7248"/>
    <w:rsid w:val="000E7528"/>
    <w:rsid w:val="000E7575"/>
    <w:rsid w:val="000E7C7B"/>
    <w:rsid w:val="000E7D35"/>
    <w:rsid w:val="000F0585"/>
    <w:rsid w:val="000F07F6"/>
    <w:rsid w:val="000F08CB"/>
    <w:rsid w:val="000F09E1"/>
    <w:rsid w:val="000F0A22"/>
    <w:rsid w:val="000F0A2A"/>
    <w:rsid w:val="000F0C99"/>
    <w:rsid w:val="000F1060"/>
    <w:rsid w:val="000F1112"/>
    <w:rsid w:val="000F1BF8"/>
    <w:rsid w:val="000F2059"/>
    <w:rsid w:val="000F2212"/>
    <w:rsid w:val="000F2239"/>
    <w:rsid w:val="000F2562"/>
    <w:rsid w:val="000F2606"/>
    <w:rsid w:val="000F26E0"/>
    <w:rsid w:val="000F2EAC"/>
    <w:rsid w:val="000F2ED7"/>
    <w:rsid w:val="000F3111"/>
    <w:rsid w:val="000F3145"/>
    <w:rsid w:val="000F334B"/>
    <w:rsid w:val="000F33C6"/>
    <w:rsid w:val="000F363F"/>
    <w:rsid w:val="000F3802"/>
    <w:rsid w:val="000F3B7F"/>
    <w:rsid w:val="000F3E20"/>
    <w:rsid w:val="000F3F95"/>
    <w:rsid w:val="000F409E"/>
    <w:rsid w:val="000F4147"/>
    <w:rsid w:val="000F41BC"/>
    <w:rsid w:val="000F4350"/>
    <w:rsid w:val="000F47C0"/>
    <w:rsid w:val="000F48DA"/>
    <w:rsid w:val="000F4983"/>
    <w:rsid w:val="000F51A1"/>
    <w:rsid w:val="000F538C"/>
    <w:rsid w:val="000F544C"/>
    <w:rsid w:val="000F58B1"/>
    <w:rsid w:val="000F5D9E"/>
    <w:rsid w:val="000F6265"/>
    <w:rsid w:val="000F654E"/>
    <w:rsid w:val="000F68F1"/>
    <w:rsid w:val="000F6C4D"/>
    <w:rsid w:val="000F7065"/>
    <w:rsid w:val="000F70B1"/>
    <w:rsid w:val="000F70EE"/>
    <w:rsid w:val="000F7515"/>
    <w:rsid w:val="000F766D"/>
    <w:rsid w:val="000F76D5"/>
    <w:rsid w:val="000F7822"/>
    <w:rsid w:val="000F79D7"/>
    <w:rsid w:val="000F7CE6"/>
    <w:rsid w:val="001001C9"/>
    <w:rsid w:val="00100205"/>
    <w:rsid w:val="00100664"/>
    <w:rsid w:val="00100683"/>
    <w:rsid w:val="00100976"/>
    <w:rsid w:val="00100AD1"/>
    <w:rsid w:val="001011F8"/>
    <w:rsid w:val="001015CE"/>
    <w:rsid w:val="00101684"/>
    <w:rsid w:val="00101807"/>
    <w:rsid w:val="00101955"/>
    <w:rsid w:val="00101B05"/>
    <w:rsid w:val="00101D43"/>
    <w:rsid w:val="00101E4E"/>
    <w:rsid w:val="00101E8F"/>
    <w:rsid w:val="00102400"/>
    <w:rsid w:val="00102521"/>
    <w:rsid w:val="001026F5"/>
    <w:rsid w:val="001028D7"/>
    <w:rsid w:val="00103033"/>
    <w:rsid w:val="00103098"/>
    <w:rsid w:val="001031B2"/>
    <w:rsid w:val="001036C3"/>
    <w:rsid w:val="00103923"/>
    <w:rsid w:val="00103988"/>
    <w:rsid w:val="00103A28"/>
    <w:rsid w:val="00103AAA"/>
    <w:rsid w:val="00104007"/>
    <w:rsid w:val="0010429E"/>
    <w:rsid w:val="00104381"/>
    <w:rsid w:val="0010472A"/>
    <w:rsid w:val="00104771"/>
    <w:rsid w:val="00104812"/>
    <w:rsid w:val="00104CD1"/>
    <w:rsid w:val="00104F87"/>
    <w:rsid w:val="00105803"/>
    <w:rsid w:val="00105910"/>
    <w:rsid w:val="001065F8"/>
    <w:rsid w:val="00106B96"/>
    <w:rsid w:val="00107652"/>
    <w:rsid w:val="0010791D"/>
    <w:rsid w:val="00107BC3"/>
    <w:rsid w:val="00107FD0"/>
    <w:rsid w:val="0011033D"/>
    <w:rsid w:val="0011040D"/>
    <w:rsid w:val="001105ED"/>
    <w:rsid w:val="00110816"/>
    <w:rsid w:val="00110948"/>
    <w:rsid w:val="001109C0"/>
    <w:rsid w:val="001109F8"/>
    <w:rsid w:val="00110EAA"/>
    <w:rsid w:val="00111383"/>
    <w:rsid w:val="001113DE"/>
    <w:rsid w:val="0011195E"/>
    <w:rsid w:val="0011234F"/>
    <w:rsid w:val="001123D9"/>
    <w:rsid w:val="0011244F"/>
    <w:rsid w:val="001124FC"/>
    <w:rsid w:val="00112680"/>
    <w:rsid w:val="00112872"/>
    <w:rsid w:val="00112905"/>
    <w:rsid w:val="00112958"/>
    <w:rsid w:val="00112CB8"/>
    <w:rsid w:val="001133D5"/>
    <w:rsid w:val="00113B00"/>
    <w:rsid w:val="00113C7C"/>
    <w:rsid w:val="00113D34"/>
    <w:rsid w:val="00113D76"/>
    <w:rsid w:val="00113EC7"/>
    <w:rsid w:val="00113FFF"/>
    <w:rsid w:val="00114127"/>
    <w:rsid w:val="001141B1"/>
    <w:rsid w:val="00114430"/>
    <w:rsid w:val="0011446C"/>
    <w:rsid w:val="00114540"/>
    <w:rsid w:val="00114628"/>
    <w:rsid w:val="00114783"/>
    <w:rsid w:val="00114792"/>
    <w:rsid w:val="001147C0"/>
    <w:rsid w:val="0011480F"/>
    <w:rsid w:val="0011484F"/>
    <w:rsid w:val="00114BBB"/>
    <w:rsid w:val="00114C68"/>
    <w:rsid w:val="00114E34"/>
    <w:rsid w:val="00115204"/>
    <w:rsid w:val="001152D5"/>
    <w:rsid w:val="0011539A"/>
    <w:rsid w:val="00115994"/>
    <w:rsid w:val="00115DEB"/>
    <w:rsid w:val="00116079"/>
    <w:rsid w:val="001160B3"/>
    <w:rsid w:val="001161CC"/>
    <w:rsid w:val="00116387"/>
    <w:rsid w:val="00116690"/>
    <w:rsid w:val="00116697"/>
    <w:rsid w:val="001169CD"/>
    <w:rsid w:val="00116B5C"/>
    <w:rsid w:val="0011755D"/>
    <w:rsid w:val="001176C6"/>
    <w:rsid w:val="00117843"/>
    <w:rsid w:val="001178BD"/>
    <w:rsid w:val="00117A9C"/>
    <w:rsid w:val="00117DF7"/>
    <w:rsid w:val="00117EE4"/>
    <w:rsid w:val="001200ED"/>
    <w:rsid w:val="001201AC"/>
    <w:rsid w:val="0012031F"/>
    <w:rsid w:val="0012032B"/>
    <w:rsid w:val="00120645"/>
    <w:rsid w:val="001209A6"/>
    <w:rsid w:val="00120C29"/>
    <w:rsid w:val="00120C48"/>
    <w:rsid w:val="00120D6A"/>
    <w:rsid w:val="001211A6"/>
    <w:rsid w:val="001211FF"/>
    <w:rsid w:val="001213EE"/>
    <w:rsid w:val="00121AC7"/>
    <w:rsid w:val="00121AE9"/>
    <w:rsid w:val="00121E36"/>
    <w:rsid w:val="001220FD"/>
    <w:rsid w:val="00122821"/>
    <w:rsid w:val="0012294F"/>
    <w:rsid w:val="00122A0C"/>
    <w:rsid w:val="0012396C"/>
    <w:rsid w:val="00123B82"/>
    <w:rsid w:val="00123EBE"/>
    <w:rsid w:val="00123EE2"/>
    <w:rsid w:val="00124135"/>
    <w:rsid w:val="00124274"/>
    <w:rsid w:val="001243BB"/>
    <w:rsid w:val="001245DD"/>
    <w:rsid w:val="00124771"/>
    <w:rsid w:val="00124893"/>
    <w:rsid w:val="00124894"/>
    <w:rsid w:val="001249C1"/>
    <w:rsid w:val="0012517B"/>
    <w:rsid w:val="0012542C"/>
    <w:rsid w:val="001254E5"/>
    <w:rsid w:val="001255D5"/>
    <w:rsid w:val="001255EC"/>
    <w:rsid w:val="001256B4"/>
    <w:rsid w:val="00125759"/>
    <w:rsid w:val="00125F95"/>
    <w:rsid w:val="001265A9"/>
    <w:rsid w:val="001266EC"/>
    <w:rsid w:val="00126722"/>
    <w:rsid w:val="00126748"/>
    <w:rsid w:val="00126778"/>
    <w:rsid w:val="0012684B"/>
    <w:rsid w:val="00126CAB"/>
    <w:rsid w:val="00126E49"/>
    <w:rsid w:val="00127131"/>
    <w:rsid w:val="0012723D"/>
    <w:rsid w:val="00127679"/>
    <w:rsid w:val="001277C3"/>
    <w:rsid w:val="00127CE1"/>
    <w:rsid w:val="00127D0A"/>
    <w:rsid w:val="00127D0E"/>
    <w:rsid w:val="0013037B"/>
    <w:rsid w:val="001303D4"/>
    <w:rsid w:val="0013040E"/>
    <w:rsid w:val="0013041A"/>
    <w:rsid w:val="001304DB"/>
    <w:rsid w:val="0013056C"/>
    <w:rsid w:val="0013064F"/>
    <w:rsid w:val="00130E88"/>
    <w:rsid w:val="00131281"/>
    <w:rsid w:val="001312FE"/>
    <w:rsid w:val="001315D0"/>
    <w:rsid w:val="00131961"/>
    <w:rsid w:val="00131E10"/>
    <w:rsid w:val="001321EC"/>
    <w:rsid w:val="00132227"/>
    <w:rsid w:val="00132293"/>
    <w:rsid w:val="00132646"/>
    <w:rsid w:val="00132A08"/>
    <w:rsid w:val="00132E16"/>
    <w:rsid w:val="00132EE9"/>
    <w:rsid w:val="00133163"/>
    <w:rsid w:val="001331E3"/>
    <w:rsid w:val="00133A19"/>
    <w:rsid w:val="00133A9E"/>
    <w:rsid w:val="00133AD1"/>
    <w:rsid w:val="00133E61"/>
    <w:rsid w:val="0013443E"/>
    <w:rsid w:val="0013461D"/>
    <w:rsid w:val="00134BDC"/>
    <w:rsid w:val="00134DC6"/>
    <w:rsid w:val="001360D9"/>
    <w:rsid w:val="001363AC"/>
    <w:rsid w:val="0013643C"/>
    <w:rsid w:val="00136635"/>
    <w:rsid w:val="00136C78"/>
    <w:rsid w:val="00136D50"/>
    <w:rsid w:val="00136F43"/>
    <w:rsid w:val="00137289"/>
    <w:rsid w:val="0013729B"/>
    <w:rsid w:val="0013779D"/>
    <w:rsid w:val="00137816"/>
    <w:rsid w:val="00137C1A"/>
    <w:rsid w:val="00137C9B"/>
    <w:rsid w:val="00137D38"/>
    <w:rsid w:val="001400EE"/>
    <w:rsid w:val="001405D3"/>
    <w:rsid w:val="001405E8"/>
    <w:rsid w:val="00140947"/>
    <w:rsid w:val="0014112A"/>
    <w:rsid w:val="001412F1"/>
    <w:rsid w:val="001414AC"/>
    <w:rsid w:val="00141660"/>
    <w:rsid w:val="001417C1"/>
    <w:rsid w:val="001418E2"/>
    <w:rsid w:val="00141943"/>
    <w:rsid w:val="00141A11"/>
    <w:rsid w:val="00141B3A"/>
    <w:rsid w:val="00141C8E"/>
    <w:rsid w:val="00141CB8"/>
    <w:rsid w:val="00141D58"/>
    <w:rsid w:val="00141F46"/>
    <w:rsid w:val="001426A0"/>
    <w:rsid w:val="00143056"/>
    <w:rsid w:val="00143392"/>
    <w:rsid w:val="0014347D"/>
    <w:rsid w:val="0014354C"/>
    <w:rsid w:val="00143885"/>
    <w:rsid w:val="00143C06"/>
    <w:rsid w:val="001442DB"/>
    <w:rsid w:val="001443B8"/>
    <w:rsid w:val="001448DF"/>
    <w:rsid w:val="0014498C"/>
    <w:rsid w:val="00144A01"/>
    <w:rsid w:val="00144C39"/>
    <w:rsid w:val="00144EE4"/>
    <w:rsid w:val="00145199"/>
    <w:rsid w:val="00145829"/>
    <w:rsid w:val="00145ACC"/>
    <w:rsid w:val="00145CD7"/>
    <w:rsid w:val="001463B3"/>
    <w:rsid w:val="00146418"/>
    <w:rsid w:val="0014669A"/>
    <w:rsid w:val="00146BDD"/>
    <w:rsid w:val="00146E69"/>
    <w:rsid w:val="00146F5B"/>
    <w:rsid w:val="001471D6"/>
    <w:rsid w:val="00147451"/>
    <w:rsid w:val="001474F2"/>
    <w:rsid w:val="0014777B"/>
    <w:rsid w:val="001477FF"/>
    <w:rsid w:val="00147CB4"/>
    <w:rsid w:val="00147DB2"/>
    <w:rsid w:val="001500B6"/>
    <w:rsid w:val="0015020F"/>
    <w:rsid w:val="0015067C"/>
    <w:rsid w:val="00150C2D"/>
    <w:rsid w:val="00150E18"/>
    <w:rsid w:val="00150FC2"/>
    <w:rsid w:val="00150FD4"/>
    <w:rsid w:val="001510CE"/>
    <w:rsid w:val="00151383"/>
    <w:rsid w:val="0015151E"/>
    <w:rsid w:val="00151D8F"/>
    <w:rsid w:val="00151F61"/>
    <w:rsid w:val="001520CB"/>
    <w:rsid w:val="001521FF"/>
    <w:rsid w:val="001523F1"/>
    <w:rsid w:val="00152774"/>
    <w:rsid w:val="00152902"/>
    <w:rsid w:val="00152A17"/>
    <w:rsid w:val="00152BB1"/>
    <w:rsid w:val="00152C8B"/>
    <w:rsid w:val="00152ED5"/>
    <w:rsid w:val="00153096"/>
    <w:rsid w:val="00153433"/>
    <w:rsid w:val="001534DD"/>
    <w:rsid w:val="001535AA"/>
    <w:rsid w:val="00153876"/>
    <w:rsid w:val="00153DEF"/>
    <w:rsid w:val="00153E8E"/>
    <w:rsid w:val="001540A4"/>
    <w:rsid w:val="0015411E"/>
    <w:rsid w:val="001543EB"/>
    <w:rsid w:val="00154A0B"/>
    <w:rsid w:val="00154A2E"/>
    <w:rsid w:val="00154CAD"/>
    <w:rsid w:val="0015548A"/>
    <w:rsid w:val="001554F9"/>
    <w:rsid w:val="00155618"/>
    <w:rsid w:val="00155735"/>
    <w:rsid w:val="0015579E"/>
    <w:rsid w:val="00155926"/>
    <w:rsid w:val="00155984"/>
    <w:rsid w:val="00155C85"/>
    <w:rsid w:val="00155D03"/>
    <w:rsid w:val="001565CC"/>
    <w:rsid w:val="00156767"/>
    <w:rsid w:val="001567D6"/>
    <w:rsid w:val="00156E73"/>
    <w:rsid w:val="00156FE8"/>
    <w:rsid w:val="001571F6"/>
    <w:rsid w:val="00157A1D"/>
    <w:rsid w:val="00157B1D"/>
    <w:rsid w:val="00157D19"/>
    <w:rsid w:val="00160115"/>
    <w:rsid w:val="001603B4"/>
    <w:rsid w:val="001603F3"/>
    <w:rsid w:val="00160867"/>
    <w:rsid w:val="00160A48"/>
    <w:rsid w:val="00160C10"/>
    <w:rsid w:val="00160CC5"/>
    <w:rsid w:val="00160EBF"/>
    <w:rsid w:val="00161592"/>
    <w:rsid w:val="0016180F"/>
    <w:rsid w:val="001619F6"/>
    <w:rsid w:val="00161A84"/>
    <w:rsid w:val="00161F58"/>
    <w:rsid w:val="00161FA5"/>
    <w:rsid w:val="00162262"/>
    <w:rsid w:val="00162445"/>
    <w:rsid w:val="001624FF"/>
    <w:rsid w:val="00162A65"/>
    <w:rsid w:val="00162C1F"/>
    <w:rsid w:val="00163105"/>
    <w:rsid w:val="0016313D"/>
    <w:rsid w:val="001636B0"/>
    <w:rsid w:val="00163AA5"/>
    <w:rsid w:val="00163AAC"/>
    <w:rsid w:val="00163B59"/>
    <w:rsid w:val="00163C23"/>
    <w:rsid w:val="00163D79"/>
    <w:rsid w:val="00164436"/>
    <w:rsid w:val="00164638"/>
    <w:rsid w:val="00164E88"/>
    <w:rsid w:val="00165074"/>
    <w:rsid w:val="00165357"/>
    <w:rsid w:val="001653FB"/>
    <w:rsid w:val="0016547D"/>
    <w:rsid w:val="00165500"/>
    <w:rsid w:val="00165608"/>
    <w:rsid w:val="001658B6"/>
    <w:rsid w:val="00165B25"/>
    <w:rsid w:val="00165C2D"/>
    <w:rsid w:val="00166008"/>
    <w:rsid w:val="0016631C"/>
    <w:rsid w:val="00166364"/>
    <w:rsid w:val="0016658D"/>
    <w:rsid w:val="00166689"/>
    <w:rsid w:val="001667A6"/>
    <w:rsid w:val="00166AA1"/>
    <w:rsid w:val="00166ACD"/>
    <w:rsid w:val="00166B83"/>
    <w:rsid w:val="00166B99"/>
    <w:rsid w:val="00167107"/>
    <w:rsid w:val="00167BA0"/>
    <w:rsid w:val="00167C1E"/>
    <w:rsid w:val="00167D64"/>
    <w:rsid w:val="00167EAA"/>
    <w:rsid w:val="00167FB7"/>
    <w:rsid w:val="00170076"/>
    <w:rsid w:val="001701FB"/>
    <w:rsid w:val="0017085E"/>
    <w:rsid w:val="00170A8E"/>
    <w:rsid w:val="00170F93"/>
    <w:rsid w:val="00171D2B"/>
    <w:rsid w:val="00171DB3"/>
    <w:rsid w:val="00172670"/>
    <w:rsid w:val="00172BE8"/>
    <w:rsid w:val="00172C87"/>
    <w:rsid w:val="00172D79"/>
    <w:rsid w:val="00172E53"/>
    <w:rsid w:val="001737D0"/>
    <w:rsid w:val="001738F0"/>
    <w:rsid w:val="00173DD9"/>
    <w:rsid w:val="00173DE6"/>
    <w:rsid w:val="00174089"/>
    <w:rsid w:val="001743BC"/>
    <w:rsid w:val="00174970"/>
    <w:rsid w:val="001749AA"/>
    <w:rsid w:val="001749EA"/>
    <w:rsid w:val="00174B3B"/>
    <w:rsid w:val="00174DDE"/>
    <w:rsid w:val="00175197"/>
    <w:rsid w:val="001756C5"/>
    <w:rsid w:val="0017592B"/>
    <w:rsid w:val="00175BC8"/>
    <w:rsid w:val="00175C8C"/>
    <w:rsid w:val="00175E59"/>
    <w:rsid w:val="00176055"/>
    <w:rsid w:val="0017609D"/>
    <w:rsid w:val="00176192"/>
    <w:rsid w:val="00176740"/>
    <w:rsid w:val="00176CB9"/>
    <w:rsid w:val="001770D6"/>
    <w:rsid w:val="00177168"/>
    <w:rsid w:val="001772F2"/>
    <w:rsid w:val="00177977"/>
    <w:rsid w:val="0017798B"/>
    <w:rsid w:val="00177DA7"/>
    <w:rsid w:val="00177FB7"/>
    <w:rsid w:val="0018022B"/>
    <w:rsid w:val="0018032F"/>
    <w:rsid w:val="00180454"/>
    <w:rsid w:val="00180572"/>
    <w:rsid w:val="0018079C"/>
    <w:rsid w:val="001807A2"/>
    <w:rsid w:val="00180B4D"/>
    <w:rsid w:val="00180B74"/>
    <w:rsid w:val="00180C5A"/>
    <w:rsid w:val="00180EEA"/>
    <w:rsid w:val="00181370"/>
    <w:rsid w:val="00181492"/>
    <w:rsid w:val="00181780"/>
    <w:rsid w:val="00181872"/>
    <w:rsid w:val="00181D84"/>
    <w:rsid w:val="001822E3"/>
    <w:rsid w:val="00182387"/>
    <w:rsid w:val="0018246E"/>
    <w:rsid w:val="00182614"/>
    <w:rsid w:val="00182742"/>
    <w:rsid w:val="001827D0"/>
    <w:rsid w:val="00182FD8"/>
    <w:rsid w:val="001830BD"/>
    <w:rsid w:val="0018318C"/>
    <w:rsid w:val="001832F8"/>
    <w:rsid w:val="0018361F"/>
    <w:rsid w:val="0018382B"/>
    <w:rsid w:val="00184078"/>
    <w:rsid w:val="00184312"/>
    <w:rsid w:val="00184706"/>
    <w:rsid w:val="00184795"/>
    <w:rsid w:val="00184957"/>
    <w:rsid w:val="00184967"/>
    <w:rsid w:val="00184A27"/>
    <w:rsid w:val="00184BD4"/>
    <w:rsid w:val="00184C37"/>
    <w:rsid w:val="00184E17"/>
    <w:rsid w:val="001854B2"/>
    <w:rsid w:val="0018571B"/>
    <w:rsid w:val="001859FE"/>
    <w:rsid w:val="00185A7D"/>
    <w:rsid w:val="00185AAF"/>
    <w:rsid w:val="00185D82"/>
    <w:rsid w:val="00185F71"/>
    <w:rsid w:val="001861D1"/>
    <w:rsid w:val="0018646E"/>
    <w:rsid w:val="00186656"/>
    <w:rsid w:val="001869AF"/>
    <w:rsid w:val="00186BA7"/>
    <w:rsid w:val="00186D42"/>
    <w:rsid w:val="00186EF5"/>
    <w:rsid w:val="00186F37"/>
    <w:rsid w:val="00187028"/>
    <w:rsid w:val="0018702D"/>
    <w:rsid w:val="00187168"/>
    <w:rsid w:val="00187CE5"/>
    <w:rsid w:val="00190482"/>
    <w:rsid w:val="00190D1B"/>
    <w:rsid w:val="00190E1F"/>
    <w:rsid w:val="001917D6"/>
    <w:rsid w:val="001919A4"/>
    <w:rsid w:val="00191B10"/>
    <w:rsid w:val="00191D40"/>
    <w:rsid w:val="00191E62"/>
    <w:rsid w:val="00192030"/>
    <w:rsid w:val="0019213C"/>
    <w:rsid w:val="001923C3"/>
    <w:rsid w:val="00192467"/>
    <w:rsid w:val="00192501"/>
    <w:rsid w:val="00192B82"/>
    <w:rsid w:val="00192CAA"/>
    <w:rsid w:val="001930EE"/>
    <w:rsid w:val="001931CB"/>
    <w:rsid w:val="00193229"/>
    <w:rsid w:val="00193241"/>
    <w:rsid w:val="00193491"/>
    <w:rsid w:val="001935A5"/>
    <w:rsid w:val="00193732"/>
    <w:rsid w:val="001937B2"/>
    <w:rsid w:val="00193C17"/>
    <w:rsid w:val="00193D61"/>
    <w:rsid w:val="00193DE9"/>
    <w:rsid w:val="00193F11"/>
    <w:rsid w:val="0019401F"/>
    <w:rsid w:val="00194037"/>
    <w:rsid w:val="00194314"/>
    <w:rsid w:val="00194404"/>
    <w:rsid w:val="001948C1"/>
    <w:rsid w:val="0019509D"/>
    <w:rsid w:val="00195314"/>
    <w:rsid w:val="00195695"/>
    <w:rsid w:val="00195719"/>
    <w:rsid w:val="00195B2D"/>
    <w:rsid w:val="00195EBA"/>
    <w:rsid w:val="00196159"/>
    <w:rsid w:val="00196200"/>
    <w:rsid w:val="00196AE4"/>
    <w:rsid w:val="00196D10"/>
    <w:rsid w:val="00196EB3"/>
    <w:rsid w:val="0019729A"/>
    <w:rsid w:val="001974DC"/>
    <w:rsid w:val="0019752B"/>
    <w:rsid w:val="00197905"/>
    <w:rsid w:val="001A0138"/>
    <w:rsid w:val="001A0248"/>
    <w:rsid w:val="001A0582"/>
    <w:rsid w:val="001A05F6"/>
    <w:rsid w:val="001A06B2"/>
    <w:rsid w:val="001A0F61"/>
    <w:rsid w:val="001A0FF6"/>
    <w:rsid w:val="001A1378"/>
    <w:rsid w:val="001A1F9C"/>
    <w:rsid w:val="001A2313"/>
    <w:rsid w:val="001A28D5"/>
    <w:rsid w:val="001A2CE3"/>
    <w:rsid w:val="001A2E69"/>
    <w:rsid w:val="001A30B4"/>
    <w:rsid w:val="001A3331"/>
    <w:rsid w:val="001A3489"/>
    <w:rsid w:val="001A394D"/>
    <w:rsid w:val="001A3CE4"/>
    <w:rsid w:val="001A400E"/>
    <w:rsid w:val="001A409E"/>
    <w:rsid w:val="001A410E"/>
    <w:rsid w:val="001A42E8"/>
    <w:rsid w:val="001A444F"/>
    <w:rsid w:val="001A488D"/>
    <w:rsid w:val="001A4A88"/>
    <w:rsid w:val="001A5387"/>
    <w:rsid w:val="001A550D"/>
    <w:rsid w:val="001A59A2"/>
    <w:rsid w:val="001A5DE5"/>
    <w:rsid w:val="001A5E14"/>
    <w:rsid w:val="001A5F6F"/>
    <w:rsid w:val="001A62A4"/>
    <w:rsid w:val="001A662B"/>
    <w:rsid w:val="001A6730"/>
    <w:rsid w:val="001A67CC"/>
    <w:rsid w:val="001A6A3B"/>
    <w:rsid w:val="001A6ECB"/>
    <w:rsid w:val="001A7113"/>
    <w:rsid w:val="001A7698"/>
    <w:rsid w:val="001A7BF7"/>
    <w:rsid w:val="001A7C11"/>
    <w:rsid w:val="001A7D99"/>
    <w:rsid w:val="001A7E1A"/>
    <w:rsid w:val="001B0159"/>
    <w:rsid w:val="001B0338"/>
    <w:rsid w:val="001B03E4"/>
    <w:rsid w:val="001B0746"/>
    <w:rsid w:val="001B0824"/>
    <w:rsid w:val="001B0845"/>
    <w:rsid w:val="001B0E69"/>
    <w:rsid w:val="001B12F1"/>
    <w:rsid w:val="001B13F6"/>
    <w:rsid w:val="001B191D"/>
    <w:rsid w:val="001B1A89"/>
    <w:rsid w:val="001B1D03"/>
    <w:rsid w:val="001B1D44"/>
    <w:rsid w:val="001B1E83"/>
    <w:rsid w:val="001B207F"/>
    <w:rsid w:val="001B21DD"/>
    <w:rsid w:val="001B2224"/>
    <w:rsid w:val="001B2270"/>
    <w:rsid w:val="001B24C1"/>
    <w:rsid w:val="001B2B72"/>
    <w:rsid w:val="001B328F"/>
    <w:rsid w:val="001B3299"/>
    <w:rsid w:val="001B3465"/>
    <w:rsid w:val="001B37AA"/>
    <w:rsid w:val="001B3808"/>
    <w:rsid w:val="001B3BBC"/>
    <w:rsid w:val="001B4034"/>
    <w:rsid w:val="001B4069"/>
    <w:rsid w:val="001B4245"/>
    <w:rsid w:val="001B44F0"/>
    <w:rsid w:val="001B46F2"/>
    <w:rsid w:val="001B4917"/>
    <w:rsid w:val="001B4D8D"/>
    <w:rsid w:val="001B4E37"/>
    <w:rsid w:val="001B4F42"/>
    <w:rsid w:val="001B5049"/>
    <w:rsid w:val="001B5265"/>
    <w:rsid w:val="001B545A"/>
    <w:rsid w:val="001B5833"/>
    <w:rsid w:val="001B5BE9"/>
    <w:rsid w:val="001B60B2"/>
    <w:rsid w:val="001B636C"/>
    <w:rsid w:val="001B6679"/>
    <w:rsid w:val="001B6871"/>
    <w:rsid w:val="001B6B86"/>
    <w:rsid w:val="001B6EEA"/>
    <w:rsid w:val="001B70B6"/>
    <w:rsid w:val="001B7106"/>
    <w:rsid w:val="001B7582"/>
    <w:rsid w:val="001B758C"/>
    <w:rsid w:val="001B797D"/>
    <w:rsid w:val="001B7988"/>
    <w:rsid w:val="001B7A05"/>
    <w:rsid w:val="001B7B60"/>
    <w:rsid w:val="001B7DB6"/>
    <w:rsid w:val="001B7EC1"/>
    <w:rsid w:val="001C01BE"/>
    <w:rsid w:val="001C0480"/>
    <w:rsid w:val="001C053C"/>
    <w:rsid w:val="001C0689"/>
    <w:rsid w:val="001C0A65"/>
    <w:rsid w:val="001C0AEB"/>
    <w:rsid w:val="001C0B58"/>
    <w:rsid w:val="001C0D0F"/>
    <w:rsid w:val="001C0D1C"/>
    <w:rsid w:val="001C11B2"/>
    <w:rsid w:val="001C1553"/>
    <w:rsid w:val="001C15CC"/>
    <w:rsid w:val="001C1639"/>
    <w:rsid w:val="001C17A3"/>
    <w:rsid w:val="001C18F3"/>
    <w:rsid w:val="001C1950"/>
    <w:rsid w:val="001C1963"/>
    <w:rsid w:val="001C1B77"/>
    <w:rsid w:val="001C2536"/>
    <w:rsid w:val="001C2680"/>
    <w:rsid w:val="001C2D24"/>
    <w:rsid w:val="001C30A0"/>
    <w:rsid w:val="001C319D"/>
    <w:rsid w:val="001C35C0"/>
    <w:rsid w:val="001C3D51"/>
    <w:rsid w:val="001C3EC2"/>
    <w:rsid w:val="001C3F40"/>
    <w:rsid w:val="001C4199"/>
    <w:rsid w:val="001C42E2"/>
    <w:rsid w:val="001C4528"/>
    <w:rsid w:val="001C4767"/>
    <w:rsid w:val="001C480D"/>
    <w:rsid w:val="001C4E12"/>
    <w:rsid w:val="001C4EEF"/>
    <w:rsid w:val="001C5080"/>
    <w:rsid w:val="001C53D5"/>
    <w:rsid w:val="001C5440"/>
    <w:rsid w:val="001C5662"/>
    <w:rsid w:val="001C568B"/>
    <w:rsid w:val="001C56AE"/>
    <w:rsid w:val="001C5940"/>
    <w:rsid w:val="001C59F2"/>
    <w:rsid w:val="001C5A44"/>
    <w:rsid w:val="001C5B45"/>
    <w:rsid w:val="001C5C57"/>
    <w:rsid w:val="001C5C80"/>
    <w:rsid w:val="001C5D82"/>
    <w:rsid w:val="001C5D96"/>
    <w:rsid w:val="001C5F2D"/>
    <w:rsid w:val="001C5FEE"/>
    <w:rsid w:val="001C6099"/>
    <w:rsid w:val="001C62A1"/>
    <w:rsid w:val="001C6305"/>
    <w:rsid w:val="001C6306"/>
    <w:rsid w:val="001C6357"/>
    <w:rsid w:val="001C65E0"/>
    <w:rsid w:val="001C6A35"/>
    <w:rsid w:val="001C6B13"/>
    <w:rsid w:val="001C6B7E"/>
    <w:rsid w:val="001C6D56"/>
    <w:rsid w:val="001C6EB8"/>
    <w:rsid w:val="001C6F75"/>
    <w:rsid w:val="001C7204"/>
    <w:rsid w:val="001C7239"/>
    <w:rsid w:val="001C724E"/>
    <w:rsid w:val="001C737A"/>
    <w:rsid w:val="001C7722"/>
    <w:rsid w:val="001C780E"/>
    <w:rsid w:val="001C7AAE"/>
    <w:rsid w:val="001C7B3B"/>
    <w:rsid w:val="001C7C26"/>
    <w:rsid w:val="001C7C3C"/>
    <w:rsid w:val="001C7F1B"/>
    <w:rsid w:val="001D0120"/>
    <w:rsid w:val="001D01A5"/>
    <w:rsid w:val="001D0399"/>
    <w:rsid w:val="001D07EF"/>
    <w:rsid w:val="001D0C89"/>
    <w:rsid w:val="001D0DEF"/>
    <w:rsid w:val="001D0EF7"/>
    <w:rsid w:val="001D1628"/>
    <w:rsid w:val="001D177A"/>
    <w:rsid w:val="001D17A0"/>
    <w:rsid w:val="001D2176"/>
    <w:rsid w:val="001D2307"/>
    <w:rsid w:val="001D251E"/>
    <w:rsid w:val="001D29EF"/>
    <w:rsid w:val="001D3103"/>
    <w:rsid w:val="001D3158"/>
    <w:rsid w:val="001D376D"/>
    <w:rsid w:val="001D38F8"/>
    <w:rsid w:val="001D3ACF"/>
    <w:rsid w:val="001D3E0B"/>
    <w:rsid w:val="001D4103"/>
    <w:rsid w:val="001D4152"/>
    <w:rsid w:val="001D4453"/>
    <w:rsid w:val="001D4722"/>
    <w:rsid w:val="001D473D"/>
    <w:rsid w:val="001D49B0"/>
    <w:rsid w:val="001D4AA5"/>
    <w:rsid w:val="001D4DA8"/>
    <w:rsid w:val="001D4E20"/>
    <w:rsid w:val="001D5347"/>
    <w:rsid w:val="001D57C6"/>
    <w:rsid w:val="001D58F1"/>
    <w:rsid w:val="001D5952"/>
    <w:rsid w:val="001D59E9"/>
    <w:rsid w:val="001D5AC2"/>
    <w:rsid w:val="001D6007"/>
    <w:rsid w:val="001D614F"/>
    <w:rsid w:val="001D6217"/>
    <w:rsid w:val="001D63EA"/>
    <w:rsid w:val="001D7518"/>
    <w:rsid w:val="001D75A4"/>
    <w:rsid w:val="001D784A"/>
    <w:rsid w:val="001D7A57"/>
    <w:rsid w:val="001D7C74"/>
    <w:rsid w:val="001E00F0"/>
    <w:rsid w:val="001E03DD"/>
    <w:rsid w:val="001E0442"/>
    <w:rsid w:val="001E070B"/>
    <w:rsid w:val="001E08F7"/>
    <w:rsid w:val="001E0B19"/>
    <w:rsid w:val="001E0B57"/>
    <w:rsid w:val="001E0B5E"/>
    <w:rsid w:val="001E0BA8"/>
    <w:rsid w:val="001E0C6B"/>
    <w:rsid w:val="001E0DA6"/>
    <w:rsid w:val="001E111D"/>
    <w:rsid w:val="001E137A"/>
    <w:rsid w:val="001E1708"/>
    <w:rsid w:val="001E1744"/>
    <w:rsid w:val="001E1A22"/>
    <w:rsid w:val="001E1E2D"/>
    <w:rsid w:val="001E1FC0"/>
    <w:rsid w:val="001E24D7"/>
    <w:rsid w:val="001E2D7A"/>
    <w:rsid w:val="001E2EE9"/>
    <w:rsid w:val="001E2EFE"/>
    <w:rsid w:val="001E3112"/>
    <w:rsid w:val="001E3276"/>
    <w:rsid w:val="001E3382"/>
    <w:rsid w:val="001E354E"/>
    <w:rsid w:val="001E3B14"/>
    <w:rsid w:val="001E3B4F"/>
    <w:rsid w:val="001E41F4"/>
    <w:rsid w:val="001E45A8"/>
    <w:rsid w:val="001E472E"/>
    <w:rsid w:val="001E47F5"/>
    <w:rsid w:val="001E48D6"/>
    <w:rsid w:val="001E498E"/>
    <w:rsid w:val="001E562A"/>
    <w:rsid w:val="001E5F78"/>
    <w:rsid w:val="001E665D"/>
    <w:rsid w:val="001E66C7"/>
    <w:rsid w:val="001E68CF"/>
    <w:rsid w:val="001E6A5B"/>
    <w:rsid w:val="001E6AEB"/>
    <w:rsid w:val="001E6CE0"/>
    <w:rsid w:val="001E6EC1"/>
    <w:rsid w:val="001E735A"/>
    <w:rsid w:val="001E754A"/>
    <w:rsid w:val="001E7614"/>
    <w:rsid w:val="001E78F0"/>
    <w:rsid w:val="001E7949"/>
    <w:rsid w:val="001E7DFE"/>
    <w:rsid w:val="001F02A5"/>
    <w:rsid w:val="001F055F"/>
    <w:rsid w:val="001F08A9"/>
    <w:rsid w:val="001F0B45"/>
    <w:rsid w:val="001F0BCC"/>
    <w:rsid w:val="001F0E72"/>
    <w:rsid w:val="001F0FAD"/>
    <w:rsid w:val="001F128F"/>
    <w:rsid w:val="001F13F0"/>
    <w:rsid w:val="001F1563"/>
    <w:rsid w:val="001F16C3"/>
    <w:rsid w:val="001F16F1"/>
    <w:rsid w:val="001F17C2"/>
    <w:rsid w:val="001F1989"/>
    <w:rsid w:val="001F1A2A"/>
    <w:rsid w:val="001F1BD0"/>
    <w:rsid w:val="001F1F60"/>
    <w:rsid w:val="001F24CB"/>
    <w:rsid w:val="001F24D1"/>
    <w:rsid w:val="001F2B39"/>
    <w:rsid w:val="001F2E38"/>
    <w:rsid w:val="001F2FBB"/>
    <w:rsid w:val="001F2FDC"/>
    <w:rsid w:val="001F30C0"/>
    <w:rsid w:val="001F31CA"/>
    <w:rsid w:val="001F34E7"/>
    <w:rsid w:val="001F3515"/>
    <w:rsid w:val="001F355D"/>
    <w:rsid w:val="001F356E"/>
    <w:rsid w:val="001F3795"/>
    <w:rsid w:val="001F381C"/>
    <w:rsid w:val="001F3CA2"/>
    <w:rsid w:val="001F3D10"/>
    <w:rsid w:val="001F3D45"/>
    <w:rsid w:val="001F40DB"/>
    <w:rsid w:val="001F41F6"/>
    <w:rsid w:val="001F4328"/>
    <w:rsid w:val="001F456D"/>
    <w:rsid w:val="001F4716"/>
    <w:rsid w:val="001F49DC"/>
    <w:rsid w:val="001F4ECA"/>
    <w:rsid w:val="001F4FD2"/>
    <w:rsid w:val="001F51D3"/>
    <w:rsid w:val="001F5215"/>
    <w:rsid w:val="001F5563"/>
    <w:rsid w:val="001F5687"/>
    <w:rsid w:val="001F56AE"/>
    <w:rsid w:val="001F5875"/>
    <w:rsid w:val="001F58A6"/>
    <w:rsid w:val="001F59D0"/>
    <w:rsid w:val="001F5D78"/>
    <w:rsid w:val="001F5DDB"/>
    <w:rsid w:val="001F628D"/>
    <w:rsid w:val="001F677F"/>
    <w:rsid w:val="001F6946"/>
    <w:rsid w:val="001F6AF0"/>
    <w:rsid w:val="001F6FFE"/>
    <w:rsid w:val="001F74E5"/>
    <w:rsid w:val="001F7602"/>
    <w:rsid w:val="001F7E44"/>
    <w:rsid w:val="001F7ED4"/>
    <w:rsid w:val="00200173"/>
    <w:rsid w:val="002004C4"/>
    <w:rsid w:val="002006E7"/>
    <w:rsid w:val="00200938"/>
    <w:rsid w:val="00200C74"/>
    <w:rsid w:val="00200C8F"/>
    <w:rsid w:val="00200EB4"/>
    <w:rsid w:val="00200F30"/>
    <w:rsid w:val="002015C7"/>
    <w:rsid w:val="00201906"/>
    <w:rsid w:val="00201970"/>
    <w:rsid w:val="00202318"/>
    <w:rsid w:val="00202444"/>
    <w:rsid w:val="00202AD6"/>
    <w:rsid w:val="0020301B"/>
    <w:rsid w:val="00203029"/>
    <w:rsid w:val="002031D8"/>
    <w:rsid w:val="0020331C"/>
    <w:rsid w:val="002033D4"/>
    <w:rsid w:val="002037AB"/>
    <w:rsid w:val="0020397E"/>
    <w:rsid w:val="00203A32"/>
    <w:rsid w:val="00203AD5"/>
    <w:rsid w:val="00203D53"/>
    <w:rsid w:val="00203ECA"/>
    <w:rsid w:val="0020419C"/>
    <w:rsid w:val="0020419F"/>
    <w:rsid w:val="00204486"/>
    <w:rsid w:val="002044A5"/>
    <w:rsid w:val="002045C7"/>
    <w:rsid w:val="002047B2"/>
    <w:rsid w:val="00204805"/>
    <w:rsid w:val="002048CD"/>
    <w:rsid w:val="00204924"/>
    <w:rsid w:val="002049A8"/>
    <w:rsid w:val="00204C3C"/>
    <w:rsid w:val="00204CDB"/>
    <w:rsid w:val="00204E3D"/>
    <w:rsid w:val="00204F62"/>
    <w:rsid w:val="00204F71"/>
    <w:rsid w:val="0020505E"/>
    <w:rsid w:val="002055ED"/>
    <w:rsid w:val="002056CF"/>
    <w:rsid w:val="002056F9"/>
    <w:rsid w:val="002057A0"/>
    <w:rsid w:val="00205835"/>
    <w:rsid w:val="00205B9B"/>
    <w:rsid w:val="00205E01"/>
    <w:rsid w:val="002065C0"/>
    <w:rsid w:val="0020682A"/>
    <w:rsid w:val="00206878"/>
    <w:rsid w:val="002068F0"/>
    <w:rsid w:val="00206E80"/>
    <w:rsid w:val="00206E85"/>
    <w:rsid w:val="00206EA6"/>
    <w:rsid w:val="00207077"/>
    <w:rsid w:val="00207336"/>
    <w:rsid w:val="00207582"/>
    <w:rsid w:val="002075DA"/>
    <w:rsid w:val="0020768E"/>
    <w:rsid w:val="00207E9A"/>
    <w:rsid w:val="00210122"/>
    <w:rsid w:val="002106AA"/>
    <w:rsid w:val="00210AB3"/>
    <w:rsid w:val="00210B3A"/>
    <w:rsid w:val="00210B48"/>
    <w:rsid w:val="00210B81"/>
    <w:rsid w:val="00210D14"/>
    <w:rsid w:val="00210E19"/>
    <w:rsid w:val="00210FC5"/>
    <w:rsid w:val="00211865"/>
    <w:rsid w:val="00211903"/>
    <w:rsid w:val="00211971"/>
    <w:rsid w:val="002119A0"/>
    <w:rsid w:val="00211B30"/>
    <w:rsid w:val="0021219E"/>
    <w:rsid w:val="002122CA"/>
    <w:rsid w:val="002127B0"/>
    <w:rsid w:val="002127CF"/>
    <w:rsid w:val="00212856"/>
    <w:rsid w:val="002128AF"/>
    <w:rsid w:val="00212C79"/>
    <w:rsid w:val="002130BC"/>
    <w:rsid w:val="002132B4"/>
    <w:rsid w:val="00213349"/>
    <w:rsid w:val="002138C9"/>
    <w:rsid w:val="00213A46"/>
    <w:rsid w:val="00213BEB"/>
    <w:rsid w:val="00213CE1"/>
    <w:rsid w:val="00213F3A"/>
    <w:rsid w:val="00213F9E"/>
    <w:rsid w:val="00213FCF"/>
    <w:rsid w:val="00214C14"/>
    <w:rsid w:val="00214CBD"/>
    <w:rsid w:val="00214FA4"/>
    <w:rsid w:val="00214FB9"/>
    <w:rsid w:val="002151C1"/>
    <w:rsid w:val="0021527F"/>
    <w:rsid w:val="00215F9F"/>
    <w:rsid w:val="00215FDA"/>
    <w:rsid w:val="00216081"/>
    <w:rsid w:val="002160AE"/>
    <w:rsid w:val="0021634D"/>
    <w:rsid w:val="00216407"/>
    <w:rsid w:val="002167C1"/>
    <w:rsid w:val="0021688B"/>
    <w:rsid w:val="00216AAA"/>
    <w:rsid w:val="00216C10"/>
    <w:rsid w:val="00216C5C"/>
    <w:rsid w:val="00216D0C"/>
    <w:rsid w:val="00216EFB"/>
    <w:rsid w:val="00217285"/>
    <w:rsid w:val="00217482"/>
    <w:rsid w:val="00217539"/>
    <w:rsid w:val="00217586"/>
    <w:rsid w:val="00217973"/>
    <w:rsid w:val="00217D91"/>
    <w:rsid w:val="00220033"/>
    <w:rsid w:val="0022013E"/>
    <w:rsid w:val="002201BB"/>
    <w:rsid w:val="00220279"/>
    <w:rsid w:val="002202FB"/>
    <w:rsid w:val="00220B66"/>
    <w:rsid w:val="00220E7E"/>
    <w:rsid w:val="00220F6B"/>
    <w:rsid w:val="00220FA1"/>
    <w:rsid w:val="00221010"/>
    <w:rsid w:val="002210FE"/>
    <w:rsid w:val="002211FA"/>
    <w:rsid w:val="00221231"/>
    <w:rsid w:val="002213CF"/>
    <w:rsid w:val="00221538"/>
    <w:rsid w:val="0022181C"/>
    <w:rsid w:val="0022201A"/>
    <w:rsid w:val="002224C6"/>
    <w:rsid w:val="00222601"/>
    <w:rsid w:val="00222795"/>
    <w:rsid w:val="00222A60"/>
    <w:rsid w:val="00222B34"/>
    <w:rsid w:val="00222D0D"/>
    <w:rsid w:val="0022334C"/>
    <w:rsid w:val="00223354"/>
    <w:rsid w:val="00223B91"/>
    <w:rsid w:val="00223BD6"/>
    <w:rsid w:val="00224538"/>
    <w:rsid w:val="002245DC"/>
    <w:rsid w:val="00224642"/>
    <w:rsid w:val="002246B1"/>
    <w:rsid w:val="00224848"/>
    <w:rsid w:val="00224ADD"/>
    <w:rsid w:val="00224FCE"/>
    <w:rsid w:val="0022505E"/>
    <w:rsid w:val="002250AE"/>
    <w:rsid w:val="002254A2"/>
    <w:rsid w:val="002255C5"/>
    <w:rsid w:val="00225DF3"/>
    <w:rsid w:val="0022608C"/>
    <w:rsid w:val="002260A8"/>
    <w:rsid w:val="002260BA"/>
    <w:rsid w:val="002260CD"/>
    <w:rsid w:val="00226240"/>
    <w:rsid w:val="00226350"/>
    <w:rsid w:val="002267FD"/>
    <w:rsid w:val="00226842"/>
    <w:rsid w:val="0022691E"/>
    <w:rsid w:val="00226996"/>
    <w:rsid w:val="00226C6A"/>
    <w:rsid w:val="00226FC5"/>
    <w:rsid w:val="00227022"/>
    <w:rsid w:val="002270C1"/>
    <w:rsid w:val="002270D2"/>
    <w:rsid w:val="002272B0"/>
    <w:rsid w:val="0022733A"/>
    <w:rsid w:val="002273DB"/>
    <w:rsid w:val="0022788E"/>
    <w:rsid w:val="0022791E"/>
    <w:rsid w:val="00227D37"/>
    <w:rsid w:val="002306DE"/>
    <w:rsid w:val="002307E0"/>
    <w:rsid w:val="002307F7"/>
    <w:rsid w:val="0023085C"/>
    <w:rsid w:val="00230C35"/>
    <w:rsid w:val="002312DA"/>
    <w:rsid w:val="00231D35"/>
    <w:rsid w:val="00231F22"/>
    <w:rsid w:val="002321E7"/>
    <w:rsid w:val="002323BE"/>
    <w:rsid w:val="0023252D"/>
    <w:rsid w:val="00232AB6"/>
    <w:rsid w:val="00232F6D"/>
    <w:rsid w:val="002330D6"/>
    <w:rsid w:val="00233761"/>
    <w:rsid w:val="00233CCC"/>
    <w:rsid w:val="00233D6D"/>
    <w:rsid w:val="00234445"/>
    <w:rsid w:val="0023446E"/>
    <w:rsid w:val="0023454F"/>
    <w:rsid w:val="0023486B"/>
    <w:rsid w:val="002349A8"/>
    <w:rsid w:val="00234CC3"/>
    <w:rsid w:val="00234CFE"/>
    <w:rsid w:val="00234E27"/>
    <w:rsid w:val="00234F23"/>
    <w:rsid w:val="0023508A"/>
    <w:rsid w:val="002350B0"/>
    <w:rsid w:val="0023559F"/>
    <w:rsid w:val="00235BCB"/>
    <w:rsid w:val="00235EBE"/>
    <w:rsid w:val="00235F6B"/>
    <w:rsid w:val="002360F9"/>
    <w:rsid w:val="00236103"/>
    <w:rsid w:val="002369E4"/>
    <w:rsid w:val="00236CFF"/>
    <w:rsid w:val="0023721F"/>
    <w:rsid w:val="0023752A"/>
    <w:rsid w:val="002375B8"/>
    <w:rsid w:val="0023760B"/>
    <w:rsid w:val="00237856"/>
    <w:rsid w:val="00237C9E"/>
    <w:rsid w:val="00237EE9"/>
    <w:rsid w:val="00240379"/>
    <w:rsid w:val="002404FB"/>
    <w:rsid w:val="0024063E"/>
    <w:rsid w:val="00240667"/>
    <w:rsid w:val="00240782"/>
    <w:rsid w:val="002410E6"/>
    <w:rsid w:val="00241237"/>
    <w:rsid w:val="0024128C"/>
    <w:rsid w:val="002415E9"/>
    <w:rsid w:val="00241CC9"/>
    <w:rsid w:val="00241CF8"/>
    <w:rsid w:val="00241D91"/>
    <w:rsid w:val="00241E04"/>
    <w:rsid w:val="00242394"/>
    <w:rsid w:val="002423D6"/>
    <w:rsid w:val="002423FF"/>
    <w:rsid w:val="002430F0"/>
    <w:rsid w:val="0024340D"/>
    <w:rsid w:val="00243675"/>
    <w:rsid w:val="002436CE"/>
    <w:rsid w:val="00244046"/>
    <w:rsid w:val="002445BD"/>
    <w:rsid w:val="002449FB"/>
    <w:rsid w:val="00244C85"/>
    <w:rsid w:val="00244D0C"/>
    <w:rsid w:val="00244D6E"/>
    <w:rsid w:val="00245191"/>
    <w:rsid w:val="002451BD"/>
    <w:rsid w:val="0024533E"/>
    <w:rsid w:val="002454CA"/>
    <w:rsid w:val="0024558A"/>
    <w:rsid w:val="002455FD"/>
    <w:rsid w:val="00245609"/>
    <w:rsid w:val="002458D3"/>
    <w:rsid w:val="00245D31"/>
    <w:rsid w:val="00246185"/>
    <w:rsid w:val="00246200"/>
    <w:rsid w:val="002463EB"/>
    <w:rsid w:val="002467A8"/>
    <w:rsid w:val="0024681E"/>
    <w:rsid w:val="00246877"/>
    <w:rsid w:val="002468C6"/>
    <w:rsid w:val="002468EC"/>
    <w:rsid w:val="00246F0D"/>
    <w:rsid w:val="002471C3"/>
    <w:rsid w:val="002477E7"/>
    <w:rsid w:val="00247886"/>
    <w:rsid w:val="00247E1F"/>
    <w:rsid w:val="002506AA"/>
    <w:rsid w:val="0025095C"/>
    <w:rsid w:val="00250A76"/>
    <w:rsid w:val="00250AD5"/>
    <w:rsid w:val="0025130A"/>
    <w:rsid w:val="00251614"/>
    <w:rsid w:val="00251657"/>
    <w:rsid w:val="00251778"/>
    <w:rsid w:val="00251DF1"/>
    <w:rsid w:val="00251F0E"/>
    <w:rsid w:val="002528D8"/>
    <w:rsid w:val="00252976"/>
    <w:rsid w:val="002529DD"/>
    <w:rsid w:val="00253364"/>
    <w:rsid w:val="00253380"/>
    <w:rsid w:val="00253572"/>
    <w:rsid w:val="002537DF"/>
    <w:rsid w:val="00253946"/>
    <w:rsid w:val="00253CFC"/>
    <w:rsid w:val="00253D7E"/>
    <w:rsid w:val="00253E58"/>
    <w:rsid w:val="00253EF9"/>
    <w:rsid w:val="00253F28"/>
    <w:rsid w:val="0025403E"/>
    <w:rsid w:val="0025404A"/>
    <w:rsid w:val="002542B4"/>
    <w:rsid w:val="002547AC"/>
    <w:rsid w:val="002548D7"/>
    <w:rsid w:val="00254977"/>
    <w:rsid w:val="002553C1"/>
    <w:rsid w:val="002557E7"/>
    <w:rsid w:val="00255C37"/>
    <w:rsid w:val="00255D0E"/>
    <w:rsid w:val="00255F6C"/>
    <w:rsid w:val="002560F1"/>
    <w:rsid w:val="0025624F"/>
    <w:rsid w:val="002564EA"/>
    <w:rsid w:val="00256939"/>
    <w:rsid w:val="00256969"/>
    <w:rsid w:val="00256ABA"/>
    <w:rsid w:val="00256ACB"/>
    <w:rsid w:val="0025717D"/>
    <w:rsid w:val="0025758E"/>
    <w:rsid w:val="002578BA"/>
    <w:rsid w:val="00257BA9"/>
    <w:rsid w:val="00257BAD"/>
    <w:rsid w:val="00257FFD"/>
    <w:rsid w:val="0026032D"/>
    <w:rsid w:val="00260691"/>
    <w:rsid w:val="00260C1A"/>
    <w:rsid w:val="00260D24"/>
    <w:rsid w:val="00261139"/>
    <w:rsid w:val="002612A6"/>
    <w:rsid w:val="002613E9"/>
    <w:rsid w:val="0026142F"/>
    <w:rsid w:val="00261466"/>
    <w:rsid w:val="0026172F"/>
    <w:rsid w:val="00261821"/>
    <w:rsid w:val="00261AA7"/>
    <w:rsid w:val="00261B35"/>
    <w:rsid w:val="00262511"/>
    <w:rsid w:val="002626EC"/>
    <w:rsid w:val="00262788"/>
    <w:rsid w:val="00262937"/>
    <w:rsid w:val="00262A46"/>
    <w:rsid w:val="00262BC9"/>
    <w:rsid w:val="00263085"/>
    <w:rsid w:val="002631D1"/>
    <w:rsid w:val="002636A5"/>
    <w:rsid w:val="00263841"/>
    <w:rsid w:val="0026396A"/>
    <w:rsid w:val="002639CA"/>
    <w:rsid w:val="00264078"/>
    <w:rsid w:val="0026409D"/>
    <w:rsid w:val="002644CE"/>
    <w:rsid w:val="0026451B"/>
    <w:rsid w:val="00264881"/>
    <w:rsid w:val="00264A30"/>
    <w:rsid w:val="00264B9D"/>
    <w:rsid w:val="00264C57"/>
    <w:rsid w:val="00264F02"/>
    <w:rsid w:val="00264F79"/>
    <w:rsid w:val="002650A2"/>
    <w:rsid w:val="002651CB"/>
    <w:rsid w:val="0026521C"/>
    <w:rsid w:val="00265583"/>
    <w:rsid w:val="002658B6"/>
    <w:rsid w:val="00265BF0"/>
    <w:rsid w:val="00265D61"/>
    <w:rsid w:val="00265EE5"/>
    <w:rsid w:val="002660CF"/>
    <w:rsid w:val="0026631F"/>
    <w:rsid w:val="0026639C"/>
    <w:rsid w:val="002663E8"/>
    <w:rsid w:val="00266422"/>
    <w:rsid w:val="0026674A"/>
    <w:rsid w:val="002668C6"/>
    <w:rsid w:val="002669EC"/>
    <w:rsid w:val="00266F86"/>
    <w:rsid w:val="002670A0"/>
    <w:rsid w:val="00267286"/>
    <w:rsid w:val="002673E4"/>
    <w:rsid w:val="002677DF"/>
    <w:rsid w:val="00267864"/>
    <w:rsid w:val="00267A7B"/>
    <w:rsid w:val="00267ED8"/>
    <w:rsid w:val="0027002B"/>
    <w:rsid w:val="0027047C"/>
    <w:rsid w:val="002705EA"/>
    <w:rsid w:val="0027062D"/>
    <w:rsid w:val="002706DD"/>
    <w:rsid w:val="00270B38"/>
    <w:rsid w:val="00270C9F"/>
    <w:rsid w:val="00270E17"/>
    <w:rsid w:val="002711E2"/>
    <w:rsid w:val="002711F1"/>
    <w:rsid w:val="00271783"/>
    <w:rsid w:val="00271E73"/>
    <w:rsid w:val="0027205C"/>
    <w:rsid w:val="002724DF"/>
    <w:rsid w:val="002726C8"/>
    <w:rsid w:val="002726C9"/>
    <w:rsid w:val="002728D2"/>
    <w:rsid w:val="0027295C"/>
    <w:rsid w:val="00272AEE"/>
    <w:rsid w:val="00272BB3"/>
    <w:rsid w:val="00273005"/>
    <w:rsid w:val="002730EC"/>
    <w:rsid w:val="002732AD"/>
    <w:rsid w:val="00273465"/>
    <w:rsid w:val="00273555"/>
    <w:rsid w:val="002735C7"/>
    <w:rsid w:val="00273711"/>
    <w:rsid w:val="00273F47"/>
    <w:rsid w:val="0027429F"/>
    <w:rsid w:val="002744F3"/>
    <w:rsid w:val="0027453F"/>
    <w:rsid w:val="00274921"/>
    <w:rsid w:val="00274A6F"/>
    <w:rsid w:val="00274E0D"/>
    <w:rsid w:val="00274EB5"/>
    <w:rsid w:val="002753D8"/>
    <w:rsid w:val="00275573"/>
    <w:rsid w:val="002757A3"/>
    <w:rsid w:val="0027581C"/>
    <w:rsid w:val="00275A13"/>
    <w:rsid w:val="00275B71"/>
    <w:rsid w:val="00275C0A"/>
    <w:rsid w:val="0027638A"/>
    <w:rsid w:val="002763A9"/>
    <w:rsid w:val="00276482"/>
    <w:rsid w:val="0027668C"/>
    <w:rsid w:val="002766CD"/>
    <w:rsid w:val="0027686D"/>
    <w:rsid w:val="00276893"/>
    <w:rsid w:val="002768A9"/>
    <w:rsid w:val="00276C1B"/>
    <w:rsid w:val="00276ECA"/>
    <w:rsid w:val="00276FBF"/>
    <w:rsid w:val="00277425"/>
    <w:rsid w:val="002777DB"/>
    <w:rsid w:val="002777E5"/>
    <w:rsid w:val="00277CEC"/>
    <w:rsid w:val="00277E73"/>
    <w:rsid w:val="00280544"/>
    <w:rsid w:val="00280586"/>
    <w:rsid w:val="002806FB"/>
    <w:rsid w:val="002807FB"/>
    <w:rsid w:val="00280C0C"/>
    <w:rsid w:val="00280FD2"/>
    <w:rsid w:val="00281059"/>
    <w:rsid w:val="00281142"/>
    <w:rsid w:val="00281208"/>
    <w:rsid w:val="002814A3"/>
    <w:rsid w:val="00281CF9"/>
    <w:rsid w:val="00281D7C"/>
    <w:rsid w:val="00282177"/>
    <w:rsid w:val="002823BE"/>
    <w:rsid w:val="00282917"/>
    <w:rsid w:val="00282A8B"/>
    <w:rsid w:val="00282BC2"/>
    <w:rsid w:val="00282E5F"/>
    <w:rsid w:val="00283482"/>
    <w:rsid w:val="002838B3"/>
    <w:rsid w:val="00283911"/>
    <w:rsid w:val="002839DC"/>
    <w:rsid w:val="00284068"/>
    <w:rsid w:val="00284139"/>
    <w:rsid w:val="00284356"/>
    <w:rsid w:val="00284792"/>
    <w:rsid w:val="00284A1D"/>
    <w:rsid w:val="00284EEB"/>
    <w:rsid w:val="00285002"/>
    <w:rsid w:val="00285180"/>
    <w:rsid w:val="002855D8"/>
    <w:rsid w:val="0028612B"/>
    <w:rsid w:val="002865B1"/>
    <w:rsid w:val="002865EC"/>
    <w:rsid w:val="002866E8"/>
    <w:rsid w:val="00286AA8"/>
    <w:rsid w:val="00286B3A"/>
    <w:rsid w:val="00286B69"/>
    <w:rsid w:val="00286FC2"/>
    <w:rsid w:val="00287088"/>
    <w:rsid w:val="0028732F"/>
    <w:rsid w:val="00287366"/>
    <w:rsid w:val="0028758A"/>
    <w:rsid w:val="002877A8"/>
    <w:rsid w:val="0028788F"/>
    <w:rsid w:val="00287EB4"/>
    <w:rsid w:val="00290087"/>
    <w:rsid w:val="00290121"/>
    <w:rsid w:val="002902CB"/>
    <w:rsid w:val="00290583"/>
    <w:rsid w:val="0029070F"/>
    <w:rsid w:val="00290CC9"/>
    <w:rsid w:val="00290CCB"/>
    <w:rsid w:val="00290F9D"/>
    <w:rsid w:val="0029102B"/>
    <w:rsid w:val="002912F7"/>
    <w:rsid w:val="00291303"/>
    <w:rsid w:val="002914E8"/>
    <w:rsid w:val="0029150F"/>
    <w:rsid w:val="00291849"/>
    <w:rsid w:val="0029199C"/>
    <w:rsid w:val="00291B50"/>
    <w:rsid w:val="00291B92"/>
    <w:rsid w:val="00291BB1"/>
    <w:rsid w:val="00291CDE"/>
    <w:rsid w:val="002921BE"/>
    <w:rsid w:val="00292640"/>
    <w:rsid w:val="002926C8"/>
    <w:rsid w:val="00292C91"/>
    <w:rsid w:val="00292E33"/>
    <w:rsid w:val="00292EF8"/>
    <w:rsid w:val="002931F0"/>
    <w:rsid w:val="00293570"/>
    <w:rsid w:val="0029362E"/>
    <w:rsid w:val="00293787"/>
    <w:rsid w:val="00293874"/>
    <w:rsid w:val="00293BC0"/>
    <w:rsid w:val="00293CEC"/>
    <w:rsid w:val="00293D6A"/>
    <w:rsid w:val="00293DDD"/>
    <w:rsid w:val="00293E12"/>
    <w:rsid w:val="00294835"/>
    <w:rsid w:val="0029484E"/>
    <w:rsid w:val="002948C3"/>
    <w:rsid w:val="002948EC"/>
    <w:rsid w:val="002949B6"/>
    <w:rsid w:val="002949BE"/>
    <w:rsid w:val="002949F6"/>
    <w:rsid w:val="00294B74"/>
    <w:rsid w:val="00294E0E"/>
    <w:rsid w:val="00294E42"/>
    <w:rsid w:val="00295053"/>
    <w:rsid w:val="00295058"/>
    <w:rsid w:val="00295A83"/>
    <w:rsid w:val="00295D94"/>
    <w:rsid w:val="00295EE0"/>
    <w:rsid w:val="00296014"/>
    <w:rsid w:val="002960B7"/>
    <w:rsid w:val="00296221"/>
    <w:rsid w:val="00296611"/>
    <w:rsid w:val="00296662"/>
    <w:rsid w:val="00296894"/>
    <w:rsid w:val="00296985"/>
    <w:rsid w:val="00296A34"/>
    <w:rsid w:val="00296A82"/>
    <w:rsid w:val="00296F7E"/>
    <w:rsid w:val="00296FEB"/>
    <w:rsid w:val="00297448"/>
    <w:rsid w:val="002974CE"/>
    <w:rsid w:val="00297931"/>
    <w:rsid w:val="00297DC5"/>
    <w:rsid w:val="00297DE6"/>
    <w:rsid w:val="00297F91"/>
    <w:rsid w:val="002A00A9"/>
    <w:rsid w:val="002A012F"/>
    <w:rsid w:val="002A02A1"/>
    <w:rsid w:val="002A03C0"/>
    <w:rsid w:val="002A060C"/>
    <w:rsid w:val="002A0AE4"/>
    <w:rsid w:val="002A0C02"/>
    <w:rsid w:val="002A10BF"/>
    <w:rsid w:val="002A11F5"/>
    <w:rsid w:val="002A1703"/>
    <w:rsid w:val="002A1728"/>
    <w:rsid w:val="002A1762"/>
    <w:rsid w:val="002A1856"/>
    <w:rsid w:val="002A1BCF"/>
    <w:rsid w:val="002A1BFD"/>
    <w:rsid w:val="002A1F39"/>
    <w:rsid w:val="002A208C"/>
    <w:rsid w:val="002A22B3"/>
    <w:rsid w:val="002A23F6"/>
    <w:rsid w:val="002A2B0B"/>
    <w:rsid w:val="002A2B7D"/>
    <w:rsid w:val="002A2BAA"/>
    <w:rsid w:val="002A2C13"/>
    <w:rsid w:val="002A2C33"/>
    <w:rsid w:val="002A2D33"/>
    <w:rsid w:val="002A2DC5"/>
    <w:rsid w:val="002A2E92"/>
    <w:rsid w:val="002A2FD0"/>
    <w:rsid w:val="002A3307"/>
    <w:rsid w:val="002A3427"/>
    <w:rsid w:val="002A3537"/>
    <w:rsid w:val="002A3899"/>
    <w:rsid w:val="002A3912"/>
    <w:rsid w:val="002A3971"/>
    <w:rsid w:val="002A3A8F"/>
    <w:rsid w:val="002A3AF2"/>
    <w:rsid w:val="002A3C2F"/>
    <w:rsid w:val="002A3CD0"/>
    <w:rsid w:val="002A400F"/>
    <w:rsid w:val="002A4513"/>
    <w:rsid w:val="002A46D3"/>
    <w:rsid w:val="002A49EA"/>
    <w:rsid w:val="002A4BA7"/>
    <w:rsid w:val="002A4EA2"/>
    <w:rsid w:val="002A4EFA"/>
    <w:rsid w:val="002A541C"/>
    <w:rsid w:val="002A5619"/>
    <w:rsid w:val="002A57E8"/>
    <w:rsid w:val="002A59BF"/>
    <w:rsid w:val="002A5DA6"/>
    <w:rsid w:val="002A5DF6"/>
    <w:rsid w:val="002A5F5C"/>
    <w:rsid w:val="002A6126"/>
    <w:rsid w:val="002A61EA"/>
    <w:rsid w:val="002A6416"/>
    <w:rsid w:val="002A653F"/>
    <w:rsid w:val="002A66DC"/>
    <w:rsid w:val="002A6C7F"/>
    <w:rsid w:val="002A70FB"/>
    <w:rsid w:val="002A764F"/>
    <w:rsid w:val="002A7A10"/>
    <w:rsid w:val="002A7D36"/>
    <w:rsid w:val="002B0108"/>
    <w:rsid w:val="002B01ED"/>
    <w:rsid w:val="002B0514"/>
    <w:rsid w:val="002B0A8C"/>
    <w:rsid w:val="002B0B87"/>
    <w:rsid w:val="002B0ED1"/>
    <w:rsid w:val="002B0FD9"/>
    <w:rsid w:val="002B1312"/>
    <w:rsid w:val="002B1383"/>
    <w:rsid w:val="002B1598"/>
    <w:rsid w:val="002B18D0"/>
    <w:rsid w:val="002B1FA8"/>
    <w:rsid w:val="002B2647"/>
    <w:rsid w:val="002B2A8D"/>
    <w:rsid w:val="002B2EFD"/>
    <w:rsid w:val="002B3567"/>
    <w:rsid w:val="002B3790"/>
    <w:rsid w:val="002B3C41"/>
    <w:rsid w:val="002B3D66"/>
    <w:rsid w:val="002B41D2"/>
    <w:rsid w:val="002B4206"/>
    <w:rsid w:val="002B427B"/>
    <w:rsid w:val="002B45F0"/>
    <w:rsid w:val="002B4AFB"/>
    <w:rsid w:val="002B4B0C"/>
    <w:rsid w:val="002B4B7D"/>
    <w:rsid w:val="002B4C00"/>
    <w:rsid w:val="002B4DC6"/>
    <w:rsid w:val="002B4F26"/>
    <w:rsid w:val="002B5559"/>
    <w:rsid w:val="002B5581"/>
    <w:rsid w:val="002B55F6"/>
    <w:rsid w:val="002B5A36"/>
    <w:rsid w:val="002B5CC4"/>
    <w:rsid w:val="002B5EFC"/>
    <w:rsid w:val="002B62F2"/>
    <w:rsid w:val="002B6392"/>
    <w:rsid w:val="002B651B"/>
    <w:rsid w:val="002B6775"/>
    <w:rsid w:val="002B6C2C"/>
    <w:rsid w:val="002B6D79"/>
    <w:rsid w:val="002B705D"/>
    <w:rsid w:val="002B741C"/>
    <w:rsid w:val="002B7733"/>
    <w:rsid w:val="002B796F"/>
    <w:rsid w:val="002B7B58"/>
    <w:rsid w:val="002B7F60"/>
    <w:rsid w:val="002C050A"/>
    <w:rsid w:val="002C065E"/>
    <w:rsid w:val="002C068A"/>
    <w:rsid w:val="002C0D69"/>
    <w:rsid w:val="002C0F3F"/>
    <w:rsid w:val="002C1268"/>
    <w:rsid w:val="002C1454"/>
    <w:rsid w:val="002C14A6"/>
    <w:rsid w:val="002C14E4"/>
    <w:rsid w:val="002C163D"/>
    <w:rsid w:val="002C18FD"/>
    <w:rsid w:val="002C1F99"/>
    <w:rsid w:val="002C27F8"/>
    <w:rsid w:val="002C2ABF"/>
    <w:rsid w:val="002C2CC6"/>
    <w:rsid w:val="002C2F1C"/>
    <w:rsid w:val="002C304C"/>
    <w:rsid w:val="002C3951"/>
    <w:rsid w:val="002C3F2B"/>
    <w:rsid w:val="002C4072"/>
    <w:rsid w:val="002C4335"/>
    <w:rsid w:val="002C4551"/>
    <w:rsid w:val="002C464B"/>
    <w:rsid w:val="002C4905"/>
    <w:rsid w:val="002C4B45"/>
    <w:rsid w:val="002C5334"/>
    <w:rsid w:val="002C5369"/>
    <w:rsid w:val="002C579D"/>
    <w:rsid w:val="002C57FA"/>
    <w:rsid w:val="002C5A5B"/>
    <w:rsid w:val="002C5A93"/>
    <w:rsid w:val="002C5CF5"/>
    <w:rsid w:val="002C686B"/>
    <w:rsid w:val="002C6AB7"/>
    <w:rsid w:val="002C6D3E"/>
    <w:rsid w:val="002C6E4A"/>
    <w:rsid w:val="002C74B9"/>
    <w:rsid w:val="002C7722"/>
    <w:rsid w:val="002C77C9"/>
    <w:rsid w:val="002C7975"/>
    <w:rsid w:val="002C7C1F"/>
    <w:rsid w:val="002C7D6B"/>
    <w:rsid w:val="002C7E05"/>
    <w:rsid w:val="002C7E6D"/>
    <w:rsid w:val="002C7F6F"/>
    <w:rsid w:val="002D0439"/>
    <w:rsid w:val="002D0546"/>
    <w:rsid w:val="002D0920"/>
    <w:rsid w:val="002D09FE"/>
    <w:rsid w:val="002D18E7"/>
    <w:rsid w:val="002D1A89"/>
    <w:rsid w:val="002D1C7A"/>
    <w:rsid w:val="002D1F07"/>
    <w:rsid w:val="002D21D4"/>
    <w:rsid w:val="002D275E"/>
    <w:rsid w:val="002D2780"/>
    <w:rsid w:val="002D2858"/>
    <w:rsid w:val="002D2A6D"/>
    <w:rsid w:val="002D2B16"/>
    <w:rsid w:val="002D2E56"/>
    <w:rsid w:val="002D30BE"/>
    <w:rsid w:val="002D3568"/>
    <w:rsid w:val="002D35AF"/>
    <w:rsid w:val="002D35B8"/>
    <w:rsid w:val="002D37D8"/>
    <w:rsid w:val="002D3C97"/>
    <w:rsid w:val="002D42AB"/>
    <w:rsid w:val="002D4425"/>
    <w:rsid w:val="002D4721"/>
    <w:rsid w:val="002D47F4"/>
    <w:rsid w:val="002D482B"/>
    <w:rsid w:val="002D4DD0"/>
    <w:rsid w:val="002D51A8"/>
    <w:rsid w:val="002D56FC"/>
    <w:rsid w:val="002D5B3F"/>
    <w:rsid w:val="002D5D10"/>
    <w:rsid w:val="002D62CE"/>
    <w:rsid w:val="002D642F"/>
    <w:rsid w:val="002D66AA"/>
    <w:rsid w:val="002D69F2"/>
    <w:rsid w:val="002D6BB8"/>
    <w:rsid w:val="002D703C"/>
    <w:rsid w:val="002D7055"/>
    <w:rsid w:val="002D72B3"/>
    <w:rsid w:val="002D7643"/>
    <w:rsid w:val="002D78E3"/>
    <w:rsid w:val="002E0048"/>
    <w:rsid w:val="002E00EC"/>
    <w:rsid w:val="002E0853"/>
    <w:rsid w:val="002E0C98"/>
    <w:rsid w:val="002E0F3D"/>
    <w:rsid w:val="002E105A"/>
    <w:rsid w:val="002E106B"/>
    <w:rsid w:val="002E1B87"/>
    <w:rsid w:val="002E1E89"/>
    <w:rsid w:val="002E217A"/>
    <w:rsid w:val="002E2978"/>
    <w:rsid w:val="002E2B48"/>
    <w:rsid w:val="002E2C7B"/>
    <w:rsid w:val="002E2F2D"/>
    <w:rsid w:val="002E3340"/>
    <w:rsid w:val="002E35AB"/>
    <w:rsid w:val="002E3602"/>
    <w:rsid w:val="002E3A45"/>
    <w:rsid w:val="002E4146"/>
    <w:rsid w:val="002E41B0"/>
    <w:rsid w:val="002E42DF"/>
    <w:rsid w:val="002E445A"/>
    <w:rsid w:val="002E47AC"/>
    <w:rsid w:val="002E5163"/>
    <w:rsid w:val="002E5771"/>
    <w:rsid w:val="002E593A"/>
    <w:rsid w:val="002E594E"/>
    <w:rsid w:val="002E5B36"/>
    <w:rsid w:val="002E63B9"/>
    <w:rsid w:val="002E6540"/>
    <w:rsid w:val="002E66FD"/>
    <w:rsid w:val="002E6D46"/>
    <w:rsid w:val="002E7449"/>
    <w:rsid w:val="002E763E"/>
    <w:rsid w:val="002E77AD"/>
    <w:rsid w:val="002E7A21"/>
    <w:rsid w:val="002E7DB2"/>
    <w:rsid w:val="002F0224"/>
    <w:rsid w:val="002F07B7"/>
    <w:rsid w:val="002F07EB"/>
    <w:rsid w:val="002F094E"/>
    <w:rsid w:val="002F0AB9"/>
    <w:rsid w:val="002F0CA2"/>
    <w:rsid w:val="002F0DEF"/>
    <w:rsid w:val="002F0FD5"/>
    <w:rsid w:val="002F127B"/>
    <w:rsid w:val="002F1B8A"/>
    <w:rsid w:val="002F1C4C"/>
    <w:rsid w:val="002F1CD2"/>
    <w:rsid w:val="002F1E47"/>
    <w:rsid w:val="002F206E"/>
    <w:rsid w:val="002F2206"/>
    <w:rsid w:val="002F26F7"/>
    <w:rsid w:val="002F3667"/>
    <w:rsid w:val="002F3779"/>
    <w:rsid w:val="002F3D53"/>
    <w:rsid w:val="002F3F9C"/>
    <w:rsid w:val="002F4015"/>
    <w:rsid w:val="002F4492"/>
    <w:rsid w:val="002F46FB"/>
    <w:rsid w:val="002F4765"/>
    <w:rsid w:val="002F478C"/>
    <w:rsid w:val="002F47A3"/>
    <w:rsid w:val="002F4BC9"/>
    <w:rsid w:val="002F4D2E"/>
    <w:rsid w:val="002F5156"/>
    <w:rsid w:val="002F5317"/>
    <w:rsid w:val="002F5931"/>
    <w:rsid w:val="002F5A2F"/>
    <w:rsid w:val="002F5DE0"/>
    <w:rsid w:val="002F5E15"/>
    <w:rsid w:val="002F626D"/>
    <w:rsid w:val="002F628B"/>
    <w:rsid w:val="002F63C3"/>
    <w:rsid w:val="002F6606"/>
    <w:rsid w:val="002F6D70"/>
    <w:rsid w:val="002F7027"/>
    <w:rsid w:val="002F7216"/>
    <w:rsid w:val="002F730F"/>
    <w:rsid w:val="002F7396"/>
    <w:rsid w:val="002F7693"/>
    <w:rsid w:val="002F7938"/>
    <w:rsid w:val="002F7C45"/>
    <w:rsid w:val="002F7DDE"/>
    <w:rsid w:val="00300038"/>
    <w:rsid w:val="0030057A"/>
    <w:rsid w:val="00300635"/>
    <w:rsid w:val="003007ED"/>
    <w:rsid w:val="00300807"/>
    <w:rsid w:val="003012CE"/>
    <w:rsid w:val="00301323"/>
    <w:rsid w:val="00301398"/>
    <w:rsid w:val="0030164C"/>
    <w:rsid w:val="0030168B"/>
    <w:rsid w:val="0030190B"/>
    <w:rsid w:val="00301958"/>
    <w:rsid w:val="00301A56"/>
    <w:rsid w:val="00301F07"/>
    <w:rsid w:val="00302471"/>
    <w:rsid w:val="00302484"/>
    <w:rsid w:val="00302530"/>
    <w:rsid w:val="00302656"/>
    <w:rsid w:val="0030270F"/>
    <w:rsid w:val="00302928"/>
    <w:rsid w:val="00302A30"/>
    <w:rsid w:val="00302AE1"/>
    <w:rsid w:val="00302CE5"/>
    <w:rsid w:val="00302D54"/>
    <w:rsid w:val="00302E46"/>
    <w:rsid w:val="00302EF7"/>
    <w:rsid w:val="00302F5E"/>
    <w:rsid w:val="00303101"/>
    <w:rsid w:val="00303163"/>
    <w:rsid w:val="003031E3"/>
    <w:rsid w:val="0030351F"/>
    <w:rsid w:val="003036E2"/>
    <w:rsid w:val="00303846"/>
    <w:rsid w:val="00303870"/>
    <w:rsid w:val="00303ACD"/>
    <w:rsid w:val="00303B43"/>
    <w:rsid w:val="00303E45"/>
    <w:rsid w:val="00304321"/>
    <w:rsid w:val="003044B8"/>
    <w:rsid w:val="0030451B"/>
    <w:rsid w:val="00304A83"/>
    <w:rsid w:val="00304B25"/>
    <w:rsid w:val="00304CB9"/>
    <w:rsid w:val="00304D96"/>
    <w:rsid w:val="00304E5F"/>
    <w:rsid w:val="003052B8"/>
    <w:rsid w:val="00305658"/>
    <w:rsid w:val="00305673"/>
    <w:rsid w:val="003056D7"/>
    <w:rsid w:val="003056DC"/>
    <w:rsid w:val="003059AA"/>
    <w:rsid w:val="0030627E"/>
    <w:rsid w:val="00306346"/>
    <w:rsid w:val="003063FA"/>
    <w:rsid w:val="0030688D"/>
    <w:rsid w:val="00306A12"/>
    <w:rsid w:val="00306A1B"/>
    <w:rsid w:val="00306E1A"/>
    <w:rsid w:val="00306EC5"/>
    <w:rsid w:val="00306EF6"/>
    <w:rsid w:val="0030725E"/>
    <w:rsid w:val="0030745E"/>
    <w:rsid w:val="00307D64"/>
    <w:rsid w:val="0031026B"/>
    <w:rsid w:val="0031039D"/>
    <w:rsid w:val="0031089B"/>
    <w:rsid w:val="003113D0"/>
    <w:rsid w:val="00311587"/>
    <w:rsid w:val="003116A7"/>
    <w:rsid w:val="00311838"/>
    <w:rsid w:val="003118E7"/>
    <w:rsid w:val="00311927"/>
    <w:rsid w:val="003119FD"/>
    <w:rsid w:val="00311C40"/>
    <w:rsid w:val="003120B8"/>
    <w:rsid w:val="003121C8"/>
    <w:rsid w:val="003121DE"/>
    <w:rsid w:val="00312331"/>
    <w:rsid w:val="00312364"/>
    <w:rsid w:val="00312550"/>
    <w:rsid w:val="003125C5"/>
    <w:rsid w:val="003130BA"/>
    <w:rsid w:val="00313586"/>
    <w:rsid w:val="0031388D"/>
    <w:rsid w:val="00313C99"/>
    <w:rsid w:val="00313D28"/>
    <w:rsid w:val="00314261"/>
    <w:rsid w:val="00314452"/>
    <w:rsid w:val="003144DB"/>
    <w:rsid w:val="00314A26"/>
    <w:rsid w:val="00314BDD"/>
    <w:rsid w:val="00314C62"/>
    <w:rsid w:val="00314C94"/>
    <w:rsid w:val="003156A2"/>
    <w:rsid w:val="003156E4"/>
    <w:rsid w:val="003158AD"/>
    <w:rsid w:val="00316674"/>
    <w:rsid w:val="00316814"/>
    <w:rsid w:val="00316C82"/>
    <w:rsid w:val="00316EA4"/>
    <w:rsid w:val="003173A5"/>
    <w:rsid w:val="00317B5A"/>
    <w:rsid w:val="00317E90"/>
    <w:rsid w:val="00317F99"/>
    <w:rsid w:val="00320578"/>
    <w:rsid w:val="003207EE"/>
    <w:rsid w:val="003208DB"/>
    <w:rsid w:val="00320A82"/>
    <w:rsid w:val="00320A8C"/>
    <w:rsid w:val="00320FCB"/>
    <w:rsid w:val="003210CD"/>
    <w:rsid w:val="0032110C"/>
    <w:rsid w:val="0032191C"/>
    <w:rsid w:val="00321AFE"/>
    <w:rsid w:val="00322A0F"/>
    <w:rsid w:val="003230BA"/>
    <w:rsid w:val="0032331C"/>
    <w:rsid w:val="003238EB"/>
    <w:rsid w:val="0032392C"/>
    <w:rsid w:val="00323B8B"/>
    <w:rsid w:val="00323D28"/>
    <w:rsid w:val="00323DC0"/>
    <w:rsid w:val="0032420A"/>
    <w:rsid w:val="0032424A"/>
    <w:rsid w:val="003242D9"/>
    <w:rsid w:val="00324687"/>
    <w:rsid w:val="0032479F"/>
    <w:rsid w:val="003249C3"/>
    <w:rsid w:val="0032566E"/>
    <w:rsid w:val="00325CBE"/>
    <w:rsid w:val="0032609A"/>
    <w:rsid w:val="00326117"/>
    <w:rsid w:val="003261DD"/>
    <w:rsid w:val="00326691"/>
    <w:rsid w:val="00326DD6"/>
    <w:rsid w:val="00326E08"/>
    <w:rsid w:val="00327271"/>
    <w:rsid w:val="003274CB"/>
    <w:rsid w:val="00327BE3"/>
    <w:rsid w:val="00327D55"/>
    <w:rsid w:val="0033000E"/>
    <w:rsid w:val="00330177"/>
    <w:rsid w:val="003307A0"/>
    <w:rsid w:val="0033085F"/>
    <w:rsid w:val="00330A7A"/>
    <w:rsid w:val="00330B19"/>
    <w:rsid w:val="00330C03"/>
    <w:rsid w:val="00330DA5"/>
    <w:rsid w:val="00330FBF"/>
    <w:rsid w:val="003310FC"/>
    <w:rsid w:val="003314A3"/>
    <w:rsid w:val="00331652"/>
    <w:rsid w:val="003316A4"/>
    <w:rsid w:val="003329FE"/>
    <w:rsid w:val="00332A65"/>
    <w:rsid w:val="00332F81"/>
    <w:rsid w:val="00333096"/>
    <w:rsid w:val="0033316E"/>
    <w:rsid w:val="0033323E"/>
    <w:rsid w:val="003337AC"/>
    <w:rsid w:val="00333918"/>
    <w:rsid w:val="00333BAE"/>
    <w:rsid w:val="00333EE0"/>
    <w:rsid w:val="0033486D"/>
    <w:rsid w:val="00334ABF"/>
    <w:rsid w:val="00334D43"/>
    <w:rsid w:val="00334DF1"/>
    <w:rsid w:val="003351E2"/>
    <w:rsid w:val="0033521D"/>
    <w:rsid w:val="003352A9"/>
    <w:rsid w:val="00335355"/>
    <w:rsid w:val="00335702"/>
    <w:rsid w:val="0033582B"/>
    <w:rsid w:val="00335834"/>
    <w:rsid w:val="00335941"/>
    <w:rsid w:val="0033613C"/>
    <w:rsid w:val="003367D5"/>
    <w:rsid w:val="00336823"/>
    <w:rsid w:val="00336AB1"/>
    <w:rsid w:val="00336B7C"/>
    <w:rsid w:val="00337297"/>
    <w:rsid w:val="00337372"/>
    <w:rsid w:val="00340031"/>
    <w:rsid w:val="003403E1"/>
    <w:rsid w:val="003404E7"/>
    <w:rsid w:val="00340F73"/>
    <w:rsid w:val="00340FE6"/>
    <w:rsid w:val="00341DA8"/>
    <w:rsid w:val="00342088"/>
    <w:rsid w:val="00342A92"/>
    <w:rsid w:val="003430DD"/>
    <w:rsid w:val="003437DF"/>
    <w:rsid w:val="003437F6"/>
    <w:rsid w:val="00343AA4"/>
    <w:rsid w:val="00343C2F"/>
    <w:rsid w:val="00344191"/>
    <w:rsid w:val="00344307"/>
    <w:rsid w:val="00344379"/>
    <w:rsid w:val="003448DE"/>
    <w:rsid w:val="00344BED"/>
    <w:rsid w:val="00344C17"/>
    <w:rsid w:val="00344D56"/>
    <w:rsid w:val="00344E74"/>
    <w:rsid w:val="003452C0"/>
    <w:rsid w:val="0034586F"/>
    <w:rsid w:val="00345986"/>
    <w:rsid w:val="003464F7"/>
    <w:rsid w:val="003465D5"/>
    <w:rsid w:val="00346666"/>
    <w:rsid w:val="00346821"/>
    <w:rsid w:val="0034687E"/>
    <w:rsid w:val="003468BD"/>
    <w:rsid w:val="00346CAA"/>
    <w:rsid w:val="00347226"/>
    <w:rsid w:val="00347351"/>
    <w:rsid w:val="003475C6"/>
    <w:rsid w:val="00347EAC"/>
    <w:rsid w:val="00347F84"/>
    <w:rsid w:val="00350602"/>
    <w:rsid w:val="00350776"/>
    <w:rsid w:val="003509E5"/>
    <w:rsid w:val="00350CA5"/>
    <w:rsid w:val="00350F72"/>
    <w:rsid w:val="0035131E"/>
    <w:rsid w:val="00351773"/>
    <w:rsid w:val="003519B1"/>
    <w:rsid w:val="00351FB5"/>
    <w:rsid w:val="00351FB7"/>
    <w:rsid w:val="003522F4"/>
    <w:rsid w:val="003525E8"/>
    <w:rsid w:val="00352994"/>
    <w:rsid w:val="00352B0D"/>
    <w:rsid w:val="00352D35"/>
    <w:rsid w:val="0035301F"/>
    <w:rsid w:val="00353264"/>
    <w:rsid w:val="00353694"/>
    <w:rsid w:val="00353A4A"/>
    <w:rsid w:val="00353B72"/>
    <w:rsid w:val="00353D78"/>
    <w:rsid w:val="0035415D"/>
    <w:rsid w:val="00354468"/>
    <w:rsid w:val="003546EB"/>
    <w:rsid w:val="00354793"/>
    <w:rsid w:val="00355552"/>
    <w:rsid w:val="00355831"/>
    <w:rsid w:val="00355B36"/>
    <w:rsid w:val="00355BEA"/>
    <w:rsid w:val="00355D52"/>
    <w:rsid w:val="00355DFE"/>
    <w:rsid w:val="003560AC"/>
    <w:rsid w:val="00356545"/>
    <w:rsid w:val="003566D3"/>
    <w:rsid w:val="00356A10"/>
    <w:rsid w:val="00356AA3"/>
    <w:rsid w:val="00356F51"/>
    <w:rsid w:val="0035710A"/>
    <w:rsid w:val="0035725C"/>
    <w:rsid w:val="003572F1"/>
    <w:rsid w:val="00357421"/>
    <w:rsid w:val="00357546"/>
    <w:rsid w:val="003576E6"/>
    <w:rsid w:val="00357745"/>
    <w:rsid w:val="00357A0D"/>
    <w:rsid w:val="00357CF3"/>
    <w:rsid w:val="00360008"/>
    <w:rsid w:val="00360202"/>
    <w:rsid w:val="003604CF"/>
    <w:rsid w:val="003608A5"/>
    <w:rsid w:val="00360928"/>
    <w:rsid w:val="00360D1E"/>
    <w:rsid w:val="00360F4E"/>
    <w:rsid w:val="0036131F"/>
    <w:rsid w:val="0036143D"/>
    <w:rsid w:val="00361537"/>
    <w:rsid w:val="003615A8"/>
    <w:rsid w:val="0036169B"/>
    <w:rsid w:val="00361B8B"/>
    <w:rsid w:val="00362200"/>
    <w:rsid w:val="0036246F"/>
    <w:rsid w:val="00362655"/>
    <w:rsid w:val="00362A8C"/>
    <w:rsid w:val="00362CD4"/>
    <w:rsid w:val="00362E57"/>
    <w:rsid w:val="00362FBE"/>
    <w:rsid w:val="00363125"/>
    <w:rsid w:val="00363158"/>
    <w:rsid w:val="00363599"/>
    <w:rsid w:val="003635D9"/>
    <w:rsid w:val="00363714"/>
    <w:rsid w:val="0036398B"/>
    <w:rsid w:val="003639BC"/>
    <w:rsid w:val="00363B55"/>
    <w:rsid w:val="00363B8A"/>
    <w:rsid w:val="00363D5F"/>
    <w:rsid w:val="00363E34"/>
    <w:rsid w:val="00363ECC"/>
    <w:rsid w:val="00364113"/>
    <w:rsid w:val="0036446B"/>
    <w:rsid w:val="003647F7"/>
    <w:rsid w:val="0036494E"/>
    <w:rsid w:val="00364A21"/>
    <w:rsid w:val="00364EA3"/>
    <w:rsid w:val="003650A1"/>
    <w:rsid w:val="0036527B"/>
    <w:rsid w:val="00365758"/>
    <w:rsid w:val="00365C94"/>
    <w:rsid w:val="00365E27"/>
    <w:rsid w:val="00366005"/>
    <w:rsid w:val="0036603D"/>
    <w:rsid w:val="003661ED"/>
    <w:rsid w:val="003661F2"/>
    <w:rsid w:val="003667FE"/>
    <w:rsid w:val="00366803"/>
    <w:rsid w:val="00366AF5"/>
    <w:rsid w:val="00366C81"/>
    <w:rsid w:val="003670C9"/>
    <w:rsid w:val="00367168"/>
    <w:rsid w:val="003674A0"/>
    <w:rsid w:val="00367767"/>
    <w:rsid w:val="00367776"/>
    <w:rsid w:val="00367828"/>
    <w:rsid w:val="00367A7E"/>
    <w:rsid w:val="00367AEB"/>
    <w:rsid w:val="00367BA5"/>
    <w:rsid w:val="00367D08"/>
    <w:rsid w:val="00367D19"/>
    <w:rsid w:val="003707B4"/>
    <w:rsid w:val="00370DA5"/>
    <w:rsid w:val="003711E5"/>
    <w:rsid w:val="0037126D"/>
    <w:rsid w:val="0037152B"/>
    <w:rsid w:val="003717A2"/>
    <w:rsid w:val="00371906"/>
    <w:rsid w:val="00371978"/>
    <w:rsid w:val="00371AE3"/>
    <w:rsid w:val="00371CBE"/>
    <w:rsid w:val="003720C4"/>
    <w:rsid w:val="00372132"/>
    <w:rsid w:val="00372146"/>
    <w:rsid w:val="0037233A"/>
    <w:rsid w:val="003728FD"/>
    <w:rsid w:val="00372C46"/>
    <w:rsid w:val="00372EAB"/>
    <w:rsid w:val="00372EE8"/>
    <w:rsid w:val="00373099"/>
    <w:rsid w:val="00373369"/>
    <w:rsid w:val="00373497"/>
    <w:rsid w:val="003734BD"/>
    <w:rsid w:val="00373C77"/>
    <w:rsid w:val="00373FFD"/>
    <w:rsid w:val="0037413F"/>
    <w:rsid w:val="003743BE"/>
    <w:rsid w:val="003743CC"/>
    <w:rsid w:val="00374583"/>
    <w:rsid w:val="003745CF"/>
    <w:rsid w:val="003747EC"/>
    <w:rsid w:val="00374A1C"/>
    <w:rsid w:val="00374C62"/>
    <w:rsid w:val="00374D56"/>
    <w:rsid w:val="00374F5B"/>
    <w:rsid w:val="0037527F"/>
    <w:rsid w:val="00375322"/>
    <w:rsid w:val="0037537F"/>
    <w:rsid w:val="003753E6"/>
    <w:rsid w:val="0037544A"/>
    <w:rsid w:val="00375483"/>
    <w:rsid w:val="003755C3"/>
    <w:rsid w:val="003756A3"/>
    <w:rsid w:val="0037578E"/>
    <w:rsid w:val="0037605A"/>
    <w:rsid w:val="003760FA"/>
    <w:rsid w:val="00376169"/>
    <w:rsid w:val="003762E9"/>
    <w:rsid w:val="003766C2"/>
    <w:rsid w:val="00376898"/>
    <w:rsid w:val="003771FF"/>
    <w:rsid w:val="00377282"/>
    <w:rsid w:val="00377593"/>
    <w:rsid w:val="0037775A"/>
    <w:rsid w:val="00377922"/>
    <w:rsid w:val="00377B11"/>
    <w:rsid w:val="00377C07"/>
    <w:rsid w:val="00377D8F"/>
    <w:rsid w:val="00380415"/>
    <w:rsid w:val="0038056D"/>
    <w:rsid w:val="0038073A"/>
    <w:rsid w:val="00380748"/>
    <w:rsid w:val="00380770"/>
    <w:rsid w:val="003808C8"/>
    <w:rsid w:val="00380DB0"/>
    <w:rsid w:val="00380E72"/>
    <w:rsid w:val="0038108B"/>
    <w:rsid w:val="003814BB"/>
    <w:rsid w:val="003817C5"/>
    <w:rsid w:val="00381CBE"/>
    <w:rsid w:val="00381ECA"/>
    <w:rsid w:val="00381F8B"/>
    <w:rsid w:val="0038264A"/>
    <w:rsid w:val="0038272D"/>
    <w:rsid w:val="00382753"/>
    <w:rsid w:val="0038295D"/>
    <w:rsid w:val="0038295E"/>
    <w:rsid w:val="00382BE1"/>
    <w:rsid w:val="00382CF9"/>
    <w:rsid w:val="00383209"/>
    <w:rsid w:val="00383967"/>
    <w:rsid w:val="00383C25"/>
    <w:rsid w:val="00383CE3"/>
    <w:rsid w:val="00383DFF"/>
    <w:rsid w:val="00384093"/>
    <w:rsid w:val="003841DE"/>
    <w:rsid w:val="00384551"/>
    <w:rsid w:val="00384D61"/>
    <w:rsid w:val="00384E16"/>
    <w:rsid w:val="00384E58"/>
    <w:rsid w:val="00385027"/>
    <w:rsid w:val="00385355"/>
    <w:rsid w:val="0038535F"/>
    <w:rsid w:val="00385399"/>
    <w:rsid w:val="00385447"/>
    <w:rsid w:val="0038552B"/>
    <w:rsid w:val="00385536"/>
    <w:rsid w:val="0038562B"/>
    <w:rsid w:val="003856EF"/>
    <w:rsid w:val="00385932"/>
    <w:rsid w:val="003859BD"/>
    <w:rsid w:val="00385CC2"/>
    <w:rsid w:val="0038622F"/>
    <w:rsid w:val="003864B2"/>
    <w:rsid w:val="00386526"/>
    <w:rsid w:val="00386602"/>
    <w:rsid w:val="00386804"/>
    <w:rsid w:val="00386B4D"/>
    <w:rsid w:val="00386DCD"/>
    <w:rsid w:val="00387648"/>
    <w:rsid w:val="003901CA"/>
    <w:rsid w:val="003902E6"/>
    <w:rsid w:val="00390329"/>
    <w:rsid w:val="00390353"/>
    <w:rsid w:val="00390704"/>
    <w:rsid w:val="003907E7"/>
    <w:rsid w:val="00390B59"/>
    <w:rsid w:val="00390D67"/>
    <w:rsid w:val="0039129A"/>
    <w:rsid w:val="0039135B"/>
    <w:rsid w:val="0039172B"/>
    <w:rsid w:val="003917E8"/>
    <w:rsid w:val="003919E2"/>
    <w:rsid w:val="00391A13"/>
    <w:rsid w:val="00391D35"/>
    <w:rsid w:val="00392325"/>
    <w:rsid w:val="003924FD"/>
    <w:rsid w:val="0039260D"/>
    <w:rsid w:val="00392C00"/>
    <w:rsid w:val="00393108"/>
    <w:rsid w:val="003932C9"/>
    <w:rsid w:val="003932EE"/>
    <w:rsid w:val="003937D1"/>
    <w:rsid w:val="0039382E"/>
    <w:rsid w:val="00393986"/>
    <w:rsid w:val="00394225"/>
    <w:rsid w:val="00394256"/>
    <w:rsid w:val="00394562"/>
    <w:rsid w:val="00394608"/>
    <w:rsid w:val="00394718"/>
    <w:rsid w:val="00394A75"/>
    <w:rsid w:val="00394AED"/>
    <w:rsid w:val="00394BA9"/>
    <w:rsid w:val="00394FC6"/>
    <w:rsid w:val="003957F2"/>
    <w:rsid w:val="00395A50"/>
    <w:rsid w:val="00395C20"/>
    <w:rsid w:val="00396036"/>
    <w:rsid w:val="003968F0"/>
    <w:rsid w:val="00396BDA"/>
    <w:rsid w:val="00396D07"/>
    <w:rsid w:val="00396D49"/>
    <w:rsid w:val="00396E78"/>
    <w:rsid w:val="00397006"/>
    <w:rsid w:val="0039710E"/>
    <w:rsid w:val="00397112"/>
    <w:rsid w:val="0039745D"/>
    <w:rsid w:val="0039757C"/>
    <w:rsid w:val="003977C0"/>
    <w:rsid w:val="00397909"/>
    <w:rsid w:val="00397977"/>
    <w:rsid w:val="003A0EAD"/>
    <w:rsid w:val="003A0F6F"/>
    <w:rsid w:val="003A0FA5"/>
    <w:rsid w:val="003A0FC3"/>
    <w:rsid w:val="003A1339"/>
    <w:rsid w:val="003A134B"/>
    <w:rsid w:val="003A1439"/>
    <w:rsid w:val="003A1474"/>
    <w:rsid w:val="003A15B2"/>
    <w:rsid w:val="003A19F1"/>
    <w:rsid w:val="003A1CF2"/>
    <w:rsid w:val="003A200C"/>
    <w:rsid w:val="003A24BA"/>
    <w:rsid w:val="003A27EC"/>
    <w:rsid w:val="003A299D"/>
    <w:rsid w:val="003A2A66"/>
    <w:rsid w:val="003A2D84"/>
    <w:rsid w:val="003A2DAF"/>
    <w:rsid w:val="003A2E53"/>
    <w:rsid w:val="003A2F4C"/>
    <w:rsid w:val="003A36F5"/>
    <w:rsid w:val="003A3C5C"/>
    <w:rsid w:val="003A3CFB"/>
    <w:rsid w:val="003A4317"/>
    <w:rsid w:val="003A43F1"/>
    <w:rsid w:val="003A4721"/>
    <w:rsid w:val="003A5077"/>
    <w:rsid w:val="003A5300"/>
    <w:rsid w:val="003A5349"/>
    <w:rsid w:val="003A55C6"/>
    <w:rsid w:val="003A55EE"/>
    <w:rsid w:val="003A56D6"/>
    <w:rsid w:val="003A591B"/>
    <w:rsid w:val="003A5964"/>
    <w:rsid w:val="003A5C46"/>
    <w:rsid w:val="003A670B"/>
    <w:rsid w:val="003A6B76"/>
    <w:rsid w:val="003A6FD6"/>
    <w:rsid w:val="003A714A"/>
    <w:rsid w:val="003A715E"/>
    <w:rsid w:val="003A7170"/>
    <w:rsid w:val="003A7333"/>
    <w:rsid w:val="003A769F"/>
    <w:rsid w:val="003A7797"/>
    <w:rsid w:val="003A78E7"/>
    <w:rsid w:val="003A7A4D"/>
    <w:rsid w:val="003B044E"/>
    <w:rsid w:val="003B073C"/>
    <w:rsid w:val="003B0927"/>
    <w:rsid w:val="003B1562"/>
    <w:rsid w:val="003B15FA"/>
    <w:rsid w:val="003B1862"/>
    <w:rsid w:val="003B19BB"/>
    <w:rsid w:val="003B19C5"/>
    <w:rsid w:val="003B1A51"/>
    <w:rsid w:val="003B1C53"/>
    <w:rsid w:val="003B1CEF"/>
    <w:rsid w:val="003B20D7"/>
    <w:rsid w:val="003B225A"/>
    <w:rsid w:val="003B2BB9"/>
    <w:rsid w:val="003B33D8"/>
    <w:rsid w:val="003B37FC"/>
    <w:rsid w:val="003B3CEA"/>
    <w:rsid w:val="003B3CFA"/>
    <w:rsid w:val="003B3EC3"/>
    <w:rsid w:val="003B41BA"/>
    <w:rsid w:val="003B4613"/>
    <w:rsid w:val="003B478C"/>
    <w:rsid w:val="003B4C7C"/>
    <w:rsid w:val="003B4DDF"/>
    <w:rsid w:val="003B4EC7"/>
    <w:rsid w:val="003B5304"/>
    <w:rsid w:val="003B55EE"/>
    <w:rsid w:val="003B6001"/>
    <w:rsid w:val="003B60DB"/>
    <w:rsid w:val="003B62C7"/>
    <w:rsid w:val="003B6316"/>
    <w:rsid w:val="003B6339"/>
    <w:rsid w:val="003B657B"/>
    <w:rsid w:val="003B6812"/>
    <w:rsid w:val="003B6E1B"/>
    <w:rsid w:val="003B6E63"/>
    <w:rsid w:val="003B6E78"/>
    <w:rsid w:val="003B6EBB"/>
    <w:rsid w:val="003B7355"/>
    <w:rsid w:val="003B7B51"/>
    <w:rsid w:val="003B7DA5"/>
    <w:rsid w:val="003C0122"/>
    <w:rsid w:val="003C0430"/>
    <w:rsid w:val="003C0569"/>
    <w:rsid w:val="003C0856"/>
    <w:rsid w:val="003C0AD4"/>
    <w:rsid w:val="003C0B69"/>
    <w:rsid w:val="003C0DDB"/>
    <w:rsid w:val="003C0EE2"/>
    <w:rsid w:val="003C1390"/>
    <w:rsid w:val="003C154C"/>
    <w:rsid w:val="003C173B"/>
    <w:rsid w:val="003C1A99"/>
    <w:rsid w:val="003C1B8F"/>
    <w:rsid w:val="003C1D99"/>
    <w:rsid w:val="003C259B"/>
    <w:rsid w:val="003C27B8"/>
    <w:rsid w:val="003C2819"/>
    <w:rsid w:val="003C2C0C"/>
    <w:rsid w:val="003C30AB"/>
    <w:rsid w:val="003C3202"/>
    <w:rsid w:val="003C3247"/>
    <w:rsid w:val="003C3B29"/>
    <w:rsid w:val="003C3B64"/>
    <w:rsid w:val="003C3B86"/>
    <w:rsid w:val="003C3F42"/>
    <w:rsid w:val="003C429F"/>
    <w:rsid w:val="003C49B2"/>
    <w:rsid w:val="003C512B"/>
    <w:rsid w:val="003C5182"/>
    <w:rsid w:val="003C55D8"/>
    <w:rsid w:val="003C55EF"/>
    <w:rsid w:val="003C5644"/>
    <w:rsid w:val="003C571A"/>
    <w:rsid w:val="003C58E0"/>
    <w:rsid w:val="003C5BC0"/>
    <w:rsid w:val="003C5D08"/>
    <w:rsid w:val="003C5DB7"/>
    <w:rsid w:val="003C6010"/>
    <w:rsid w:val="003C69C2"/>
    <w:rsid w:val="003C6E8B"/>
    <w:rsid w:val="003C715E"/>
    <w:rsid w:val="003C732E"/>
    <w:rsid w:val="003C7457"/>
    <w:rsid w:val="003C79A9"/>
    <w:rsid w:val="003C7A49"/>
    <w:rsid w:val="003C7A62"/>
    <w:rsid w:val="003C7C8B"/>
    <w:rsid w:val="003C7F54"/>
    <w:rsid w:val="003C7FBB"/>
    <w:rsid w:val="003D0231"/>
    <w:rsid w:val="003D03A5"/>
    <w:rsid w:val="003D0473"/>
    <w:rsid w:val="003D066C"/>
    <w:rsid w:val="003D07D3"/>
    <w:rsid w:val="003D0CE1"/>
    <w:rsid w:val="003D0DF2"/>
    <w:rsid w:val="003D0F73"/>
    <w:rsid w:val="003D1177"/>
    <w:rsid w:val="003D13E3"/>
    <w:rsid w:val="003D19CA"/>
    <w:rsid w:val="003D207C"/>
    <w:rsid w:val="003D2365"/>
    <w:rsid w:val="003D24F5"/>
    <w:rsid w:val="003D2578"/>
    <w:rsid w:val="003D2587"/>
    <w:rsid w:val="003D2E4F"/>
    <w:rsid w:val="003D32C4"/>
    <w:rsid w:val="003D338A"/>
    <w:rsid w:val="003D394A"/>
    <w:rsid w:val="003D398C"/>
    <w:rsid w:val="003D3B59"/>
    <w:rsid w:val="003D3BBB"/>
    <w:rsid w:val="003D3C10"/>
    <w:rsid w:val="003D4164"/>
    <w:rsid w:val="003D41B7"/>
    <w:rsid w:val="003D4322"/>
    <w:rsid w:val="003D4332"/>
    <w:rsid w:val="003D4370"/>
    <w:rsid w:val="003D438E"/>
    <w:rsid w:val="003D47EC"/>
    <w:rsid w:val="003D4CAF"/>
    <w:rsid w:val="003D4EFE"/>
    <w:rsid w:val="003D5074"/>
    <w:rsid w:val="003D537F"/>
    <w:rsid w:val="003D53EA"/>
    <w:rsid w:val="003D5411"/>
    <w:rsid w:val="003D5425"/>
    <w:rsid w:val="003D5594"/>
    <w:rsid w:val="003D57EB"/>
    <w:rsid w:val="003D59A3"/>
    <w:rsid w:val="003D5C73"/>
    <w:rsid w:val="003D5C97"/>
    <w:rsid w:val="003D5D7F"/>
    <w:rsid w:val="003D5ECC"/>
    <w:rsid w:val="003D5FB4"/>
    <w:rsid w:val="003D6224"/>
    <w:rsid w:val="003D646B"/>
    <w:rsid w:val="003D6519"/>
    <w:rsid w:val="003D6EEA"/>
    <w:rsid w:val="003D6FAC"/>
    <w:rsid w:val="003D70B9"/>
    <w:rsid w:val="003D70C8"/>
    <w:rsid w:val="003D70F2"/>
    <w:rsid w:val="003D721E"/>
    <w:rsid w:val="003D72E2"/>
    <w:rsid w:val="003D72E7"/>
    <w:rsid w:val="003D76E3"/>
    <w:rsid w:val="003D7A82"/>
    <w:rsid w:val="003D7B8E"/>
    <w:rsid w:val="003E05EC"/>
    <w:rsid w:val="003E0832"/>
    <w:rsid w:val="003E084A"/>
    <w:rsid w:val="003E0891"/>
    <w:rsid w:val="003E0A98"/>
    <w:rsid w:val="003E0BC7"/>
    <w:rsid w:val="003E0BD4"/>
    <w:rsid w:val="003E1014"/>
    <w:rsid w:val="003E106A"/>
    <w:rsid w:val="003E10BB"/>
    <w:rsid w:val="003E10BD"/>
    <w:rsid w:val="003E1283"/>
    <w:rsid w:val="003E1427"/>
    <w:rsid w:val="003E186E"/>
    <w:rsid w:val="003E1B20"/>
    <w:rsid w:val="003E1FBA"/>
    <w:rsid w:val="003E2036"/>
    <w:rsid w:val="003E219E"/>
    <w:rsid w:val="003E22DA"/>
    <w:rsid w:val="003E26E5"/>
    <w:rsid w:val="003E2C7C"/>
    <w:rsid w:val="003E2E77"/>
    <w:rsid w:val="003E2F87"/>
    <w:rsid w:val="003E318F"/>
    <w:rsid w:val="003E31A7"/>
    <w:rsid w:val="003E31D4"/>
    <w:rsid w:val="003E33EC"/>
    <w:rsid w:val="003E34C2"/>
    <w:rsid w:val="003E38E8"/>
    <w:rsid w:val="003E3C00"/>
    <w:rsid w:val="003E3CD4"/>
    <w:rsid w:val="003E3F43"/>
    <w:rsid w:val="003E43BB"/>
    <w:rsid w:val="003E4661"/>
    <w:rsid w:val="003E46DB"/>
    <w:rsid w:val="003E489B"/>
    <w:rsid w:val="003E4E8D"/>
    <w:rsid w:val="003E4F55"/>
    <w:rsid w:val="003E52AC"/>
    <w:rsid w:val="003E533F"/>
    <w:rsid w:val="003E54B0"/>
    <w:rsid w:val="003E54DA"/>
    <w:rsid w:val="003E5755"/>
    <w:rsid w:val="003E58C0"/>
    <w:rsid w:val="003E5D31"/>
    <w:rsid w:val="003E6054"/>
    <w:rsid w:val="003E626C"/>
    <w:rsid w:val="003E6482"/>
    <w:rsid w:val="003E683F"/>
    <w:rsid w:val="003E68AC"/>
    <w:rsid w:val="003E6969"/>
    <w:rsid w:val="003E6A23"/>
    <w:rsid w:val="003E6B54"/>
    <w:rsid w:val="003E6D15"/>
    <w:rsid w:val="003E6E3A"/>
    <w:rsid w:val="003E6E50"/>
    <w:rsid w:val="003E72FB"/>
    <w:rsid w:val="003E7C13"/>
    <w:rsid w:val="003F0482"/>
    <w:rsid w:val="003F05FF"/>
    <w:rsid w:val="003F0829"/>
    <w:rsid w:val="003F0945"/>
    <w:rsid w:val="003F0BE1"/>
    <w:rsid w:val="003F0DB0"/>
    <w:rsid w:val="003F0DB8"/>
    <w:rsid w:val="003F0DF7"/>
    <w:rsid w:val="003F0E0F"/>
    <w:rsid w:val="003F0FBB"/>
    <w:rsid w:val="003F1013"/>
    <w:rsid w:val="003F1419"/>
    <w:rsid w:val="003F156F"/>
    <w:rsid w:val="003F17A8"/>
    <w:rsid w:val="003F1C50"/>
    <w:rsid w:val="003F1CDF"/>
    <w:rsid w:val="003F1D50"/>
    <w:rsid w:val="003F285F"/>
    <w:rsid w:val="003F2968"/>
    <w:rsid w:val="003F2BB0"/>
    <w:rsid w:val="003F2CE9"/>
    <w:rsid w:val="003F30C8"/>
    <w:rsid w:val="003F34D9"/>
    <w:rsid w:val="003F3503"/>
    <w:rsid w:val="003F369B"/>
    <w:rsid w:val="003F3960"/>
    <w:rsid w:val="003F3B67"/>
    <w:rsid w:val="003F3CA0"/>
    <w:rsid w:val="003F3D7F"/>
    <w:rsid w:val="003F3E04"/>
    <w:rsid w:val="003F3EE2"/>
    <w:rsid w:val="003F43A2"/>
    <w:rsid w:val="003F4464"/>
    <w:rsid w:val="003F44D1"/>
    <w:rsid w:val="003F46AD"/>
    <w:rsid w:val="003F4768"/>
    <w:rsid w:val="003F4808"/>
    <w:rsid w:val="003F4DBF"/>
    <w:rsid w:val="003F4F2E"/>
    <w:rsid w:val="003F5128"/>
    <w:rsid w:val="003F535B"/>
    <w:rsid w:val="003F53A2"/>
    <w:rsid w:val="003F53D1"/>
    <w:rsid w:val="003F5487"/>
    <w:rsid w:val="003F582E"/>
    <w:rsid w:val="003F5E85"/>
    <w:rsid w:val="003F672E"/>
    <w:rsid w:val="003F6805"/>
    <w:rsid w:val="003F6EAC"/>
    <w:rsid w:val="003F6FE7"/>
    <w:rsid w:val="003F76AA"/>
    <w:rsid w:val="003F7826"/>
    <w:rsid w:val="003F7996"/>
    <w:rsid w:val="003F7D29"/>
    <w:rsid w:val="003F7D46"/>
    <w:rsid w:val="00400334"/>
    <w:rsid w:val="0040054B"/>
    <w:rsid w:val="00400643"/>
    <w:rsid w:val="00400AE1"/>
    <w:rsid w:val="00400DBF"/>
    <w:rsid w:val="004012B4"/>
    <w:rsid w:val="00401361"/>
    <w:rsid w:val="0040140D"/>
    <w:rsid w:val="004015B0"/>
    <w:rsid w:val="004016FB"/>
    <w:rsid w:val="0040180D"/>
    <w:rsid w:val="00401823"/>
    <w:rsid w:val="004022EB"/>
    <w:rsid w:val="00402351"/>
    <w:rsid w:val="0040281E"/>
    <w:rsid w:val="00402A24"/>
    <w:rsid w:val="00402AEB"/>
    <w:rsid w:val="00402B2B"/>
    <w:rsid w:val="00402D20"/>
    <w:rsid w:val="00402D34"/>
    <w:rsid w:val="00402FD9"/>
    <w:rsid w:val="004030A3"/>
    <w:rsid w:val="004037CA"/>
    <w:rsid w:val="00403B85"/>
    <w:rsid w:val="0040403E"/>
    <w:rsid w:val="00404503"/>
    <w:rsid w:val="0040457F"/>
    <w:rsid w:val="004045B0"/>
    <w:rsid w:val="00404770"/>
    <w:rsid w:val="00404779"/>
    <w:rsid w:val="00404975"/>
    <w:rsid w:val="004049A6"/>
    <w:rsid w:val="004049E0"/>
    <w:rsid w:val="00404A41"/>
    <w:rsid w:val="00404B11"/>
    <w:rsid w:val="00404B5A"/>
    <w:rsid w:val="00404DC2"/>
    <w:rsid w:val="0040502D"/>
    <w:rsid w:val="004051D4"/>
    <w:rsid w:val="004054D2"/>
    <w:rsid w:val="00405538"/>
    <w:rsid w:val="004056EF"/>
    <w:rsid w:val="00405C5D"/>
    <w:rsid w:val="00405D2B"/>
    <w:rsid w:val="00405D68"/>
    <w:rsid w:val="00406346"/>
    <w:rsid w:val="00406A4C"/>
    <w:rsid w:val="00406AD0"/>
    <w:rsid w:val="00406BB5"/>
    <w:rsid w:val="00406BD3"/>
    <w:rsid w:val="00406E5D"/>
    <w:rsid w:val="00410346"/>
    <w:rsid w:val="004104F3"/>
    <w:rsid w:val="00410689"/>
    <w:rsid w:val="00410725"/>
    <w:rsid w:val="0041097F"/>
    <w:rsid w:val="004109AD"/>
    <w:rsid w:val="00410C7B"/>
    <w:rsid w:val="00410FD4"/>
    <w:rsid w:val="004112A2"/>
    <w:rsid w:val="0041155B"/>
    <w:rsid w:val="00411D1E"/>
    <w:rsid w:val="00411F62"/>
    <w:rsid w:val="00412179"/>
    <w:rsid w:val="004121F8"/>
    <w:rsid w:val="00412308"/>
    <w:rsid w:val="00412A40"/>
    <w:rsid w:val="00412CAD"/>
    <w:rsid w:val="00413128"/>
    <w:rsid w:val="00413220"/>
    <w:rsid w:val="004134A2"/>
    <w:rsid w:val="00413591"/>
    <w:rsid w:val="00413B4E"/>
    <w:rsid w:val="00413D16"/>
    <w:rsid w:val="00413F97"/>
    <w:rsid w:val="00413FD1"/>
    <w:rsid w:val="004140B2"/>
    <w:rsid w:val="004140B4"/>
    <w:rsid w:val="00414A1A"/>
    <w:rsid w:val="00414DF6"/>
    <w:rsid w:val="0041505C"/>
    <w:rsid w:val="0041540A"/>
    <w:rsid w:val="004154C6"/>
    <w:rsid w:val="00415598"/>
    <w:rsid w:val="0041581D"/>
    <w:rsid w:val="00415B3A"/>
    <w:rsid w:val="00415BB9"/>
    <w:rsid w:val="00415C9E"/>
    <w:rsid w:val="00415CB2"/>
    <w:rsid w:val="0041605E"/>
    <w:rsid w:val="00416348"/>
    <w:rsid w:val="00416539"/>
    <w:rsid w:val="00416979"/>
    <w:rsid w:val="004169A4"/>
    <w:rsid w:val="004169EE"/>
    <w:rsid w:val="00416C2E"/>
    <w:rsid w:val="00416C65"/>
    <w:rsid w:val="00416D55"/>
    <w:rsid w:val="0041718F"/>
    <w:rsid w:val="0041744F"/>
    <w:rsid w:val="0041753B"/>
    <w:rsid w:val="00417780"/>
    <w:rsid w:val="00417925"/>
    <w:rsid w:val="00417A22"/>
    <w:rsid w:val="00417F58"/>
    <w:rsid w:val="00420045"/>
    <w:rsid w:val="0042024A"/>
    <w:rsid w:val="00420321"/>
    <w:rsid w:val="00420AD7"/>
    <w:rsid w:val="00420AE2"/>
    <w:rsid w:val="00420BFF"/>
    <w:rsid w:val="00420D84"/>
    <w:rsid w:val="004211ED"/>
    <w:rsid w:val="004212C5"/>
    <w:rsid w:val="004213CC"/>
    <w:rsid w:val="00421688"/>
    <w:rsid w:val="004218B8"/>
    <w:rsid w:val="00421A61"/>
    <w:rsid w:val="00421BE6"/>
    <w:rsid w:val="00421C06"/>
    <w:rsid w:val="0042232E"/>
    <w:rsid w:val="004223A6"/>
    <w:rsid w:val="00422820"/>
    <w:rsid w:val="00422D50"/>
    <w:rsid w:val="00422D90"/>
    <w:rsid w:val="0042300B"/>
    <w:rsid w:val="00423077"/>
    <w:rsid w:val="00423110"/>
    <w:rsid w:val="0042338F"/>
    <w:rsid w:val="00423F28"/>
    <w:rsid w:val="0042423A"/>
    <w:rsid w:val="00424290"/>
    <w:rsid w:val="00424496"/>
    <w:rsid w:val="0042494D"/>
    <w:rsid w:val="00424EE6"/>
    <w:rsid w:val="00424F63"/>
    <w:rsid w:val="00425199"/>
    <w:rsid w:val="004252D0"/>
    <w:rsid w:val="00425416"/>
    <w:rsid w:val="00425D57"/>
    <w:rsid w:val="00426000"/>
    <w:rsid w:val="00426314"/>
    <w:rsid w:val="004263EE"/>
    <w:rsid w:val="00426E62"/>
    <w:rsid w:val="00426F46"/>
    <w:rsid w:val="0042714D"/>
    <w:rsid w:val="00427226"/>
    <w:rsid w:val="0042753B"/>
    <w:rsid w:val="00427CAB"/>
    <w:rsid w:val="00430331"/>
    <w:rsid w:val="0043077C"/>
    <w:rsid w:val="00430A8D"/>
    <w:rsid w:val="00431367"/>
    <w:rsid w:val="004317EB"/>
    <w:rsid w:val="00431A9E"/>
    <w:rsid w:val="00431BDF"/>
    <w:rsid w:val="00431F43"/>
    <w:rsid w:val="00431FBD"/>
    <w:rsid w:val="00432034"/>
    <w:rsid w:val="00432112"/>
    <w:rsid w:val="004321AD"/>
    <w:rsid w:val="004328E5"/>
    <w:rsid w:val="00432CB9"/>
    <w:rsid w:val="00432F22"/>
    <w:rsid w:val="004330CE"/>
    <w:rsid w:val="004331AA"/>
    <w:rsid w:val="00433445"/>
    <w:rsid w:val="00433AF1"/>
    <w:rsid w:val="00433B47"/>
    <w:rsid w:val="00433B8B"/>
    <w:rsid w:val="004340F4"/>
    <w:rsid w:val="00434407"/>
    <w:rsid w:val="00434448"/>
    <w:rsid w:val="00434770"/>
    <w:rsid w:val="00434965"/>
    <w:rsid w:val="00434D87"/>
    <w:rsid w:val="004350D1"/>
    <w:rsid w:val="004351C9"/>
    <w:rsid w:val="004352B0"/>
    <w:rsid w:val="0043530D"/>
    <w:rsid w:val="004353F1"/>
    <w:rsid w:val="00435805"/>
    <w:rsid w:val="004359A6"/>
    <w:rsid w:val="00435BB9"/>
    <w:rsid w:val="00435C3A"/>
    <w:rsid w:val="00435DE1"/>
    <w:rsid w:val="00436571"/>
    <w:rsid w:val="00436812"/>
    <w:rsid w:val="00436837"/>
    <w:rsid w:val="00436857"/>
    <w:rsid w:val="00436A0F"/>
    <w:rsid w:val="00436D2C"/>
    <w:rsid w:val="00436E14"/>
    <w:rsid w:val="00437417"/>
    <w:rsid w:val="004374AB"/>
    <w:rsid w:val="00437824"/>
    <w:rsid w:val="004378DB"/>
    <w:rsid w:val="00437AC0"/>
    <w:rsid w:val="00437B7C"/>
    <w:rsid w:val="00437DCF"/>
    <w:rsid w:val="00440048"/>
    <w:rsid w:val="0044066D"/>
    <w:rsid w:val="004409D6"/>
    <w:rsid w:val="00440B9F"/>
    <w:rsid w:val="00440F3F"/>
    <w:rsid w:val="0044105C"/>
    <w:rsid w:val="004410DC"/>
    <w:rsid w:val="00441447"/>
    <w:rsid w:val="004415AF"/>
    <w:rsid w:val="00442523"/>
    <w:rsid w:val="004425B1"/>
    <w:rsid w:val="004426E2"/>
    <w:rsid w:val="004427DD"/>
    <w:rsid w:val="00442AAE"/>
    <w:rsid w:val="0044322E"/>
    <w:rsid w:val="0044326C"/>
    <w:rsid w:val="0044327B"/>
    <w:rsid w:val="004434A5"/>
    <w:rsid w:val="004435AA"/>
    <w:rsid w:val="00443771"/>
    <w:rsid w:val="00443966"/>
    <w:rsid w:val="00443F43"/>
    <w:rsid w:val="00443F6E"/>
    <w:rsid w:val="00444001"/>
    <w:rsid w:val="0044421B"/>
    <w:rsid w:val="0044441A"/>
    <w:rsid w:val="0044454A"/>
    <w:rsid w:val="00444816"/>
    <w:rsid w:val="004448E0"/>
    <w:rsid w:val="004449A8"/>
    <w:rsid w:val="00445168"/>
    <w:rsid w:val="00445282"/>
    <w:rsid w:val="00445491"/>
    <w:rsid w:val="004454AD"/>
    <w:rsid w:val="0044564E"/>
    <w:rsid w:val="00445ADC"/>
    <w:rsid w:val="00445B11"/>
    <w:rsid w:val="00445C71"/>
    <w:rsid w:val="00445D80"/>
    <w:rsid w:val="00445FB5"/>
    <w:rsid w:val="004469FA"/>
    <w:rsid w:val="00446A65"/>
    <w:rsid w:val="00446C5A"/>
    <w:rsid w:val="00446DA1"/>
    <w:rsid w:val="00446ED1"/>
    <w:rsid w:val="00446FD2"/>
    <w:rsid w:val="0044705B"/>
    <w:rsid w:val="00447522"/>
    <w:rsid w:val="0045001B"/>
    <w:rsid w:val="00450243"/>
    <w:rsid w:val="00450311"/>
    <w:rsid w:val="00450D3F"/>
    <w:rsid w:val="00450DB9"/>
    <w:rsid w:val="00450ECC"/>
    <w:rsid w:val="004512DE"/>
    <w:rsid w:val="004513BC"/>
    <w:rsid w:val="004513EF"/>
    <w:rsid w:val="00451508"/>
    <w:rsid w:val="0045190E"/>
    <w:rsid w:val="00451974"/>
    <w:rsid w:val="00451E42"/>
    <w:rsid w:val="00451EFD"/>
    <w:rsid w:val="00451F29"/>
    <w:rsid w:val="00451F52"/>
    <w:rsid w:val="00452B8F"/>
    <w:rsid w:val="00452C54"/>
    <w:rsid w:val="00452D83"/>
    <w:rsid w:val="00452E3E"/>
    <w:rsid w:val="00452E79"/>
    <w:rsid w:val="004534CD"/>
    <w:rsid w:val="004544BB"/>
    <w:rsid w:val="004547EB"/>
    <w:rsid w:val="00454936"/>
    <w:rsid w:val="00454BF6"/>
    <w:rsid w:val="00454EDD"/>
    <w:rsid w:val="0045500C"/>
    <w:rsid w:val="004550A4"/>
    <w:rsid w:val="004557AA"/>
    <w:rsid w:val="004560AD"/>
    <w:rsid w:val="004564A9"/>
    <w:rsid w:val="004565E1"/>
    <w:rsid w:val="00456654"/>
    <w:rsid w:val="0045669E"/>
    <w:rsid w:val="004566A5"/>
    <w:rsid w:val="004568CD"/>
    <w:rsid w:val="00456B9B"/>
    <w:rsid w:val="00456E02"/>
    <w:rsid w:val="00456E92"/>
    <w:rsid w:val="00457079"/>
    <w:rsid w:val="00457541"/>
    <w:rsid w:val="00457859"/>
    <w:rsid w:val="0045788B"/>
    <w:rsid w:val="00457CF8"/>
    <w:rsid w:val="00457D17"/>
    <w:rsid w:val="00457F4B"/>
    <w:rsid w:val="004603A6"/>
    <w:rsid w:val="004606D5"/>
    <w:rsid w:val="004609DF"/>
    <w:rsid w:val="00460A27"/>
    <w:rsid w:val="00460DF4"/>
    <w:rsid w:val="00460F91"/>
    <w:rsid w:val="0046108E"/>
    <w:rsid w:val="004611DC"/>
    <w:rsid w:val="004616FE"/>
    <w:rsid w:val="004617FB"/>
    <w:rsid w:val="00461C97"/>
    <w:rsid w:val="00461CE5"/>
    <w:rsid w:val="0046209C"/>
    <w:rsid w:val="00462224"/>
    <w:rsid w:val="00462418"/>
    <w:rsid w:val="00462544"/>
    <w:rsid w:val="00462814"/>
    <w:rsid w:val="00462C3A"/>
    <w:rsid w:val="0046310B"/>
    <w:rsid w:val="004634B5"/>
    <w:rsid w:val="004634ED"/>
    <w:rsid w:val="004637C8"/>
    <w:rsid w:val="0046390E"/>
    <w:rsid w:val="00463BCA"/>
    <w:rsid w:val="00463C7A"/>
    <w:rsid w:val="00463F93"/>
    <w:rsid w:val="004640DF"/>
    <w:rsid w:val="004641B5"/>
    <w:rsid w:val="004642DE"/>
    <w:rsid w:val="00464A41"/>
    <w:rsid w:val="00465132"/>
    <w:rsid w:val="004651B0"/>
    <w:rsid w:val="004653B1"/>
    <w:rsid w:val="004654E2"/>
    <w:rsid w:val="00465503"/>
    <w:rsid w:val="0046573C"/>
    <w:rsid w:val="00465CE3"/>
    <w:rsid w:val="0046634C"/>
    <w:rsid w:val="0046688C"/>
    <w:rsid w:val="00466DCB"/>
    <w:rsid w:val="00466E76"/>
    <w:rsid w:val="00466E9B"/>
    <w:rsid w:val="00466FC5"/>
    <w:rsid w:val="004671EF"/>
    <w:rsid w:val="00467435"/>
    <w:rsid w:val="00467572"/>
    <w:rsid w:val="00467714"/>
    <w:rsid w:val="00467958"/>
    <w:rsid w:val="00467B09"/>
    <w:rsid w:val="00467FB6"/>
    <w:rsid w:val="00470688"/>
    <w:rsid w:val="004709C3"/>
    <w:rsid w:val="00470DA6"/>
    <w:rsid w:val="00470EBD"/>
    <w:rsid w:val="004711BE"/>
    <w:rsid w:val="004711C0"/>
    <w:rsid w:val="00471931"/>
    <w:rsid w:val="00471970"/>
    <w:rsid w:val="00471DAB"/>
    <w:rsid w:val="00472168"/>
    <w:rsid w:val="0047224D"/>
    <w:rsid w:val="00472260"/>
    <w:rsid w:val="004722A8"/>
    <w:rsid w:val="004722FE"/>
    <w:rsid w:val="00472398"/>
    <w:rsid w:val="0047249C"/>
    <w:rsid w:val="00472502"/>
    <w:rsid w:val="00472C3B"/>
    <w:rsid w:val="00472D95"/>
    <w:rsid w:val="004731B8"/>
    <w:rsid w:val="004731CD"/>
    <w:rsid w:val="004732F4"/>
    <w:rsid w:val="00473558"/>
    <w:rsid w:val="00473815"/>
    <w:rsid w:val="00473912"/>
    <w:rsid w:val="00473AFD"/>
    <w:rsid w:val="00473B06"/>
    <w:rsid w:val="00473BD9"/>
    <w:rsid w:val="00473CE8"/>
    <w:rsid w:val="00473E54"/>
    <w:rsid w:val="00473F36"/>
    <w:rsid w:val="0047408B"/>
    <w:rsid w:val="0047455B"/>
    <w:rsid w:val="0047475B"/>
    <w:rsid w:val="00474EB1"/>
    <w:rsid w:val="004751CB"/>
    <w:rsid w:val="00475849"/>
    <w:rsid w:val="00475E1C"/>
    <w:rsid w:val="00475E9D"/>
    <w:rsid w:val="00475EE8"/>
    <w:rsid w:val="004761F2"/>
    <w:rsid w:val="004763C4"/>
    <w:rsid w:val="0047647E"/>
    <w:rsid w:val="004766E5"/>
    <w:rsid w:val="004766ED"/>
    <w:rsid w:val="0047692C"/>
    <w:rsid w:val="00476A5D"/>
    <w:rsid w:val="00476F22"/>
    <w:rsid w:val="00476FCD"/>
    <w:rsid w:val="00477193"/>
    <w:rsid w:val="004771AE"/>
    <w:rsid w:val="004771BA"/>
    <w:rsid w:val="00477269"/>
    <w:rsid w:val="00477309"/>
    <w:rsid w:val="00477BD6"/>
    <w:rsid w:val="00477D11"/>
    <w:rsid w:val="004803BD"/>
    <w:rsid w:val="004808CB"/>
    <w:rsid w:val="00480C31"/>
    <w:rsid w:val="00480EAB"/>
    <w:rsid w:val="004810E6"/>
    <w:rsid w:val="00481119"/>
    <w:rsid w:val="00481548"/>
    <w:rsid w:val="0048190E"/>
    <w:rsid w:val="004819D8"/>
    <w:rsid w:val="0048204F"/>
    <w:rsid w:val="004820D2"/>
    <w:rsid w:val="00482176"/>
    <w:rsid w:val="004823E7"/>
    <w:rsid w:val="004828E2"/>
    <w:rsid w:val="00483569"/>
    <w:rsid w:val="004836E6"/>
    <w:rsid w:val="00483707"/>
    <w:rsid w:val="00483A50"/>
    <w:rsid w:val="00483C61"/>
    <w:rsid w:val="00483D21"/>
    <w:rsid w:val="0048417E"/>
    <w:rsid w:val="004842AB"/>
    <w:rsid w:val="00484403"/>
    <w:rsid w:val="00484B6A"/>
    <w:rsid w:val="00484BFA"/>
    <w:rsid w:val="00484E5A"/>
    <w:rsid w:val="00484EE6"/>
    <w:rsid w:val="00484F8A"/>
    <w:rsid w:val="004854A2"/>
    <w:rsid w:val="004855C0"/>
    <w:rsid w:val="00485621"/>
    <w:rsid w:val="00485AB6"/>
    <w:rsid w:val="00485C64"/>
    <w:rsid w:val="00486625"/>
    <w:rsid w:val="004866B1"/>
    <w:rsid w:val="00486873"/>
    <w:rsid w:val="00487557"/>
    <w:rsid w:val="004875BB"/>
    <w:rsid w:val="004875F1"/>
    <w:rsid w:val="0048781A"/>
    <w:rsid w:val="0048791B"/>
    <w:rsid w:val="00487DDB"/>
    <w:rsid w:val="0049028D"/>
    <w:rsid w:val="0049058B"/>
    <w:rsid w:val="00490923"/>
    <w:rsid w:val="004909EE"/>
    <w:rsid w:val="00490BCD"/>
    <w:rsid w:val="00490D51"/>
    <w:rsid w:val="0049136D"/>
    <w:rsid w:val="00491ABC"/>
    <w:rsid w:val="00491B41"/>
    <w:rsid w:val="004922B5"/>
    <w:rsid w:val="004924EC"/>
    <w:rsid w:val="0049260B"/>
    <w:rsid w:val="00492907"/>
    <w:rsid w:val="00492AE5"/>
    <w:rsid w:val="00492AFC"/>
    <w:rsid w:val="00492B1E"/>
    <w:rsid w:val="00492C08"/>
    <w:rsid w:val="00492EE9"/>
    <w:rsid w:val="0049315A"/>
    <w:rsid w:val="0049336E"/>
    <w:rsid w:val="004943C2"/>
    <w:rsid w:val="00494E59"/>
    <w:rsid w:val="004951EF"/>
    <w:rsid w:val="00495BAA"/>
    <w:rsid w:val="00495C9E"/>
    <w:rsid w:val="00495CA6"/>
    <w:rsid w:val="00495D4E"/>
    <w:rsid w:val="00495E06"/>
    <w:rsid w:val="00495F5C"/>
    <w:rsid w:val="004960AD"/>
    <w:rsid w:val="004961F9"/>
    <w:rsid w:val="0049623E"/>
    <w:rsid w:val="0049625C"/>
    <w:rsid w:val="004963B3"/>
    <w:rsid w:val="004964B7"/>
    <w:rsid w:val="004965B5"/>
    <w:rsid w:val="00496D03"/>
    <w:rsid w:val="0049747C"/>
    <w:rsid w:val="004976D5"/>
    <w:rsid w:val="00497E4A"/>
    <w:rsid w:val="004A06AC"/>
    <w:rsid w:val="004A1360"/>
    <w:rsid w:val="004A14A4"/>
    <w:rsid w:val="004A1575"/>
    <w:rsid w:val="004A159F"/>
    <w:rsid w:val="004A1684"/>
    <w:rsid w:val="004A177F"/>
    <w:rsid w:val="004A19F5"/>
    <w:rsid w:val="004A1C6B"/>
    <w:rsid w:val="004A2064"/>
    <w:rsid w:val="004A2708"/>
    <w:rsid w:val="004A293B"/>
    <w:rsid w:val="004A297A"/>
    <w:rsid w:val="004A29E9"/>
    <w:rsid w:val="004A2A4F"/>
    <w:rsid w:val="004A2C7A"/>
    <w:rsid w:val="004A2CCA"/>
    <w:rsid w:val="004A2DAC"/>
    <w:rsid w:val="004A3116"/>
    <w:rsid w:val="004A33C3"/>
    <w:rsid w:val="004A3516"/>
    <w:rsid w:val="004A3788"/>
    <w:rsid w:val="004A3885"/>
    <w:rsid w:val="004A3BAD"/>
    <w:rsid w:val="004A3E20"/>
    <w:rsid w:val="004A4353"/>
    <w:rsid w:val="004A44E3"/>
    <w:rsid w:val="004A49D4"/>
    <w:rsid w:val="004A4A10"/>
    <w:rsid w:val="004A4C9C"/>
    <w:rsid w:val="004A4D11"/>
    <w:rsid w:val="004A4FEA"/>
    <w:rsid w:val="004A50FA"/>
    <w:rsid w:val="004A5252"/>
    <w:rsid w:val="004A5634"/>
    <w:rsid w:val="004A5643"/>
    <w:rsid w:val="004A56B9"/>
    <w:rsid w:val="004A5832"/>
    <w:rsid w:val="004A59EA"/>
    <w:rsid w:val="004A5A28"/>
    <w:rsid w:val="004A61E7"/>
    <w:rsid w:val="004A6314"/>
    <w:rsid w:val="004A6547"/>
    <w:rsid w:val="004A6A7F"/>
    <w:rsid w:val="004A6E4A"/>
    <w:rsid w:val="004A70B8"/>
    <w:rsid w:val="004A75D3"/>
    <w:rsid w:val="004A787A"/>
    <w:rsid w:val="004A7B63"/>
    <w:rsid w:val="004A7C01"/>
    <w:rsid w:val="004B01F9"/>
    <w:rsid w:val="004B022B"/>
    <w:rsid w:val="004B028B"/>
    <w:rsid w:val="004B02A9"/>
    <w:rsid w:val="004B068F"/>
    <w:rsid w:val="004B0928"/>
    <w:rsid w:val="004B0A59"/>
    <w:rsid w:val="004B113B"/>
    <w:rsid w:val="004B1166"/>
    <w:rsid w:val="004B13DA"/>
    <w:rsid w:val="004B17A2"/>
    <w:rsid w:val="004B1AA9"/>
    <w:rsid w:val="004B1D0B"/>
    <w:rsid w:val="004B1FA6"/>
    <w:rsid w:val="004B200E"/>
    <w:rsid w:val="004B2069"/>
    <w:rsid w:val="004B2736"/>
    <w:rsid w:val="004B2906"/>
    <w:rsid w:val="004B29E4"/>
    <w:rsid w:val="004B2ACC"/>
    <w:rsid w:val="004B2DC2"/>
    <w:rsid w:val="004B2FCD"/>
    <w:rsid w:val="004B3825"/>
    <w:rsid w:val="004B398F"/>
    <w:rsid w:val="004B3993"/>
    <w:rsid w:val="004B3AED"/>
    <w:rsid w:val="004B3C85"/>
    <w:rsid w:val="004B3DBD"/>
    <w:rsid w:val="004B3E26"/>
    <w:rsid w:val="004B3EB9"/>
    <w:rsid w:val="004B3EFE"/>
    <w:rsid w:val="004B458A"/>
    <w:rsid w:val="004B468F"/>
    <w:rsid w:val="004B47DF"/>
    <w:rsid w:val="004B47F5"/>
    <w:rsid w:val="004B5010"/>
    <w:rsid w:val="004B52C7"/>
    <w:rsid w:val="004B5980"/>
    <w:rsid w:val="004B59CE"/>
    <w:rsid w:val="004B5A6B"/>
    <w:rsid w:val="004B5CF4"/>
    <w:rsid w:val="004B5DC0"/>
    <w:rsid w:val="004B5F81"/>
    <w:rsid w:val="004B60B7"/>
    <w:rsid w:val="004B62A7"/>
    <w:rsid w:val="004B6334"/>
    <w:rsid w:val="004B651D"/>
    <w:rsid w:val="004B6541"/>
    <w:rsid w:val="004B6585"/>
    <w:rsid w:val="004B65B4"/>
    <w:rsid w:val="004B6A21"/>
    <w:rsid w:val="004B6B7B"/>
    <w:rsid w:val="004B6C54"/>
    <w:rsid w:val="004B6DCE"/>
    <w:rsid w:val="004B7457"/>
    <w:rsid w:val="004B7985"/>
    <w:rsid w:val="004B7AE2"/>
    <w:rsid w:val="004B7CE7"/>
    <w:rsid w:val="004C01CE"/>
    <w:rsid w:val="004C0226"/>
    <w:rsid w:val="004C06CB"/>
    <w:rsid w:val="004C0B24"/>
    <w:rsid w:val="004C0D28"/>
    <w:rsid w:val="004C0EAE"/>
    <w:rsid w:val="004C1256"/>
    <w:rsid w:val="004C1369"/>
    <w:rsid w:val="004C13D2"/>
    <w:rsid w:val="004C1492"/>
    <w:rsid w:val="004C1672"/>
    <w:rsid w:val="004C1D3E"/>
    <w:rsid w:val="004C24C2"/>
    <w:rsid w:val="004C29C2"/>
    <w:rsid w:val="004C2B24"/>
    <w:rsid w:val="004C2FEF"/>
    <w:rsid w:val="004C310E"/>
    <w:rsid w:val="004C358C"/>
    <w:rsid w:val="004C387D"/>
    <w:rsid w:val="004C3BCA"/>
    <w:rsid w:val="004C3E2B"/>
    <w:rsid w:val="004C4335"/>
    <w:rsid w:val="004C4402"/>
    <w:rsid w:val="004C4660"/>
    <w:rsid w:val="004C471A"/>
    <w:rsid w:val="004C498E"/>
    <w:rsid w:val="004C4C25"/>
    <w:rsid w:val="004C4F4E"/>
    <w:rsid w:val="004C54E8"/>
    <w:rsid w:val="004C5D34"/>
    <w:rsid w:val="004C5F38"/>
    <w:rsid w:val="004C5F96"/>
    <w:rsid w:val="004C608A"/>
    <w:rsid w:val="004C60EF"/>
    <w:rsid w:val="004C6184"/>
    <w:rsid w:val="004C61D3"/>
    <w:rsid w:val="004C6638"/>
    <w:rsid w:val="004C68A3"/>
    <w:rsid w:val="004C6C46"/>
    <w:rsid w:val="004C6EE7"/>
    <w:rsid w:val="004C6F29"/>
    <w:rsid w:val="004C7078"/>
    <w:rsid w:val="004C7150"/>
    <w:rsid w:val="004C7171"/>
    <w:rsid w:val="004C7398"/>
    <w:rsid w:val="004C7606"/>
    <w:rsid w:val="004C7771"/>
    <w:rsid w:val="004D0165"/>
    <w:rsid w:val="004D0201"/>
    <w:rsid w:val="004D03BA"/>
    <w:rsid w:val="004D07B2"/>
    <w:rsid w:val="004D0A0C"/>
    <w:rsid w:val="004D13B9"/>
    <w:rsid w:val="004D1693"/>
    <w:rsid w:val="004D19B4"/>
    <w:rsid w:val="004D1C45"/>
    <w:rsid w:val="004D1F99"/>
    <w:rsid w:val="004D2025"/>
    <w:rsid w:val="004D23CE"/>
    <w:rsid w:val="004D25F1"/>
    <w:rsid w:val="004D25F3"/>
    <w:rsid w:val="004D300C"/>
    <w:rsid w:val="004D3045"/>
    <w:rsid w:val="004D31A1"/>
    <w:rsid w:val="004D334B"/>
    <w:rsid w:val="004D349B"/>
    <w:rsid w:val="004D35C3"/>
    <w:rsid w:val="004D4220"/>
    <w:rsid w:val="004D43D8"/>
    <w:rsid w:val="004D43FA"/>
    <w:rsid w:val="004D45F2"/>
    <w:rsid w:val="004D47CF"/>
    <w:rsid w:val="004D4914"/>
    <w:rsid w:val="004D5CD1"/>
    <w:rsid w:val="004D5E0E"/>
    <w:rsid w:val="004D5EC9"/>
    <w:rsid w:val="004D6068"/>
    <w:rsid w:val="004D6279"/>
    <w:rsid w:val="004D63F6"/>
    <w:rsid w:val="004D6A1B"/>
    <w:rsid w:val="004D6C49"/>
    <w:rsid w:val="004D6D84"/>
    <w:rsid w:val="004D6E7E"/>
    <w:rsid w:val="004D6F56"/>
    <w:rsid w:val="004D72DC"/>
    <w:rsid w:val="004D7C07"/>
    <w:rsid w:val="004D7C30"/>
    <w:rsid w:val="004D7DD6"/>
    <w:rsid w:val="004E02DF"/>
    <w:rsid w:val="004E0662"/>
    <w:rsid w:val="004E0AE2"/>
    <w:rsid w:val="004E0C4D"/>
    <w:rsid w:val="004E0FB7"/>
    <w:rsid w:val="004E104A"/>
    <w:rsid w:val="004E1083"/>
    <w:rsid w:val="004E10F6"/>
    <w:rsid w:val="004E150B"/>
    <w:rsid w:val="004E16BB"/>
    <w:rsid w:val="004E1714"/>
    <w:rsid w:val="004E1BE1"/>
    <w:rsid w:val="004E1C45"/>
    <w:rsid w:val="004E1CA3"/>
    <w:rsid w:val="004E1FA7"/>
    <w:rsid w:val="004E2078"/>
    <w:rsid w:val="004E20B6"/>
    <w:rsid w:val="004E21E7"/>
    <w:rsid w:val="004E2436"/>
    <w:rsid w:val="004E24E9"/>
    <w:rsid w:val="004E261B"/>
    <w:rsid w:val="004E28BE"/>
    <w:rsid w:val="004E2985"/>
    <w:rsid w:val="004E2C03"/>
    <w:rsid w:val="004E2CD8"/>
    <w:rsid w:val="004E32A0"/>
    <w:rsid w:val="004E3634"/>
    <w:rsid w:val="004E377C"/>
    <w:rsid w:val="004E3B12"/>
    <w:rsid w:val="004E3B62"/>
    <w:rsid w:val="004E3CEF"/>
    <w:rsid w:val="004E3F3A"/>
    <w:rsid w:val="004E410D"/>
    <w:rsid w:val="004E4190"/>
    <w:rsid w:val="004E4B51"/>
    <w:rsid w:val="004E51A8"/>
    <w:rsid w:val="004E51F2"/>
    <w:rsid w:val="004E5364"/>
    <w:rsid w:val="004E5395"/>
    <w:rsid w:val="004E54C4"/>
    <w:rsid w:val="004E55EE"/>
    <w:rsid w:val="004E56F8"/>
    <w:rsid w:val="004E5925"/>
    <w:rsid w:val="004E59A6"/>
    <w:rsid w:val="004E59EC"/>
    <w:rsid w:val="004E5B38"/>
    <w:rsid w:val="004E5BB2"/>
    <w:rsid w:val="004E5BE6"/>
    <w:rsid w:val="004E5C79"/>
    <w:rsid w:val="004E5DCE"/>
    <w:rsid w:val="004E61A3"/>
    <w:rsid w:val="004E6924"/>
    <w:rsid w:val="004E6B2C"/>
    <w:rsid w:val="004E6F71"/>
    <w:rsid w:val="004E6FD5"/>
    <w:rsid w:val="004E6FFC"/>
    <w:rsid w:val="004E7BD3"/>
    <w:rsid w:val="004F00CE"/>
    <w:rsid w:val="004F0332"/>
    <w:rsid w:val="004F03DF"/>
    <w:rsid w:val="004F05CD"/>
    <w:rsid w:val="004F0D43"/>
    <w:rsid w:val="004F1037"/>
    <w:rsid w:val="004F155C"/>
    <w:rsid w:val="004F16B4"/>
    <w:rsid w:val="004F1D18"/>
    <w:rsid w:val="004F20F3"/>
    <w:rsid w:val="004F2244"/>
    <w:rsid w:val="004F2349"/>
    <w:rsid w:val="004F2F5B"/>
    <w:rsid w:val="004F35A3"/>
    <w:rsid w:val="004F3664"/>
    <w:rsid w:val="004F39C8"/>
    <w:rsid w:val="004F4420"/>
    <w:rsid w:val="004F4783"/>
    <w:rsid w:val="004F4E90"/>
    <w:rsid w:val="004F50CF"/>
    <w:rsid w:val="004F51CF"/>
    <w:rsid w:val="004F5266"/>
    <w:rsid w:val="004F527C"/>
    <w:rsid w:val="004F5399"/>
    <w:rsid w:val="004F54D0"/>
    <w:rsid w:val="004F56E4"/>
    <w:rsid w:val="004F57C8"/>
    <w:rsid w:val="004F5927"/>
    <w:rsid w:val="004F5DBD"/>
    <w:rsid w:val="004F5DF9"/>
    <w:rsid w:val="004F60F5"/>
    <w:rsid w:val="004F60F8"/>
    <w:rsid w:val="004F6171"/>
    <w:rsid w:val="004F6C47"/>
    <w:rsid w:val="004F6C65"/>
    <w:rsid w:val="004F6DBE"/>
    <w:rsid w:val="004F6F51"/>
    <w:rsid w:val="004F71B7"/>
    <w:rsid w:val="004F722B"/>
    <w:rsid w:val="004F72D8"/>
    <w:rsid w:val="004F742C"/>
    <w:rsid w:val="004F755F"/>
    <w:rsid w:val="004F75BF"/>
    <w:rsid w:val="004F772C"/>
    <w:rsid w:val="004F7B49"/>
    <w:rsid w:val="004F7CFD"/>
    <w:rsid w:val="00500228"/>
    <w:rsid w:val="005006F3"/>
    <w:rsid w:val="005006FA"/>
    <w:rsid w:val="0050091B"/>
    <w:rsid w:val="00500C35"/>
    <w:rsid w:val="00500DB4"/>
    <w:rsid w:val="00500FF2"/>
    <w:rsid w:val="005014D7"/>
    <w:rsid w:val="00501792"/>
    <w:rsid w:val="00501855"/>
    <w:rsid w:val="00501C7E"/>
    <w:rsid w:val="00501DB8"/>
    <w:rsid w:val="00501EC5"/>
    <w:rsid w:val="005024AB"/>
    <w:rsid w:val="0050256A"/>
    <w:rsid w:val="00502673"/>
    <w:rsid w:val="0050268C"/>
    <w:rsid w:val="005026E3"/>
    <w:rsid w:val="00502BCB"/>
    <w:rsid w:val="00502C88"/>
    <w:rsid w:val="00503326"/>
    <w:rsid w:val="005035A8"/>
    <w:rsid w:val="00503E7C"/>
    <w:rsid w:val="00504376"/>
    <w:rsid w:val="0050458D"/>
    <w:rsid w:val="005049D3"/>
    <w:rsid w:val="005049F3"/>
    <w:rsid w:val="00504ABF"/>
    <w:rsid w:val="00504BAC"/>
    <w:rsid w:val="00504E9E"/>
    <w:rsid w:val="00504F78"/>
    <w:rsid w:val="00505074"/>
    <w:rsid w:val="0050508A"/>
    <w:rsid w:val="00505323"/>
    <w:rsid w:val="005055D5"/>
    <w:rsid w:val="005058E6"/>
    <w:rsid w:val="0050594E"/>
    <w:rsid w:val="00505B3D"/>
    <w:rsid w:val="00505BF4"/>
    <w:rsid w:val="00505DA9"/>
    <w:rsid w:val="00505DE6"/>
    <w:rsid w:val="00505FBE"/>
    <w:rsid w:val="0050605F"/>
    <w:rsid w:val="0050637A"/>
    <w:rsid w:val="00506449"/>
    <w:rsid w:val="00506EBE"/>
    <w:rsid w:val="00506EF7"/>
    <w:rsid w:val="00507426"/>
    <w:rsid w:val="005077B5"/>
    <w:rsid w:val="005077EF"/>
    <w:rsid w:val="00507AD6"/>
    <w:rsid w:val="00507F27"/>
    <w:rsid w:val="00507F5F"/>
    <w:rsid w:val="00511069"/>
    <w:rsid w:val="005110C8"/>
    <w:rsid w:val="0051139C"/>
    <w:rsid w:val="005114B5"/>
    <w:rsid w:val="005115BA"/>
    <w:rsid w:val="005117C6"/>
    <w:rsid w:val="00511B06"/>
    <w:rsid w:val="005122B4"/>
    <w:rsid w:val="00512808"/>
    <w:rsid w:val="00512885"/>
    <w:rsid w:val="00512B9C"/>
    <w:rsid w:val="0051308F"/>
    <w:rsid w:val="00513556"/>
    <w:rsid w:val="0051366B"/>
    <w:rsid w:val="00513743"/>
    <w:rsid w:val="00513873"/>
    <w:rsid w:val="00513AE3"/>
    <w:rsid w:val="00513D17"/>
    <w:rsid w:val="00513F02"/>
    <w:rsid w:val="00513F03"/>
    <w:rsid w:val="0051402B"/>
    <w:rsid w:val="005143FF"/>
    <w:rsid w:val="00514451"/>
    <w:rsid w:val="00514908"/>
    <w:rsid w:val="00514F62"/>
    <w:rsid w:val="00514FC1"/>
    <w:rsid w:val="00515077"/>
    <w:rsid w:val="005150E8"/>
    <w:rsid w:val="005154DC"/>
    <w:rsid w:val="00515A01"/>
    <w:rsid w:val="00515D54"/>
    <w:rsid w:val="00515EC5"/>
    <w:rsid w:val="00516144"/>
    <w:rsid w:val="00516B91"/>
    <w:rsid w:val="00516BA4"/>
    <w:rsid w:val="00516C0B"/>
    <w:rsid w:val="00516C34"/>
    <w:rsid w:val="00516CC5"/>
    <w:rsid w:val="00516D8B"/>
    <w:rsid w:val="00516F19"/>
    <w:rsid w:val="005170AB"/>
    <w:rsid w:val="00517114"/>
    <w:rsid w:val="00517966"/>
    <w:rsid w:val="00517D38"/>
    <w:rsid w:val="00517FB0"/>
    <w:rsid w:val="00517FF1"/>
    <w:rsid w:val="00520151"/>
    <w:rsid w:val="00520372"/>
    <w:rsid w:val="0052052A"/>
    <w:rsid w:val="00520623"/>
    <w:rsid w:val="00520C35"/>
    <w:rsid w:val="00520CFE"/>
    <w:rsid w:val="0052154D"/>
    <w:rsid w:val="005215FE"/>
    <w:rsid w:val="00521892"/>
    <w:rsid w:val="00521A07"/>
    <w:rsid w:val="00522081"/>
    <w:rsid w:val="005222A8"/>
    <w:rsid w:val="00522442"/>
    <w:rsid w:val="00522681"/>
    <w:rsid w:val="00522849"/>
    <w:rsid w:val="005229AE"/>
    <w:rsid w:val="00522A06"/>
    <w:rsid w:val="00522AAA"/>
    <w:rsid w:val="00522AE0"/>
    <w:rsid w:val="0052310A"/>
    <w:rsid w:val="00523B97"/>
    <w:rsid w:val="00523BB7"/>
    <w:rsid w:val="00524089"/>
    <w:rsid w:val="00524372"/>
    <w:rsid w:val="005244B0"/>
    <w:rsid w:val="00524F00"/>
    <w:rsid w:val="0052504F"/>
    <w:rsid w:val="00525159"/>
    <w:rsid w:val="0052537B"/>
    <w:rsid w:val="00525940"/>
    <w:rsid w:val="005259F0"/>
    <w:rsid w:val="00525B0C"/>
    <w:rsid w:val="00525D27"/>
    <w:rsid w:val="00525D4B"/>
    <w:rsid w:val="00525FCE"/>
    <w:rsid w:val="00526119"/>
    <w:rsid w:val="00526134"/>
    <w:rsid w:val="0052622D"/>
    <w:rsid w:val="0052631A"/>
    <w:rsid w:val="00526819"/>
    <w:rsid w:val="00526834"/>
    <w:rsid w:val="00526AD9"/>
    <w:rsid w:val="00526C0F"/>
    <w:rsid w:val="00526D3E"/>
    <w:rsid w:val="0052708A"/>
    <w:rsid w:val="00527472"/>
    <w:rsid w:val="00527BF6"/>
    <w:rsid w:val="00527C84"/>
    <w:rsid w:val="00527D75"/>
    <w:rsid w:val="00527D7B"/>
    <w:rsid w:val="00530376"/>
    <w:rsid w:val="005303F0"/>
    <w:rsid w:val="005304BA"/>
    <w:rsid w:val="00530615"/>
    <w:rsid w:val="0053067B"/>
    <w:rsid w:val="00530A10"/>
    <w:rsid w:val="00530C27"/>
    <w:rsid w:val="00530F49"/>
    <w:rsid w:val="00531375"/>
    <w:rsid w:val="005317B4"/>
    <w:rsid w:val="0053198A"/>
    <w:rsid w:val="005319FC"/>
    <w:rsid w:val="00531C52"/>
    <w:rsid w:val="00531C62"/>
    <w:rsid w:val="00531E8C"/>
    <w:rsid w:val="005322CC"/>
    <w:rsid w:val="00532422"/>
    <w:rsid w:val="00532731"/>
    <w:rsid w:val="005327D2"/>
    <w:rsid w:val="00532A56"/>
    <w:rsid w:val="00532BE7"/>
    <w:rsid w:val="00533FD7"/>
    <w:rsid w:val="0053469B"/>
    <w:rsid w:val="005348B2"/>
    <w:rsid w:val="005349A4"/>
    <w:rsid w:val="00534D87"/>
    <w:rsid w:val="005352C8"/>
    <w:rsid w:val="00535826"/>
    <w:rsid w:val="0053589B"/>
    <w:rsid w:val="00535920"/>
    <w:rsid w:val="00535E69"/>
    <w:rsid w:val="00536528"/>
    <w:rsid w:val="005365FB"/>
    <w:rsid w:val="00536640"/>
    <w:rsid w:val="005366D2"/>
    <w:rsid w:val="005368A3"/>
    <w:rsid w:val="00536C96"/>
    <w:rsid w:val="0053763A"/>
    <w:rsid w:val="00537CEF"/>
    <w:rsid w:val="0054011A"/>
    <w:rsid w:val="0054030A"/>
    <w:rsid w:val="005407CD"/>
    <w:rsid w:val="005407F7"/>
    <w:rsid w:val="005408C9"/>
    <w:rsid w:val="00540FB1"/>
    <w:rsid w:val="005414A8"/>
    <w:rsid w:val="00541E3A"/>
    <w:rsid w:val="00541FA1"/>
    <w:rsid w:val="005420B8"/>
    <w:rsid w:val="0054218C"/>
    <w:rsid w:val="005426F8"/>
    <w:rsid w:val="005429BA"/>
    <w:rsid w:val="00542C5B"/>
    <w:rsid w:val="00542D71"/>
    <w:rsid w:val="00542E92"/>
    <w:rsid w:val="0054342B"/>
    <w:rsid w:val="005435B1"/>
    <w:rsid w:val="005436F7"/>
    <w:rsid w:val="00543AC7"/>
    <w:rsid w:val="00543B6A"/>
    <w:rsid w:val="00543E8F"/>
    <w:rsid w:val="00543EB5"/>
    <w:rsid w:val="00543F29"/>
    <w:rsid w:val="005443D9"/>
    <w:rsid w:val="0054440B"/>
    <w:rsid w:val="00544563"/>
    <w:rsid w:val="00544B83"/>
    <w:rsid w:val="00544D4F"/>
    <w:rsid w:val="00544FA2"/>
    <w:rsid w:val="005450B3"/>
    <w:rsid w:val="00545197"/>
    <w:rsid w:val="0054529F"/>
    <w:rsid w:val="0054539F"/>
    <w:rsid w:val="0054548F"/>
    <w:rsid w:val="005456D1"/>
    <w:rsid w:val="00545917"/>
    <w:rsid w:val="00545B1D"/>
    <w:rsid w:val="00545CFA"/>
    <w:rsid w:val="00545F4F"/>
    <w:rsid w:val="00546EFB"/>
    <w:rsid w:val="005472FE"/>
    <w:rsid w:val="0054749E"/>
    <w:rsid w:val="005479FF"/>
    <w:rsid w:val="00547A7B"/>
    <w:rsid w:val="00547C1B"/>
    <w:rsid w:val="00547C86"/>
    <w:rsid w:val="00547EB1"/>
    <w:rsid w:val="0055004B"/>
    <w:rsid w:val="00550633"/>
    <w:rsid w:val="00550A5B"/>
    <w:rsid w:val="00550A8F"/>
    <w:rsid w:val="00550C30"/>
    <w:rsid w:val="00550C33"/>
    <w:rsid w:val="005515EB"/>
    <w:rsid w:val="0055181E"/>
    <w:rsid w:val="005518DD"/>
    <w:rsid w:val="005518E9"/>
    <w:rsid w:val="00551A69"/>
    <w:rsid w:val="00551AFD"/>
    <w:rsid w:val="00551CDB"/>
    <w:rsid w:val="00551D86"/>
    <w:rsid w:val="00551E37"/>
    <w:rsid w:val="00552030"/>
    <w:rsid w:val="005520F4"/>
    <w:rsid w:val="0055265C"/>
    <w:rsid w:val="00552832"/>
    <w:rsid w:val="005529C7"/>
    <w:rsid w:val="005529D3"/>
    <w:rsid w:val="00552FD9"/>
    <w:rsid w:val="00553158"/>
    <w:rsid w:val="0055337E"/>
    <w:rsid w:val="005536D0"/>
    <w:rsid w:val="005538C8"/>
    <w:rsid w:val="005538D2"/>
    <w:rsid w:val="00553A61"/>
    <w:rsid w:val="00553AD6"/>
    <w:rsid w:val="00553C26"/>
    <w:rsid w:val="00554160"/>
    <w:rsid w:val="0055468C"/>
    <w:rsid w:val="00554C2E"/>
    <w:rsid w:val="00555184"/>
    <w:rsid w:val="00555479"/>
    <w:rsid w:val="00555492"/>
    <w:rsid w:val="005554EE"/>
    <w:rsid w:val="0055551C"/>
    <w:rsid w:val="0055556C"/>
    <w:rsid w:val="00555894"/>
    <w:rsid w:val="005559F7"/>
    <w:rsid w:val="00555A46"/>
    <w:rsid w:val="00555C7D"/>
    <w:rsid w:val="00555E9C"/>
    <w:rsid w:val="005560A9"/>
    <w:rsid w:val="0055627A"/>
    <w:rsid w:val="005568DB"/>
    <w:rsid w:val="00556CE9"/>
    <w:rsid w:val="00556D9E"/>
    <w:rsid w:val="0055727B"/>
    <w:rsid w:val="0055729B"/>
    <w:rsid w:val="00557C0F"/>
    <w:rsid w:val="00557D07"/>
    <w:rsid w:val="005600BF"/>
    <w:rsid w:val="005601A6"/>
    <w:rsid w:val="00560281"/>
    <w:rsid w:val="005604A6"/>
    <w:rsid w:val="00560598"/>
    <w:rsid w:val="005605DD"/>
    <w:rsid w:val="005605F6"/>
    <w:rsid w:val="0056063B"/>
    <w:rsid w:val="00560673"/>
    <w:rsid w:val="00560691"/>
    <w:rsid w:val="005609BB"/>
    <w:rsid w:val="0056104B"/>
    <w:rsid w:val="005611FB"/>
    <w:rsid w:val="00561266"/>
    <w:rsid w:val="005613CC"/>
    <w:rsid w:val="00561479"/>
    <w:rsid w:val="00561484"/>
    <w:rsid w:val="005624D1"/>
    <w:rsid w:val="0056250C"/>
    <w:rsid w:val="0056257D"/>
    <w:rsid w:val="005626E4"/>
    <w:rsid w:val="00562B62"/>
    <w:rsid w:val="00562C1D"/>
    <w:rsid w:val="00562C46"/>
    <w:rsid w:val="00562F5F"/>
    <w:rsid w:val="00562FCE"/>
    <w:rsid w:val="0056306F"/>
    <w:rsid w:val="00563332"/>
    <w:rsid w:val="00563520"/>
    <w:rsid w:val="00563B51"/>
    <w:rsid w:val="00563BB4"/>
    <w:rsid w:val="00563FBD"/>
    <w:rsid w:val="00564166"/>
    <w:rsid w:val="00564A6D"/>
    <w:rsid w:val="0056540B"/>
    <w:rsid w:val="00565555"/>
    <w:rsid w:val="0056561C"/>
    <w:rsid w:val="00565BFB"/>
    <w:rsid w:val="00565BFF"/>
    <w:rsid w:val="00565E26"/>
    <w:rsid w:val="00565F0A"/>
    <w:rsid w:val="00565FBC"/>
    <w:rsid w:val="00566661"/>
    <w:rsid w:val="00566D26"/>
    <w:rsid w:val="00566E9B"/>
    <w:rsid w:val="00567547"/>
    <w:rsid w:val="00567644"/>
    <w:rsid w:val="00567989"/>
    <w:rsid w:val="005704CD"/>
    <w:rsid w:val="00570517"/>
    <w:rsid w:val="0057107B"/>
    <w:rsid w:val="005710C5"/>
    <w:rsid w:val="005711E3"/>
    <w:rsid w:val="005715AD"/>
    <w:rsid w:val="0057165E"/>
    <w:rsid w:val="00571B19"/>
    <w:rsid w:val="00572104"/>
    <w:rsid w:val="00572241"/>
    <w:rsid w:val="005728F7"/>
    <w:rsid w:val="005729BC"/>
    <w:rsid w:val="00572B76"/>
    <w:rsid w:val="00572E61"/>
    <w:rsid w:val="00573093"/>
    <w:rsid w:val="00573697"/>
    <w:rsid w:val="00574270"/>
    <w:rsid w:val="00574573"/>
    <w:rsid w:val="0057467D"/>
    <w:rsid w:val="00574FE6"/>
    <w:rsid w:val="00575612"/>
    <w:rsid w:val="00575F0C"/>
    <w:rsid w:val="00575F30"/>
    <w:rsid w:val="00576148"/>
    <w:rsid w:val="005762F8"/>
    <w:rsid w:val="00576334"/>
    <w:rsid w:val="00576484"/>
    <w:rsid w:val="0057681B"/>
    <w:rsid w:val="00576889"/>
    <w:rsid w:val="0057698A"/>
    <w:rsid w:val="00576E22"/>
    <w:rsid w:val="00577631"/>
    <w:rsid w:val="0057763B"/>
    <w:rsid w:val="00577A15"/>
    <w:rsid w:val="00577FA0"/>
    <w:rsid w:val="005801F7"/>
    <w:rsid w:val="00580207"/>
    <w:rsid w:val="00580348"/>
    <w:rsid w:val="005806D2"/>
    <w:rsid w:val="00580710"/>
    <w:rsid w:val="00580A35"/>
    <w:rsid w:val="00580EAB"/>
    <w:rsid w:val="00580F97"/>
    <w:rsid w:val="00581542"/>
    <w:rsid w:val="00581707"/>
    <w:rsid w:val="005817CC"/>
    <w:rsid w:val="0058195C"/>
    <w:rsid w:val="00581C51"/>
    <w:rsid w:val="00581C66"/>
    <w:rsid w:val="00581D38"/>
    <w:rsid w:val="00581EF2"/>
    <w:rsid w:val="0058203C"/>
    <w:rsid w:val="00582480"/>
    <w:rsid w:val="005825B5"/>
    <w:rsid w:val="005826EE"/>
    <w:rsid w:val="005827D1"/>
    <w:rsid w:val="00582BF7"/>
    <w:rsid w:val="00582E4C"/>
    <w:rsid w:val="0058326C"/>
    <w:rsid w:val="005832D5"/>
    <w:rsid w:val="005833D4"/>
    <w:rsid w:val="005836AF"/>
    <w:rsid w:val="0058383A"/>
    <w:rsid w:val="00583A6D"/>
    <w:rsid w:val="00583A8F"/>
    <w:rsid w:val="00583B77"/>
    <w:rsid w:val="00584291"/>
    <w:rsid w:val="005844CD"/>
    <w:rsid w:val="005847E6"/>
    <w:rsid w:val="00584A23"/>
    <w:rsid w:val="00584A60"/>
    <w:rsid w:val="00584D83"/>
    <w:rsid w:val="00585805"/>
    <w:rsid w:val="0058589C"/>
    <w:rsid w:val="005859DD"/>
    <w:rsid w:val="00585A29"/>
    <w:rsid w:val="005861B0"/>
    <w:rsid w:val="005863C2"/>
    <w:rsid w:val="0058647D"/>
    <w:rsid w:val="00586874"/>
    <w:rsid w:val="005869E8"/>
    <w:rsid w:val="005869EB"/>
    <w:rsid w:val="00586B1B"/>
    <w:rsid w:val="00586CB8"/>
    <w:rsid w:val="00586D24"/>
    <w:rsid w:val="00586DC9"/>
    <w:rsid w:val="00587330"/>
    <w:rsid w:val="00587361"/>
    <w:rsid w:val="005873A3"/>
    <w:rsid w:val="005873CB"/>
    <w:rsid w:val="0058759F"/>
    <w:rsid w:val="005877B7"/>
    <w:rsid w:val="00587870"/>
    <w:rsid w:val="00587FBC"/>
    <w:rsid w:val="005900C6"/>
    <w:rsid w:val="005903A2"/>
    <w:rsid w:val="00590418"/>
    <w:rsid w:val="005905D7"/>
    <w:rsid w:val="0059074F"/>
    <w:rsid w:val="00590BA7"/>
    <w:rsid w:val="00590C35"/>
    <w:rsid w:val="00590D4C"/>
    <w:rsid w:val="00591699"/>
    <w:rsid w:val="00591981"/>
    <w:rsid w:val="00592010"/>
    <w:rsid w:val="005924C8"/>
    <w:rsid w:val="005925C3"/>
    <w:rsid w:val="0059260C"/>
    <w:rsid w:val="00592710"/>
    <w:rsid w:val="00592784"/>
    <w:rsid w:val="00592A9B"/>
    <w:rsid w:val="00592B69"/>
    <w:rsid w:val="0059332F"/>
    <w:rsid w:val="005933DA"/>
    <w:rsid w:val="005939BD"/>
    <w:rsid w:val="00593DD4"/>
    <w:rsid w:val="0059403D"/>
    <w:rsid w:val="00594080"/>
    <w:rsid w:val="00594217"/>
    <w:rsid w:val="00594228"/>
    <w:rsid w:val="005949C9"/>
    <w:rsid w:val="00594B5B"/>
    <w:rsid w:val="005954CF"/>
    <w:rsid w:val="0059560C"/>
    <w:rsid w:val="0059580C"/>
    <w:rsid w:val="0059606D"/>
    <w:rsid w:val="00596123"/>
    <w:rsid w:val="0059617D"/>
    <w:rsid w:val="00596824"/>
    <w:rsid w:val="00596B72"/>
    <w:rsid w:val="00597169"/>
    <w:rsid w:val="0059771B"/>
    <w:rsid w:val="00597B1A"/>
    <w:rsid w:val="00597B79"/>
    <w:rsid w:val="00597C13"/>
    <w:rsid w:val="00597D1A"/>
    <w:rsid w:val="00597E58"/>
    <w:rsid w:val="005A031D"/>
    <w:rsid w:val="005A03AB"/>
    <w:rsid w:val="005A0A46"/>
    <w:rsid w:val="005A1897"/>
    <w:rsid w:val="005A1A95"/>
    <w:rsid w:val="005A1C2F"/>
    <w:rsid w:val="005A1E46"/>
    <w:rsid w:val="005A207F"/>
    <w:rsid w:val="005A22DE"/>
    <w:rsid w:val="005A268A"/>
    <w:rsid w:val="005A29DC"/>
    <w:rsid w:val="005A2A57"/>
    <w:rsid w:val="005A2E97"/>
    <w:rsid w:val="005A2ED0"/>
    <w:rsid w:val="005A3595"/>
    <w:rsid w:val="005A3A10"/>
    <w:rsid w:val="005A3F7E"/>
    <w:rsid w:val="005A3FF5"/>
    <w:rsid w:val="005A41AD"/>
    <w:rsid w:val="005A4559"/>
    <w:rsid w:val="005A461F"/>
    <w:rsid w:val="005A479D"/>
    <w:rsid w:val="005A4A31"/>
    <w:rsid w:val="005A4B28"/>
    <w:rsid w:val="005A4BBB"/>
    <w:rsid w:val="005A4C06"/>
    <w:rsid w:val="005A4E35"/>
    <w:rsid w:val="005A5672"/>
    <w:rsid w:val="005A57CF"/>
    <w:rsid w:val="005A5A0F"/>
    <w:rsid w:val="005A5C67"/>
    <w:rsid w:val="005A5D3A"/>
    <w:rsid w:val="005A5F55"/>
    <w:rsid w:val="005A69A1"/>
    <w:rsid w:val="005A6B6D"/>
    <w:rsid w:val="005A7172"/>
    <w:rsid w:val="005A738A"/>
    <w:rsid w:val="005A7406"/>
    <w:rsid w:val="005A746C"/>
    <w:rsid w:val="005A747A"/>
    <w:rsid w:val="005A79EB"/>
    <w:rsid w:val="005A7A95"/>
    <w:rsid w:val="005A7AB4"/>
    <w:rsid w:val="005A7C18"/>
    <w:rsid w:val="005A7DE4"/>
    <w:rsid w:val="005B013B"/>
    <w:rsid w:val="005B04CE"/>
    <w:rsid w:val="005B0539"/>
    <w:rsid w:val="005B0642"/>
    <w:rsid w:val="005B1015"/>
    <w:rsid w:val="005B10B0"/>
    <w:rsid w:val="005B1251"/>
    <w:rsid w:val="005B1CFC"/>
    <w:rsid w:val="005B1E82"/>
    <w:rsid w:val="005B20FD"/>
    <w:rsid w:val="005B221A"/>
    <w:rsid w:val="005B22C2"/>
    <w:rsid w:val="005B2529"/>
    <w:rsid w:val="005B265E"/>
    <w:rsid w:val="005B2710"/>
    <w:rsid w:val="005B2949"/>
    <w:rsid w:val="005B2C05"/>
    <w:rsid w:val="005B2F0B"/>
    <w:rsid w:val="005B3043"/>
    <w:rsid w:val="005B33B4"/>
    <w:rsid w:val="005B3426"/>
    <w:rsid w:val="005B387A"/>
    <w:rsid w:val="005B39FB"/>
    <w:rsid w:val="005B3A3E"/>
    <w:rsid w:val="005B3B0C"/>
    <w:rsid w:val="005B3CD9"/>
    <w:rsid w:val="005B3DD9"/>
    <w:rsid w:val="005B3EB5"/>
    <w:rsid w:val="005B40C1"/>
    <w:rsid w:val="005B46CB"/>
    <w:rsid w:val="005B4778"/>
    <w:rsid w:val="005B4D16"/>
    <w:rsid w:val="005B4DCE"/>
    <w:rsid w:val="005B4FE9"/>
    <w:rsid w:val="005B5537"/>
    <w:rsid w:val="005B59BB"/>
    <w:rsid w:val="005B5A2D"/>
    <w:rsid w:val="005B5A77"/>
    <w:rsid w:val="005B5B85"/>
    <w:rsid w:val="005B625C"/>
    <w:rsid w:val="005B6889"/>
    <w:rsid w:val="005B6B49"/>
    <w:rsid w:val="005B6F93"/>
    <w:rsid w:val="005B75F5"/>
    <w:rsid w:val="005B7635"/>
    <w:rsid w:val="005B76BF"/>
    <w:rsid w:val="005B784F"/>
    <w:rsid w:val="005B78CE"/>
    <w:rsid w:val="005C0572"/>
    <w:rsid w:val="005C0B05"/>
    <w:rsid w:val="005C0FD5"/>
    <w:rsid w:val="005C10B4"/>
    <w:rsid w:val="005C12A9"/>
    <w:rsid w:val="005C1471"/>
    <w:rsid w:val="005C1CA9"/>
    <w:rsid w:val="005C1CE6"/>
    <w:rsid w:val="005C22F9"/>
    <w:rsid w:val="005C24A9"/>
    <w:rsid w:val="005C2754"/>
    <w:rsid w:val="005C281E"/>
    <w:rsid w:val="005C2A38"/>
    <w:rsid w:val="005C2A5C"/>
    <w:rsid w:val="005C2D48"/>
    <w:rsid w:val="005C2F50"/>
    <w:rsid w:val="005C3012"/>
    <w:rsid w:val="005C351A"/>
    <w:rsid w:val="005C3642"/>
    <w:rsid w:val="005C37CD"/>
    <w:rsid w:val="005C38F2"/>
    <w:rsid w:val="005C3C17"/>
    <w:rsid w:val="005C40EC"/>
    <w:rsid w:val="005C40F9"/>
    <w:rsid w:val="005C4268"/>
    <w:rsid w:val="005C42DE"/>
    <w:rsid w:val="005C43DA"/>
    <w:rsid w:val="005C4764"/>
    <w:rsid w:val="005C4CCA"/>
    <w:rsid w:val="005C4D0E"/>
    <w:rsid w:val="005C4D38"/>
    <w:rsid w:val="005C4D3B"/>
    <w:rsid w:val="005C4FEE"/>
    <w:rsid w:val="005C509E"/>
    <w:rsid w:val="005C5126"/>
    <w:rsid w:val="005C5153"/>
    <w:rsid w:val="005C5759"/>
    <w:rsid w:val="005C583D"/>
    <w:rsid w:val="005C5900"/>
    <w:rsid w:val="005C669A"/>
    <w:rsid w:val="005C683D"/>
    <w:rsid w:val="005C69DF"/>
    <w:rsid w:val="005C729E"/>
    <w:rsid w:val="005C72C5"/>
    <w:rsid w:val="005C795E"/>
    <w:rsid w:val="005C7B25"/>
    <w:rsid w:val="005D0111"/>
    <w:rsid w:val="005D0232"/>
    <w:rsid w:val="005D047B"/>
    <w:rsid w:val="005D0528"/>
    <w:rsid w:val="005D0737"/>
    <w:rsid w:val="005D0A90"/>
    <w:rsid w:val="005D0C85"/>
    <w:rsid w:val="005D0CF9"/>
    <w:rsid w:val="005D0DAA"/>
    <w:rsid w:val="005D0F43"/>
    <w:rsid w:val="005D101A"/>
    <w:rsid w:val="005D104E"/>
    <w:rsid w:val="005D1556"/>
    <w:rsid w:val="005D162B"/>
    <w:rsid w:val="005D171E"/>
    <w:rsid w:val="005D1FEA"/>
    <w:rsid w:val="005D2818"/>
    <w:rsid w:val="005D2BA2"/>
    <w:rsid w:val="005D2CB8"/>
    <w:rsid w:val="005D2F99"/>
    <w:rsid w:val="005D31B6"/>
    <w:rsid w:val="005D31E4"/>
    <w:rsid w:val="005D3206"/>
    <w:rsid w:val="005D322C"/>
    <w:rsid w:val="005D382F"/>
    <w:rsid w:val="005D3CA0"/>
    <w:rsid w:val="005D4196"/>
    <w:rsid w:val="005D4313"/>
    <w:rsid w:val="005D44BD"/>
    <w:rsid w:val="005D45FD"/>
    <w:rsid w:val="005D4DDB"/>
    <w:rsid w:val="005D4F41"/>
    <w:rsid w:val="005D52AC"/>
    <w:rsid w:val="005D52AF"/>
    <w:rsid w:val="005D5313"/>
    <w:rsid w:val="005D54BE"/>
    <w:rsid w:val="005D58F5"/>
    <w:rsid w:val="005D5ACB"/>
    <w:rsid w:val="005D5DD6"/>
    <w:rsid w:val="005D5E4F"/>
    <w:rsid w:val="005D5FFE"/>
    <w:rsid w:val="005D6452"/>
    <w:rsid w:val="005D687F"/>
    <w:rsid w:val="005D69AE"/>
    <w:rsid w:val="005D6A0B"/>
    <w:rsid w:val="005D6B74"/>
    <w:rsid w:val="005D71CB"/>
    <w:rsid w:val="005D7990"/>
    <w:rsid w:val="005D7BD4"/>
    <w:rsid w:val="005D7D29"/>
    <w:rsid w:val="005E0018"/>
    <w:rsid w:val="005E0051"/>
    <w:rsid w:val="005E01AA"/>
    <w:rsid w:val="005E01CB"/>
    <w:rsid w:val="005E07D9"/>
    <w:rsid w:val="005E08D3"/>
    <w:rsid w:val="005E0B07"/>
    <w:rsid w:val="005E0E39"/>
    <w:rsid w:val="005E0EAA"/>
    <w:rsid w:val="005E11D0"/>
    <w:rsid w:val="005E1359"/>
    <w:rsid w:val="005E13F4"/>
    <w:rsid w:val="005E1469"/>
    <w:rsid w:val="005E173B"/>
    <w:rsid w:val="005E1826"/>
    <w:rsid w:val="005E185B"/>
    <w:rsid w:val="005E1951"/>
    <w:rsid w:val="005E1BC1"/>
    <w:rsid w:val="005E1D49"/>
    <w:rsid w:val="005E1E0E"/>
    <w:rsid w:val="005E21C5"/>
    <w:rsid w:val="005E21F4"/>
    <w:rsid w:val="005E2305"/>
    <w:rsid w:val="005E2392"/>
    <w:rsid w:val="005E272E"/>
    <w:rsid w:val="005E300C"/>
    <w:rsid w:val="005E33EC"/>
    <w:rsid w:val="005E33FC"/>
    <w:rsid w:val="005E34FF"/>
    <w:rsid w:val="005E3583"/>
    <w:rsid w:val="005E36DA"/>
    <w:rsid w:val="005E38D9"/>
    <w:rsid w:val="005E39BE"/>
    <w:rsid w:val="005E3AA8"/>
    <w:rsid w:val="005E3B83"/>
    <w:rsid w:val="005E3D26"/>
    <w:rsid w:val="005E3D8C"/>
    <w:rsid w:val="005E3D94"/>
    <w:rsid w:val="005E40F8"/>
    <w:rsid w:val="005E44B9"/>
    <w:rsid w:val="005E46CF"/>
    <w:rsid w:val="005E4844"/>
    <w:rsid w:val="005E4BB0"/>
    <w:rsid w:val="005E4BD5"/>
    <w:rsid w:val="005E5211"/>
    <w:rsid w:val="005E52A3"/>
    <w:rsid w:val="005E52E6"/>
    <w:rsid w:val="005E56C3"/>
    <w:rsid w:val="005E5770"/>
    <w:rsid w:val="005E5811"/>
    <w:rsid w:val="005E5905"/>
    <w:rsid w:val="005E5936"/>
    <w:rsid w:val="005E5B37"/>
    <w:rsid w:val="005E5DB5"/>
    <w:rsid w:val="005E6206"/>
    <w:rsid w:val="005E6277"/>
    <w:rsid w:val="005E63DA"/>
    <w:rsid w:val="005E6447"/>
    <w:rsid w:val="005E6B3A"/>
    <w:rsid w:val="005E71B5"/>
    <w:rsid w:val="005E73BD"/>
    <w:rsid w:val="005E75EF"/>
    <w:rsid w:val="005E7725"/>
    <w:rsid w:val="005F0371"/>
    <w:rsid w:val="005F0435"/>
    <w:rsid w:val="005F09EE"/>
    <w:rsid w:val="005F0EBB"/>
    <w:rsid w:val="005F0F20"/>
    <w:rsid w:val="005F10E8"/>
    <w:rsid w:val="005F12E0"/>
    <w:rsid w:val="005F13C5"/>
    <w:rsid w:val="005F1486"/>
    <w:rsid w:val="005F1B37"/>
    <w:rsid w:val="005F1D6C"/>
    <w:rsid w:val="005F1DD1"/>
    <w:rsid w:val="005F2376"/>
    <w:rsid w:val="005F2764"/>
    <w:rsid w:val="005F2884"/>
    <w:rsid w:val="005F2D3C"/>
    <w:rsid w:val="005F2EB7"/>
    <w:rsid w:val="005F2F7F"/>
    <w:rsid w:val="005F3356"/>
    <w:rsid w:val="005F3FB4"/>
    <w:rsid w:val="005F4167"/>
    <w:rsid w:val="005F432E"/>
    <w:rsid w:val="005F43B9"/>
    <w:rsid w:val="005F4838"/>
    <w:rsid w:val="005F49A9"/>
    <w:rsid w:val="005F4B87"/>
    <w:rsid w:val="005F4D40"/>
    <w:rsid w:val="005F4F7C"/>
    <w:rsid w:val="005F5013"/>
    <w:rsid w:val="005F5184"/>
    <w:rsid w:val="005F5412"/>
    <w:rsid w:val="005F562F"/>
    <w:rsid w:val="005F571B"/>
    <w:rsid w:val="005F5793"/>
    <w:rsid w:val="005F58C0"/>
    <w:rsid w:val="005F5C9F"/>
    <w:rsid w:val="005F5CB4"/>
    <w:rsid w:val="005F5E29"/>
    <w:rsid w:val="005F610D"/>
    <w:rsid w:val="005F6217"/>
    <w:rsid w:val="005F62E1"/>
    <w:rsid w:val="005F6810"/>
    <w:rsid w:val="005F6816"/>
    <w:rsid w:val="005F687F"/>
    <w:rsid w:val="005F6A0A"/>
    <w:rsid w:val="005F6C5E"/>
    <w:rsid w:val="005F6DA3"/>
    <w:rsid w:val="005F6E0A"/>
    <w:rsid w:val="005F768F"/>
    <w:rsid w:val="005F76E6"/>
    <w:rsid w:val="005F7C15"/>
    <w:rsid w:val="005F7EC6"/>
    <w:rsid w:val="005F7EEE"/>
    <w:rsid w:val="0060054E"/>
    <w:rsid w:val="006007C6"/>
    <w:rsid w:val="00600A64"/>
    <w:rsid w:val="00600AEF"/>
    <w:rsid w:val="00600BEF"/>
    <w:rsid w:val="00601342"/>
    <w:rsid w:val="006014F5"/>
    <w:rsid w:val="00601673"/>
    <w:rsid w:val="0060184E"/>
    <w:rsid w:val="0060197F"/>
    <w:rsid w:val="00601B76"/>
    <w:rsid w:val="00601BC1"/>
    <w:rsid w:val="00601FCB"/>
    <w:rsid w:val="00602076"/>
    <w:rsid w:val="006020BC"/>
    <w:rsid w:val="00602296"/>
    <w:rsid w:val="006024A6"/>
    <w:rsid w:val="006026A2"/>
    <w:rsid w:val="00602B1B"/>
    <w:rsid w:val="00602B9D"/>
    <w:rsid w:val="006031A1"/>
    <w:rsid w:val="00603498"/>
    <w:rsid w:val="0060398F"/>
    <w:rsid w:val="00603EEE"/>
    <w:rsid w:val="00604061"/>
    <w:rsid w:val="006041A6"/>
    <w:rsid w:val="00604485"/>
    <w:rsid w:val="006044C7"/>
    <w:rsid w:val="00604710"/>
    <w:rsid w:val="006047D4"/>
    <w:rsid w:val="00604ADB"/>
    <w:rsid w:val="00604DE9"/>
    <w:rsid w:val="00604E00"/>
    <w:rsid w:val="00604E31"/>
    <w:rsid w:val="00605982"/>
    <w:rsid w:val="00605B55"/>
    <w:rsid w:val="00605B62"/>
    <w:rsid w:val="00605B7F"/>
    <w:rsid w:val="00605EAB"/>
    <w:rsid w:val="006062A7"/>
    <w:rsid w:val="00606AF2"/>
    <w:rsid w:val="00606AFD"/>
    <w:rsid w:val="006072A0"/>
    <w:rsid w:val="0060737C"/>
    <w:rsid w:val="00607409"/>
    <w:rsid w:val="00607558"/>
    <w:rsid w:val="00607717"/>
    <w:rsid w:val="00607D50"/>
    <w:rsid w:val="00607EF7"/>
    <w:rsid w:val="00610356"/>
    <w:rsid w:val="0061035E"/>
    <w:rsid w:val="006104A6"/>
    <w:rsid w:val="006104DB"/>
    <w:rsid w:val="0061072D"/>
    <w:rsid w:val="0061092E"/>
    <w:rsid w:val="00610BB2"/>
    <w:rsid w:val="00610E3D"/>
    <w:rsid w:val="00610EBA"/>
    <w:rsid w:val="0061119E"/>
    <w:rsid w:val="00611334"/>
    <w:rsid w:val="006115E6"/>
    <w:rsid w:val="006118BE"/>
    <w:rsid w:val="00611AA4"/>
    <w:rsid w:val="00611B4A"/>
    <w:rsid w:val="00611CF8"/>
    <w:rsid w:val="00612004"/>
    <w:rsid w:val="0061276F"/>
    <w:rsid w:val="006131BA"/>
    <w:rsid w:val="0061335F"/>
    <w:rsid w:val="00613399"/>
    <w:rsid w:val="00613490"/>
    <w:rsid w:val="00613502"/>
    <w:rsid w:val="006136B6"/>
    <w:rsid w:val="00613BF5"/>
    <w:rsid w:val="00613EC9"/>
    <w:rsid w:val="006140B4"/>
    <w:rsid w:val="006145EA"/>
    <w:rsid w:val="00614618"/>
    <w:rsid w:val="006149D3"/>
    <w:rsid w:val="00614ADB"/>
    <w:rsid w:val="00614C78"/>
    <w:rsid w:val="00614F04"/>
    <w:rsid w:val="00614F6A"/>
    <w:rsid w:val="00615106"/>
    <w:rsid w:val="00615A8A"/>
    <w:rsid w:val="00615FCA"/>
    <w:rsid w:val="006160E6"/>
    <w:rsid w:val="00616299"/>
    <w:rsid w:val="006169EB"/>
    <w:rsid w:val="00616A42"/>
    <w:rsid w:val="00617348"/>
    <w:rsid w:val="00617363"/>
    <w:rsid w:val="006178D4"/>
    <w:rsid w:val="006204A1"/>
    <w:rsid w:val="00620604"/>
    <w:rsid w:val="006208A7"/>
    <w:rsid w:val="00620F1F"/>
    <w:rsid w:val="00621015"/>
    <w:rsid w:val="00621054"/>
    <w:rsid w:val="00621494"/>
    <w:rsid w:val="00621717"/>
    <w:rsid w:val="006219EC"/>
    <w:rsid w:val="00621AE2"/>
    <w:rsid w:val="00621F2D"/>
    <w:rsid w:val="006224F1"/>
    <w:rsid w:val="006225B4"/>
    <w:rsid w:val="00622956"/>
    <w:rsid w:val="00622A3F"/>
    <w:rsid w:val="00622AA5"/>
    <w:rsid w:val="00622E42"/>
    <w:rsid w:val="00623080"/>
    <w:rsid w:val="006230A8"/>
    <w:rsid w:val="006234F9"/>
    <w:rsid w:val="00623A25"/>
    <w:rsid w:val="0062416C"/>
    <w:rsid w:val="006243A2"/>
    <w:rsid w:val="0062481F"/>
    <w:rsid w:val="00624E9D"/>
    <w:rsid w:val="006251CE"/>
    <w:rsid w:val="00625290"/>
    <w:rsid w:val="00625861"/>
    <w:rsid w:val="006258BF"/>
    <w:rsid w:val="00625AFA"/>
    <w:rsid w:val="00625EF4"/>
    <w:rsid w:val="00626115"/>
    <w:rsid w:val="006266ED"/>
    <w:rsid w:val="0062682C"/>
    <w:rsid w:val="0062685A"/>
    <w:rsid w:val="00626CA2"/>
    <w:rsid w:val="00626D81"/>
    <w:rsid w:val="00626F59"/>
    <w:rsid w:val="0062749C"/>
    <w:rsid w:val="00627545"/>
    <w:rsid w:val="00627765"/>
    <w:rsid w:val="00627BD1"/>
    <w:rsid w:val="0063013C"/>
    <w:rsid w:val="006301F2"/>
    <w:rsid w:val="006304BF"/>
    <w:rsid w:val="006306CD"/>
    <w:rsid w:val="0063075D"/>
    <w:rsid w:val="0063085B"/>
    <w:rsid w:val="0063086C"/>
    <w:rsid w:val="00630F17"/>
    <w:rsid w:val="00631097"/>
    <w:rsid w:val="0063162F"/>
    <w:rsid w:val="0063167C"/>
    <w:rsid w:val="006318D4"/>
    <w:rsid w:val="00631AE9"/>
    <w:rsid w:val="00631ED4"/>
    <w:rsid w:val="00631F73"/>
    <w:rsid w:val="0063238A"/>
    <w:rsid w:val="006325DE"/>
    <w:rsid w:val="0063264A"/>
    <w:rsid w:val="00632936"/>
    <w:rsid w:val="00632A16"/>
    <w:rsid w:val="00632A8C"/>
    <w:rsid w:val="00632C1D"/>
    <w:rsid w:val="00632D02"/>
    <w:rsid w:val="00632D18"/>
    <w:rsid w:val="00632E1E"/>
    <w:rsid w:val="0063306D"/>
    <w:rsid w:val="006334C9"/>
    <w:rsid w:val="00634451"/>
    <w:rsid w:val="00634539"/>
    <w:rsid w:val="00634559"/>
    <w:rsid w:val="006347AC"/>
    <w:rsid w:val="006349E0"/>
    <w:rsid w:val="00634D34"/>
    <w:rsid w:val="00635A58"/>
    <w:rsid w:val="00635DE5"/>
    <w:rsid w:val="00635E06"/>
    <w:rsid w:val="00635F8B"/>
    <w:rsid w:val="006360BD"/>
    <w:rsid w:val="006360EF"/>
    <w:rsid w:val="0063625D"/>
    <w:rsid w:val="006362BF"/>
    <w:rsid w:val="00636316"/>
    <w:rsid w:val="00636373"/>
    <w:rsid w:val="00636461"/>
    <w:rsid w:val="006365BD"/>
    <w:rsid w:val="00636953"/>
    <w:rsid w:val="00636C67"/>
    <w:rsid w:val="006372AD"/>
    <w:rsid w:val="006373E7"/>
    <w:rsid w:val="006378F1"/>
    <w:rsid w:val="006379BC"/>
    <w:rsid w:val="006403F5"/>
    <w:rsid w:val="0064051E"/>
    <w:rsid w:val="00640A4C"/>
    <w:rsid w:val="00640A55"/>
    <w:rsid w:val="00640A96"/>
    <w:rsid w:val="00640C33"/>
    <w:rsid w:val="00640ED2"/>
    <w:rsid w:val="006410E1"/>
    <w:rsid w:val="006412F2"/>
    <w:rsid w:val="00641775"/>
    <w:rsid w:val="0064191B"/>
    <w:rsid w:val="00641ACF"/>
    <w:rsid w:val="00641E72"/>
    <w:rsid w:val="006425D3"/>
    <w:rsid w:val="00642796"/>
    <w:rsid w:val="0064280C"/>
    <w:rsid w:val="00642A40"/>
    <w:rsid w:val="00642ADB"/>
    <w:rsid w:val="00642EBD"/>
    <w:rsid w:val="006430DD"/>
    <w:rsid w:val="006433A7"/>
    <w:rsid w:val="00643528"/>
    <w:rsid w:val="006436B7"/>
    <w:rsid w:val="00643DB9"/>
    <w:rsid w:val="00643FAA"/>
    <w:rsid w:val="0064415E"/>
    <w:rsid w:val="00644B4A"/>
    <w:rsid w:val="006450EB"/>
    <w:rsid w:val="00645332"/>
    <w:rsid w:val="00645467"/>
    <w:rsid w:val="0064548C"/>
    <w:rsid w:val="00645583"/>
    <w:rsid w:val="006455ED"/>
    <w:rsid w:val="006456D5"/>
    <w:rsid w:val="006458DA"/>
    <w:rsid w:val="00645E0A"/>
    <w:rsid w:val="0064645C"/>
    <w:rsid w:val="006465EC"/>
    <w:rsid w:val="006468F9"/>
    <w:rsid w:val="00646E0A"/>
    <w:rsid w:val="00646E51"/>
    <w:rsid w:val="006470E4"/>
    <w:rsid w:val="006475C0"/>
    <w:rsid w:val="00647692"/>
    <w:rsid w:val="00647A8C"/>
    <w:rsid w:val="00647CC2"/>
    <w:rsid w:val="00647CD3"/>
    <w:rsid w:val="00647E7D"/>
    <w:rsid w:val="00647EAF"/>
    <w:rsid w:val="00647FC8"/>
    <w:rsid w:val="006500F9"/>
    <w:rsid w:val="006508C2"/>
    <w:rsid w:val="0065099B"/>
    <w:rsid w:val="006509DF"/>
    <w:rsid w:val="00650D57"/>
    <w:rsid w:val="00650E6F"/>
    <w:rsid w:val="00650E7E"/>
    <w:rsid w:val="00651573"/>
    <w:rsid w:val="0065161C"/>
    <w:rsid w:val="0065168D"/>
    <w:rsid w:val="00651A1C"/>
    <w:rsid w:val="00651B19"/>
    <w:rsid w:val="00651E8C"/>
    <w:rsid w:val="00651F4B"/>
    <w:rsid w:val="00652054"/>
    <w:rsid w:val="00652055"/>
    <w:rsid w:val="00652556"/>
    <w:rsid w:val="00652B77"/>
    <w:rsid w:val="00652BCB"/>
    <w:rsid w:val="00652C69"/>
    <w:rsid w:val="00652D68"/>
    <w:rsid w:val="00652DED"/>
    <w:rsid w:val="00652EF5"/>
    <w:rsid w:val="00652F46"/>
    <w:rsid w:val="006537C4"/>
    <w:rsid w:val="00653898"/>
    <w:rsid w:val="00653ADC"/>
    <w:rsid w:val="006543D1"/>
    <w:rsid w:val="006545AF"/>
    <w:rsid w:val="006545FA"/>
    <w:rsid w:val="0065481A"/>
    <w:rsid w:val="00655355"/>
    <w:rsid w:val="006553EB"/>
    <w:rsid w:val="0065542A"/>
    <w:rsid w:val="00655688"/>
    <w:rsid w:val="00655927"/>
    <w:rsid w:val="00655AA2"/>
    <w:rsid w:val="00655BEC"/>
    <w:rsid w:val="00656317"/>
    <w:rsid w:val="00656D76"/>
    <w:rsid w:val="006573BE"/>
    <w:rsid w:val="00657472"/>
    <w:rsid w:val="00657761"/>
    <w:rsid w:val="00660269"/>
    <w:rsid w:val="00660595"/>
    <w:rsid w:val="00660D59"/>
    <w:rsid w:val="0066129D"/>
    <w:rsid w:val="00661D59"/>
    <w:rsid w:val="00661E94"/>
    <w:rsid w:val="006621DC"/>
    <w:rsid w:val="006629FA"/>
    <w:rsid w:val="00662D07"/>
    <w:rsid w:val="00662D48"/>
    <w:rsid w:val="0066301F"/>
    <w:rsid w:val="0066320E"/>
    <w:rsid w:val="00663313"/>
    <w:rsid w:val="00663541"/>
    <w:rsid w:val="0066396D"/>
    <w:rsid w:val="006639D6"/>
    <w:rsid w:val="00663DAC"/>
    <w:rsid w:val="00663F60"/>
    <w:rsid w:val="00663FFE"/>
    <w:rsid w:val="0066461A"/>
    <w:rsid w:val="00664884"/>
    <w:rsid w:val="00664A7B"/>
    <w:rsid w:val="00664C67"/>
    <w:rsid w:val="00664CB4"/>
    <w:rsid w:val="00665435"/>
    <w:rsid w:val="0066554A"/>
    <w:rsid w:val="006658CB"/>
    <w:rsid w:val="006658E6"/>
    <w:rsid w:val="0066608D"/>
    <w:rsid w:val="00666208"/>
    <w:rsid w:val="0066625D"/>
    <w:rsid w:val="006663F0"/>
    <w:rsid w:val="00666723"/>
    <w:rsid w:val="00666D2E"/>
    <w:rsid w:val="00666D44"/>
    <w:rsid w:val="00666FB5"/>
    <w:rsid w:val="00667001"/>
    <w:rsid w:val="00667071"/>
    <w:rsid w:val="0066745A"/>
    <w:rsid w:val="0066767A"/>
    <w:rsid w:val="0066793B"/>
    <w:rsid w:val="00667989"/>
    <w:rsid w:val="00667A1E"/>
    <w:rsid w:val="0067028C"/>
    <w:rsid w:val="006704A9"/>
    <w:rsid w:val="00670837"/>
    <w:rsid w:val="00670941"/>
    <w:rsid w:val="006709F1"/>
    <w:rsid w:val="00670C7F"/>
    <w:rsid w:val="00671065"/>
    <w:rsid w:val="00671194"/>
    <w:rsid w:val="0067168F"/>
    <w:rsid w:val="006718E9"/>
    <w:rsid w:val="00671AF0"/>
    <w:rsid w:val="00671E04"/>
    <w:rsid w:val="00671EB4"/>
    <w:rsid w:val="006725C9"/>
    <w:rsid w:val="006725D9"/>
    <w:rsid w:val="0067274F"/>
    <w:rsid w:val="00672CE3"/>
    <w:rsid w:val="00672CEE"/>
    <w:rsid w:val="00672F23"/>
    <w:rsid w:val="00673181"/>
    <w:rsid w:val="00673353"/>
    <w:rsid w:val="00673A3C"/>
    <w:rsid w:val="00673B1A"/>
    <w:rsid w:val="00673BA1"/>
    <w:rsid w:val="00673C75"/>
    <w:rsid w:val="00673DFC"/>
    <w:rsid w:val="00673F33"/>
    <w:rsid w:val="006741C3"/>
    <w:rsid w:val="00674329"/>
    <w:rsid w:val="006746DC"/>
    <w:rsid w:val="00674A76"/>
    <w:rsid w:val="00674C77"/>
    <w:rsid w:val="006751D1"/>
    <w:rsid w:val="00675395"/>
    <w:rsid w:val="006757C0"/>
    <w:rsid w:val="00675C06"/>
    <w:rsid w:val="00675DEA"/>
    <w:rsid w:val="00675E5A"/>
    <w:rsid w:val="006761D6"/>
    <w:rsid w:val="006762A2"/>
    <w:rsid w:val="00676542"/>
    <w:rsid w:val="00676628"/>
    <w:rsid w:val="006767C4"/>
    <w:rsid w:val="00676809"/>
    <w:rsid w:val="0067695B"/>
    <w:rsid w:val="00676C98"/>
    <w:rsid w:val="00677116"/>
    <w:rsid w:val="00677917"/>
    <w:rsid w:val="0068000B"/>
    <w:rsid w:val="00680072"/>
    <w:rsid w:val="0068009B"/>
    <w:rsid w:val="0068010A"/>
    <w:rsid w:val="0068053F"/>
    <w:rsid w:val="00680793"/>
    <w:rsid w:val="0068086B"/>
    <w:rsid w:val="00680B1C"/>
    <w:rsid w:val="00680FCF"/>
    <w:rsid w:val="006810D9"/>
    <w:rsid w:val="0068184D"/>
    <w:rsid w:val="00681AA7"/>
    <w:rsid w:val="00681F93"/>
    <w:rsid w:val="0068233E"/>
    <w:rsid w:val="006827AB"/>
    <w:rsid w:val="00682AFD"/>
    <w:rsid w:val="00682DA6"/>
    <w:rsid w:val="00682EFC"/>
    <w:rsid w:val="00682FA8"/>
    <w:rsid w:val="0068329C"/>
    <w:rsid w:val="00683436"/>
    <w:rsid w:val="006834FC"/>
    <w:rsid w:val="006835B6"/>
    <w:rsid w:val="00683D4E"/>
    <w:rsid w:val="0068437D"/>
    <w:rsid w:val="00684404"/>
    <w:rsid w:val="00684510"/>
    <w:rsid w:val="0068462C"/>
    <w:rsid w:val="0068489E"/>
    <w:rsid w:val="00684995"/>
    <w:rsid w:val="00684B61"/>
    <w:rsid w:val="00684B70"/>
    <w:rsid w:val="00684CC8"/>
    <w:rsid w:val="00684D73"/>
    <w:rsid w:val="00684FF0"/>
    <w:rsid w:val="006857C5"/>
    <w:rsid w:val="00685866"/>
    <w:rsid w:val="00685A84"/>
    <w:rsid w:val="00685AA4"/>
    <w:rsid w:val="00685E65"/>
    <w:rsid w:val="00686044"/>
    <w:rsid w:val="006860FE"/>
    <w:rsid w:val="00686B5C"/>
    <w:rsid w:val="00687900"/>
    <w:rsid w:val="00687A11"/>
    <w:rsid w:val="00687AEB"/>
    <w:rsid w:val="00687BDE"/>
    <w:rsid w:val="00687C26"/>
    <w:rsid w:val="00687D70"/>
    <w:rsid w:val="006907B6"/>
    <w:rsid w:val="006907B8"/>
    <w:rsid w:val="00690BF6"/>
    <w:rsid w:val="00690C64"/>
    <w:rsid w:val="00690DF8"/>
    <w:rsid w:val="00690E5C"/>
    <w:rsid w:val="006910EA"/>
    <w:rsid w:val="00691419"/>
    <w:rsid w:val="00691428"/>
    <w:rsid w:val="006917BC"/>
    <w:rsid w:val="00691917"/>
    <w:rsid w:val="00691970"/>
    <w:rsid w:val="00691B2E"/>
    <w:rsid w:val="00691B52"/>
    <w:rsid w:val="00691C2D"/>
    <w:rsid w:val="00691EB0"/>
    <w:rsid w:val="00691FF4"/>
    <w:rsid w:val="00692421"/>
    <w:rsid w:val="0069264A"/>
    <w:rsid w:val="006928A1"/>
    <w:rsid w:val="00692970"/>
    <w:rsid w:val="006929CA"/>
    <w:rsid w:val="00692AF8"/>
    <w:rsid w:val="00692BC0"/>
    <w:rsid w:val="00692CB4"/>
    <w:rsid w:val="00692F7E"/>
    <w:rsid w:val="006933B2"/>
    <w:rsid w:val="00693A12"/>
    <w:rsid w:val="00693CA5"/>
    <w:rsid w:val="0069454E"/>
    <w:rsid w:val="006947A4"/>
    <w:rsid w:val="00694927"/>
    <w:rsid w:val="006949C1"/>
    <w:rsid w:val="00694C69"/>
    <w:rsid w:val="00694C92"/>
    <w:rsid w:val="00694F97"/>
    <w:rsid w:val="006957E6"/>
    <w:rsid w:val="00695EAD"/>
    <w:rsid w:val="00695EB2"/>
    <w:rsid w:val="00695FF3"/>
    <w:rsid w:val="006962EF"/>
    <w:rsid w:val="006963C1"/>
    <w:rsid w:val="006967F9"/>
    <w:rsid w:val="006968FA"/>
    <w:rsid w:val="00696AED"/>
    <w:rsid w:val="00696AEF"/>
    <w:rsid w:val="00696B6B"/>
    <w:rsid w:val="00696C58"/>
    <w:rsid w:val="00696EFD"/>
    <w:rsid w:val="00696FAE"/>
    <w:rsid w:val="0069731E"/>
    <w:rsid w:val="006978C5"/>
    <w:rsid w:val="00697BB7"/>
    <w:rsid w:val="00697C5B"/>
    <w:rsid w:val="00697F43"/>
    <w:rsid w:val="006A0182"/>
    <w:rsid w:val="006A02FC"/>
    <w:rsid w:val="006A03C2"/>
    <w:rsid w:val="006A0438"/>
    <w:rsid w:val="006A06B3"/>
    <w:rsid w:val="006A0D47"/>
    <w:rsid w:val="006A0F6B"/>
    <w:rsid w:val="006A1272"/>
    <w:rsid w:val="006A16A6"/>
    <w:rsid w:val="006A18BA"/>
    <w:rsid w:val="006A18D7"/>
    <w:rsid w:val="006A196B"/>
    <w:rsid w:val="006A1B39"/>
    <w:rsid w:val="006A1EC6"/>
    <w:rsid w:val="006A1F53"/>
    <w:rsid w:val="006A2143"/>
    <w:rsid w:val="006A234D"/>
    <w:rsid w:val="006A29FD"/>
    <w:rsid w:val="006A2BB2"/>
    <w:rsid w:val="006A2E8F"/>
    <w:rsid w:val="006A2E98"/>
    <w:rsid w:val="006A34F4"/>
    <w:rsid w:val="006A35E0"/>
    <w:rsid w:val="006A38F5"/>
    <w:rsid w:val="006A39BB"/>
    <w:rsid w:val="006A3F57"/>
    <w:rsid w:val="006A4103"/>
    <w:rsid w:val="006A41F6"/>
    <w:rsid w:val="006A4570"/>
    <w:rsid w:val="006A469F"/>
    <w:rsid w:val="006A49D8"/>
    <w:rsid w:val="006A49F3"/>
    <w:rsid w:val="006A4BC2"/>
    <w:rsid w:val="006A4F9B"/>
    <w:rsid w:val="006A520F"/>
    <w:rsid w:val="006A5531"/>
    <w:rsid w:val="006A5A18"/>
    <w:rsid w:val="006A5D22"/>
    <w:rsid w:val="006A61E5"/>
    <w:rsid w:val="006A64A1"/>
    <w:rsid w:val="006A69D4"/>
    <w:rsid w:val="006A6CC4"/>
    <w:rsid w:val="006A6D8F"/>
    <w:rsid w:val="006A6F69"/>
    <w:rsid w:val="006A75E5"/>
    <w:rsid w:val="006A7758"/>
    <w:rsid w:val="006A77B4"/>
    <w:rsid w:val="006A7B7B"/>
    <w:rsid w:val="006A7FC5"/>
    <w:rsid w:val="006B0245"/>
    <w:rsid w:val="006B090B"/>
    <w:rsid w:val="006B0DBF"/>
    <w:rsid w:val="006B118A"/>
    <w:rsid w:val="006B11A6"/>
    <w:rsid w:val="006B142A"/>
    <w:rsid w:val="006B1683"/>
    <w:rsid w:val="006B1803"/>
    <w:rsid w:val="006B1914"/>
    <w:rsid w:val="006B1C07"/>
    <w:rsid w:val="006B1EEE"/>
    <w:rsid w:val="006B2483"/>
    <w:rsid w:val="006B2923"/>
    <w:rsid w:val="006B2B38"/>
    <w:rsid w:val="006B2D21"/>
    <w:rsid w:val="006B2DF0"/>
    <w:rsid w:val="006B2F15"/>
    <w:rsid w:val="006B2FB4"/>
    <w:rsid w:val="006B3766"/>
    <w:rsid w:val="006B3B15"/>
    <w:rsid w:val="006B3C8D"/>
    <w:rsid w:val="006B4119"/>
    <w:rsid w:val="006B477F"/>
    <w:rsid w:val="006B4900"/>
    <w:rsid w:val="006B4997"/>
    <w:rsid w:val="006B49BC"/>
    <w:rsid w:val="006B4D46"/>
    <w:rsid w:val="006B50BD"/>
    <w:rsid w:val="006B512D"/>
    <w:rsid w:val="006B518E"/>
    <w:rsid w:val="006B520A"/>
    <w:rsid w:val="006B55AC"/>
    <w:rsid w:val="006B5904"/>
    <w:rsid w:val="006B5E11"/>
    <w:rsid w:val="006B5ECD"/>
    <w:rsid w:val="006B5F61"/>
    <w:rsid w:val="006B625B"/>
    <w:rsid w:val="006B6433"/>
    <w:rsid w:val="006B6819"/>
    <w:rsid w:val="006B68D9"/>
    <w:rsid w:val="006B6A20"/>
    <w:rsid w:val="006B6C3E"/>
    <w:rsid w:val="006B708B"/>
    <w:rsid w:val="006B73AB"/>
    <w:rsid w:val="006B7520"/>
    <w:rsid w:val="006B757D"/>
    <w:rsid w:val="006B7692"/>
    <w:rsid w:val="006B76B4"/>
    <w:rsid w:val="006B7780"/>
    <w:rsid w:val="006B78A6"/>
    <w:rsid w:val="006B7976"/>
    <w:rsid w:val="006B7CBC"/>
    <w:rsid w:val="006B7EC9"/>
    <w:rsid w:val="006B7F08"/>
    <w:rsid w:val="006C04D9"/>
    <w:rsid w:val="006C0824"/>
    <w:rsid w:val="006C0872"/>
    <w:rsid w:val="006C1117"/>
    <w:rsid w:val="006C1151"/>
    <w:rsid w:val="006C130F"/>
    <w:rsid w:val="006C136B"/>
    <w:rsid w:val="006C136F"/>
    <w:rsid w:val="006C16B6"/>
    <w:rsid w:val="006C17D4"/>
    <w:rsid w:val="006C199E"/>
    <w:rsid w:val="006C1BFA"/>
    <w:rsid w:val="006C1E10"/>
    <w:rsid w:val="006C1FAA"/>
    <w:rsid w:val="006C2310"/>
    <w:rsid w:val="006C24C1"/>
    <w:rsid w:val="006C2691"/>
    <w:rsid w:val="006C2A5B"/>
    <w:rsid w:val="006C2C39"/>
    <w:rsid w:val="006C3299"/>
    <w:rsid w:val="006C3500"/>
    <w:rsid w:val="006C361C"/>
    <w:rsid w:val="006C38BB"/>
    <w:rsid w:val="006C3C1E"/>
    <w:rsid w:val="006C4073"/>
    <w:rsid w:val="006C42DD"/>
    <w:rsid w:val="006C4762"/>
    <w:rsid w:val="006C4A1F"/>
    <w:rsid w:val="006C4F4A"/>
    <w:rsid w:val="006C4F4B"/>
    <w:rsid w:val="006C5114"/>
    <w:rsid w:val="006C532F"/>
    <w:rsid w:val="006C585F"/>
    <w:rsid w:val="006C5C44"/>
    <w:rsid w:val="006C5DE6"/>
    <w:rsid w:val="006C5E51"/>
    <w:rsid w:val="006C66A2"/>
    <w:rsid w:val="006C6776"/>
    <w:rsid w:val="006C6A8E"/>
    <w:rsid w:val="006C6B6F"/>
    <w:rsid w:val="006C6D4A"/>
    <w:rsid w:val="006C6F48"/>
    <w:rsid w:val="006C719F"/>
    <w:rsid w:val="006C71BA"/>
    <w:rsid w:val="006C7595"/>
    <w:rsid w:val="006D03CE"/>
    <w:rsid w:val="006D066D"/>
    <w:rsid w:val="006D08E7"/>
    <w:rsid w:val="006D092A"/>
    <w:rsid w:val="006D0B82"/>
    <w:rsid w:val="006D0EBA"/>
    <w:rsid w:val="006D12D6"/>
    <w:rsid w:val="006D18CA"/>
    <w:rsid w:val="006D1A21"/>
    <w:rsid w:val="006D20E3"/>
    <w:rsid w:val="006D21DA"/>
    <w:rsid w:val="006D2236"/>
    <w:rsid w:val="006D2315"/>
    <w:rsid w:val="006D2D94"/>
    <w:rsid w:val="006D3017"/>
    <w:rsid w:val="006D34A2"/>
    <w:rsid w:val="006D353F"/>
    <w:rsid w:val="006D3769"/>
    <w:rsid w:val="006D3C41"/>
    <w:rsid w:val="006D4275"/>
    <w:rsid w:val="006D439A"/>
    <w:rsid w:val="006D44BF"/>
    <w:rsid w:val="006D46A6"/>
    <w:rsid w:val="006D4876"/>
    <w:rsid w:val="006D4A54"/>
    <w:rsid w:val="006D4BDC"/>
    <w:rsid w:val="006D4F75"/>
    <w:rsid w:val="006D562D"/>
    <w:rsid w:val="006D59FA"/>
    <w:rsid w:val="006D5A16"/>
    <w:rsid w:val="006D5DD5"/>
    <w:rsid w:val="006D6081"/>
    <w:rsid w:val="006D6469"/>
    <w:rsid w:val="006D67C6"/>
    <w:rsid w:val="006D69A3"/>
    <w:rsid w:val="006D6DA8"/>
    <w:rsid w:val="006D6F31"/>
    <w:rsid w:val="006D7498"/>
    <w:rsid w:val="006D752F"/>
    <w:rsid w:val="006D759E"/>
    <w:rsid w:val="006D77EC"/>
    <w:rsid w:val="006D7D5F"/>
    <w:rsid w:val="006E02D4"/>
    <w:rsid w:val="006E032D"/>
    <w:rsid w:val="006E0737"/>
    <w:rsid w:val="006E0AAE"/>
    <w:rsid w:val="006E0C33"/>
    <w:rsid w:val="006E0F33"/>
    <w:rsid w:val="006E167A"/>
    <w:rsid w:val="006E1C99"/>
    <w:rsid w:val="006E1D20"/>
    <w:rsid w:val="006E1E93"/>
    <w:rsid w:val="006E2154"/>
    <w:rsid w:val="006E2245"/>
    <w:rsid w:val="006E2316"/>
    <w:rsid w:val="006E255C"/>
    <w:rsid w:val="006E257E"/>
    <w:rsid w:val="006E2913"/>
    <w:rsid w:val="006E2AF6"/>
    <w:rsid w:val="006E2C35"/>
    <w:rsid w:val="006E309E"/>
    <w:rsid w:val="006E3250"/>
    <w:rsid w:val="006E3360"/>
    <w:rsid w:val="006E3608"/>
    <w:rsid w:val="006E3B44"/>
    <w:rsid w:val="006E3FD0"/>
    <w:rsid w:val="006E3FF2"/>
    <w:rsid w:val="006E40CA"/>
    <w:rsid w:val="006E43F6"/>
    <w:rsid w:val="006E4435"/>
    <w:rsid w:val="006E4915"/>
    <w:rsid w:val="006E4A72"/>
    <w:rsid w:val="006E4E15"/>
    <w:rsid w:val="006E4ED9"/>
    <w:rsid w:val="006E5103"/>
    <w:rsid w:val="006E52B6"/>
    <w:rsid w:val="006E53D9"/>
    <w:rsid w:val="006E54AA"/>
    <w:rsid w:val="006E54C7"/>
    <w:rsid w:val="006E55E8"/>
    <w:rsid w:val="006E56A5"/>
    <w:rsid w:val="006E5940"/>
    <w:rsid w:val="006E5A6E"/>
    <w:rsid w:val="006E5DF3"/>
    <w:rsid w:val="006E5F98"/>
    <w:rsid w:val="006E6127"/>
    <w:rsid w:val="006E6409"/>
    <w:rsid w:val="006E6504"/>
    <w:rsid w:val="006E697D"/>
    <w:rsid w:val="006E6CCA"/>
    <w:rsid w:val="006E6D66"/>
    <w:rsid w:val="006E6EAB"/>
    <w:rsid w:val="006E7A64"/>
    <w:rsid w:val="006E7DC7"/>
    <w:rsid w:val="006E7E86"/>
    <w:rsid w:val="006E7EA2"/>
    <w:rsid w:val="006F001F"/>
    <w:rsid w:val="006F028A"/>
    <w:rsid w:val="006F0663"/>
    <w:rsid w:val="006F0ECE"/>
    <w:rsid w:val="006F13DF"/>
    <w:rsid w:val="006F1541"/>
    <w:rsid w:val="006F1973"/>
    <w:rsid w:val="006F1D51"/>
    <w:rsid w:val="006F1D87"/>
    <w:rsid w:val="006F1F0A"/>
    <w:rsid w:val="006F2335"/>
    <w:rsid w:val="006F2638"/>
    <w:rsid w:val="006F269E"/>
    <w:rsid w:val="006F2CEC"/>
    <w:rsid w:val="006F2D74"/>
    <w:rsid w:val="006F2DAA"/>
    <w:rsid w:val="006F3450"/>
    <w:rsid w:val="006F3AA4"/>
    <w:rsid w:val="006F4274"/>
    <w:rsid w:val="006F4367"/>
    <w:rsid w:val="006F45EE"/>
    <w:rsid w:val="006F4AC0"/>
    <w:rsid w:val="006F4B4A"/>
    <w:rsid w:val="006F4F69"/>
    <w:rsid w:val="006F519A"/>
    <w:rsid w:val="006F526F"/>
    <w:rsid w:val="006F5594"/>
    <w:rsid w:val="006F5647"/>
    <w:rsid w:val="006F5651"/>
    <w:rsid w:val="006F5AFC"/>
    <w:rsid w:val="006F5FF7"/>
    <w:rsid w:val="006F64C4"/>
    <w:rsid w:val="006F6571"/>
    <w:rsid w:val="006F6BDD"/>
    <w:rsid w:val="006F6D02"/>
    <w:rsid w:val="006F7248"/>
    <w:rsid w:val="006F7951"/>
    <w:rsid w:val="006F7E04"/>
    <w:rsid w:val="007001C5"/>
    <w:rsid w:val="007002ED"/>
    <w:rsid w:val="0070064A"/>
    <w:rsid w:val="00700BB7"/>
    <w:rsid w:val="00700F51"/>
    <w:rsid w:val="0070112B"/>
    <w:rsid w:val="007014CB"/>
    <w:rsid w:val="00701638"/>
    <w:rsid w:val="00701793"/>
    <w:rsid w:val="00701EA3"/>
    <w:rsid w:val="0070202B"/>
    <w:rsid w:val="007020F0"/>
    <w:rsid w:val="0070222F"/>
    <w:rsid w:val="007022B7"/>
    <w:rsid w:val="00702AF4"/>
    <w:rsid w:val="00702EB1"/>
    <w:rsid w:val="00703365"/>
    <w:rsid w:val="00703817"/>
    <w:rsid w:val="00703841"/>
    <w:rsid w:val="007038B2"/>
    <w:rsid w:val="00703CC7"/>
    <w:rsid w:val="00703CE2"/>
    <w:rsid w:val="00703DFE"/>
    <w:rsid w:val="00703F73"/>
    <w:rsid w:val="007040BF"/>
    <w:rsid w:val="00704161"/>
    <w:rsid w:val="00704229"/>
    <w:rsid w:val="007042CF"/>
    <w:rsid w:val="00704433"/>
    <w:rsid w:val="007044BA"/>
    <w:rsid w:val="007044DF"/>
    <w:rsid w:val="007045B4"/>
    <w:rsid w:val="007047A8"/>
    <w:rsid w:val="00704805"/>
    <w:rsid w:val="0070490B"/>
    <w:rsid w:val="0070491B"/>
    <w:rsid w:val="00704951"/>
    <w:rsid w:val="00704A73"/>
    <w:rsid w:val="00704BA2"/>
    <w:rsid w:val="00704BF6"/>
    <w:rsid w:val="00704BF7"/>
    <w:rsid w:val="00704C31"/>
    <w:rsid w:val="00704FFC"/>
    <w:rsid w:val="007058AB"/>
    <w:rsid w:val="00706791"/>
    <w:rsid w:val="00706952"/>
    <w:rsid w:val="00707022"/>
    <w:rsid w:val="0070763C"/>
    <w:rsid w:val="007077A8"/>
    <w:rsid w:val="0070784C"/>
    <w:rsid w:val="007079E3"/>
    <w:rsid w:val="00707A3D"/>
    <w:rsid w:val="00707A6C"/>
    <w:rsid w:val="00707B6C"/>
    <w:rsid w:val="00707D49"/>
    <w:rsid w:val="00707F9D"/>
    <w:rsid w:val="0071022D"/>
    <w:rsid w:val="0071080D"/>
    <w:rsid w:val="007108C8"/>
    <w:rsid w:val="00710C6A"/>
    <w:rsid w:val="00710F94"/>
    <w:rsid w:val="00710FFC"/>
    <w:rsid w:val="0071104F"/>
    <w:rsid w:val="00711552"/>
    <w:rsid w:val="00711737"/>
    <w:rsid w:val="00711967"/>
    <w:rsid w:val="00711988"/>
    <w:rsid w:val="0071215B"/>
    <w:rsid w:val="007121AA"/>
    <w:rsid w:val="00712280"/>
    <w:rsid w:val="00712326"/>
    <w:rsid w:val="007125A3"/>
    <w:rsid w:val="00712A2E"/>
    <w:rsid w:val="00712AD4"/>
    <w:rsid w:val="00712C2A"/>
    <w:rsid w:val="00712D73"/>
    <w:rsid w:val="00712DFA"/>
    <w:rsid w:val="0071319A"/>
    <w:rsid w:val="007134EF"/>
    <w:rsid w:val="007135E2"/>
    <w:rsid w:val="0071382A"/>
    <w:rsid w:val="00713874"/>
    <w:rsid w:val="00713A8D"/>
    <w:rsid w:val="00713AFA"/>
    <w:rsid w:val="00713E8B"/>
    <w:rsid w:val="007140F9"/>
    <w:rsid w:val="0071416A"/>
    <w:rsid w:val="007143E4"/>
    <w:rsid w:val="0071468E"/>
    <w:rsid w:val="00714ADB"/>
    <w:rsid w:val="00714C3B"/>
    <w:rsid w:val="00714CFB"/>
    <w:rsid w:val="00715105"/>
    <w:rsid w:val="00715130"/>
    <w:rsid w:val="00715228"/>
    <w:rsid w:val="00715361"/>
    <w:rsid w:val="007154C9"/>
    <w:rsid w:val="00715804"/>
    <w:rsid w:val="00715993"/>
    <w:rsid w:val="007159F3"/>
    <w:rsid w:val="00715A8A"/>
    <w:rsid w:val="00715B25"/>
    <w:rsid w:val="00715B4B"/>
    <w:rsid w:val="00715E4B"/>
    <w:rsid w:val="00715E7B"/>
    <w:rsid w:val="007160B1"/>
    <w:rsid w:val="007164C2"/>
    <w:rsid w:val="0071661A"/>
    <w:rsid w:val="00716629"/>
    <w:rsid w:val="007168E1"/>
    <w:rsid w:val="00716CA7"/>
    <w:rsid w:val="007171F9"/>
    <w:rsid w:val="007172BE"/>
    <w:rsid w:val="0071738A"/>
    <w:rsid w:val="007174FD"/>
    <w:rsid w:val="0071768A"/>
    <w:rsid w:val="0071781B"/>
    <w:rsid w:val="00717A3F"/>
    <w:rsid w:val="00717CA0"/>
    <w:rsid w:val="007205A2"/>
    <w:rsid w:val="00720998"/>
    <w:rsid w:val="00720CB8"/>
    <w:rsid w:val="00720EFE"/>
    <w:rsid w:val="0072101C"/>
    <w:rsid w:val="007212E2"/>
    <w:rsid w:val="00721406"/>
    <w:rsid w:val="007216A3"/>
    <w:rsid w:val="007217F9"/>
    <w:rsid w:val="00721861"/>
    <w:rsid w:val="00721DA7"/>
    <w:rsid w:val="00721EE3"/>
    <w:rsid w:val="00722075"/>
    <w:rsid w:val="007220FC"/>
    <w:rsid w:val="00722119"/>
    <w:rsid w:val="007222E0"/>
    <w:rsid w:val="007226D2"/>
    <w:rsid w:val="00722703"/>
    <w:rsid w:val="0072292D"/>
    <w:rsid w:val="00722E6A"/>
    <w:rsid w:val="00722F42"/>
    <w:rsid w:val="007230C0"/>
    <w:rsid w:val="007230D5"/>
    <w:rsid w:val="007230E8"/>
    <w:rsid w:val="007233A4"/>
    <w:rsid w:val="0072342E"/>
    <w:rsid w:val="00723695"/>
    <w:rsid w:val="00723912"/>
    <w:rsid w:val="00723AFE"/>
    <w:rsid w:val="00723B78"/>
    <w:rsid w:val="00723C80"/>
    <w:rsid w:val="00723F1C"/>
    <w:rsid w:val="0072413A"/>
    <w:rsid w:val="00724210"/>
    <w:rsid w:val="007242B9"/>
    <w:rsid w:val="007242F8"/>
    <w:rsid w:val="00724874"/>
    <w:rsid w:val="00724E87"/>
    <w:rsid w:val="00724F41"/>
    <w:rsid w:val="00725207"/>
    <w:rsid w:val="007256EE"/>
    <w:rsid w:val="00725B3A"/>
    <w:rsid w:val="00725CCB"/>
    <w:rsid w:val="00726074"/>
    <w:rsid w:val="00726233"/>
    <w:rsid w:val="007267EB"/>
    <w:rsid w:val="00726C35"/>
    <w:rsid w:val="00726D8B"/>
    <w:rsid w:val="0072706A"/>
    <w:rsid w:val="007272F5"/>
    <w:rsid w:val="0072736E"/>
    <w:rsid w:val="00727628"/>
    <w:rsid w:val="00727CF8"/>
    <w:rsid w:val="00730073"/>
    <w:rsid w:val="007300D0"/>
    <w:rsid w:val="00730148"/>
    <w:rsid w:val="0073073C"/>
    <w:rsid w:val="007307FD"/>
    <w:rsid w:val="00730A74"/>
    <w:rsid w:val="00731048"/>
    <w:rsid w:val="00731179"/>
    <w:rsid w:val="007316FA"/>
    <w:rsid w:val="00731746"/>
    <w:rsid w:val="0073192D"/>
    <w:rsid w:val="007319CB"/>
    <w:rsid w:val="00731C2D"/>
    <w:rsid w:val="00732090"/>
    <w:rsid w:val="007320E3"/>
    <w:rsid w:val="00732546"/>
    <w:rsid w:val="007327C1"/>
    <w:rsid w:val="007329A3"/>
    <w:rsid w:val="00732A47"/>
    <w:rsid w:val="00733568"/>
    <w:rsid w:val="00733C2A"/>
    <w:rsid w:val="0073445A"/>
    <w:rsid w:val="0073446C"/>
    <w:rsid w:val="007347C4"/>
    <w:rsid w:val="007347EC"/>
    <w:rsid w:val="00734A91"/>
    <w:rsid w:val="00735889"/>
    <w:rsid w:val="007363E7"/>
    <w:rsid w:val="0073641C"/>
    <w:rsid w:val="00736426"/>
    <w:rsid w:val="00736709"/>
    <w:rsid w:val="00736A64"/>
    <w:rsid w:val="00736C8D"/>
    <w:rsid w:val="00736E8C"/>
    <w:rsid w:val="007370FA"/>
    <w:rsid w:val="00737116"/>
    <w:rsid w:val="00737143"/>
    <w:rsid w:val="007371E8"/>
    <w:rsid w:val="00737253"/>
    <w:rsid w:val="0073741B"/>
    <w:rsid w:val="00737581"/>
    <w:rsid w:val="00737807"/>
    <w:rsid w:val="00737823"/>
    <w:rsid w:val="00737D4B"/>
    <w:rsid w:val="00737E1C"/>
    <w:rsid w:val="00740383"/>
    <w:rsid w:val="00740433"/>
    <w:rsid w:val="0074089C"/>
    <w:rsid w:val="007409F3"/>
    <w:rsid w:val="00740A89"/>
    <w:rsid w:val="00740A99"/>
    <w:rsid w:val="00740ADF"/>
    <w:rsid w:val="0074100E"/>
    <w:rsid w:val="007410D8"/>
    <w:rsid w:val="00741287"/>
    <w:rsid w:val="00741348"/>
    <w:rsid w:val="00741C53"/>
    <w:rsid w:val="00741D3F"/>
    <w:rsid w:val="00741F77"/>
    <w:rsid w:val="00742038"/>
    <w:rsid w:val="007423F2"/>
    <w:rsid w:val="007425BB"/>
    <w:rsid w:val="007425D5"/>
    <w:rsid w:val="00742732"/>
    <w:rsid w:val="00742E93"/>
    <w:rsid w:val="00742EC3"/>
    <w:rsid w:val="00742ED4"/>
    <w:rsid w:val="0074335E"/>
    <w:rsid w:val="00743768"/>
    <w:rsid w:val="00743825"/>
    <w:rsid w:val="0074385B"/>
    <w:rsid w:val="00743B8A"/>
    <w:rsid w:val="00743BCB"/>
    <w:rsid w:val="00743E8E"/>
    <w:rsid w:val="0074505D"/>
    <w:rsid w:val="00745228"/>
    <w:rsid w:val="00745337"/>
    <w:rsid w:val="00745B0C"/>
    <w:rsid w:val="00745D20"/>
    <w:rsid w:val="00745D8F"/>
    <w:rsid w:val="00745DF3"/>
    <w:rsid w:val="0074647B"/>
    <w:rsid w:val="00746BF9"/>
    <w:rsid w:val="00746FE7"/>
    <w:rsid w:val="0074733A"/>
    <w:rsid w:val="00747576"/>
    <w:rsid w:val="00747595"/>
    <w:rsid w:val="00747CB6"/>
    <w:rsid w:val="00750069"/>
    <w:rsid w:val="00750382"/>
    <w:rsid w:val="0075048F"/>
    <w:rsid w:val="00750579"/>
    <w:rsid w:val="0075075B"/>
    <w:rsid w:val="0075086C"/>
    <w:rsid w:val="00750D23"/>
    <w:rsid w:val="00750F4F"/>
    <w:rsid w:val="00751006"/>
    <w:rsid w:val="007511E6"/>
    <w:rsid w:val="0075125D"/>
    <w:rsid w:val="007513BB"/>
    <w:rsid w:val="00751541"/>
    <w:rsid w:val="00751654"/>
    <w:rsid w:val="00751675"/>
    <w:rsid w:val="00751A71"/>
    <w:rsid w:val="00751BDB"/>
    <w:rsid w:val="00751D16"/>
    <w:rsid w:val="00751EDD"/>
    <w:rsid w:val="00751F9B"/>
    <w:rsid w:val="0075222F"/>
    <w:rsid w:val="00752259"/>
    <w:rsid w:val="0075238D"/>
    <w:rsid w:val="0075262D"/>
    <w:rsid w:val="00752728"/>
    <w:rsid w:val="0075298D"/>
    <w:rsid w:val="00752D13"/>
    <w:rsid w:val="00752D14"/>
    <w:rsid w:val="00752D67"/>
    <w:rsid w:val="00752E64"/>
    <w:rsid w:val="0075320F"/>
    <w:rsid w:val="00753293"/>
    <w:rsid w:val="007533E8"/>
    <w:rsid w:val="007537E3"/>
    <w:rsid w:val="00753862"/>
    <w:rsid w:val="00753B22"/>
    <w:rsid w:val="00753BCA"/>
    <w:rsid w:val="007540D6"/>
    <w:rsid w:val="00754131"/>
    <w:rsid w:val="00754235"/>
    <w:rsid w:val="0075435F"/>
    <w:rsid w:val="007548E4"/>
    <w:rsid w:val="00754A51"/>
    <w:rsid w:val="00754EFF"/>
    <w:rsid w:val="0075516B"/>
    <w:rsid w:val="007552EF"/>
    <w:rsid w:val="007557B8"/>
    <w:rsid w:val="00755929"/>
    <w:rsid w:val="00755949"/>
    <w:rsid w:val="00755AE4"/>
    <w:rsid w:val="00755C52"/>
    <w:rsid w:val="00756135"/>
    <w:rsid w:val="007562B1"/>
    <w:rsid w:val="007562DC"/>
    <w:rsid w:val="00756650"/>
    <w:rsid w:val="00756671"/>
    <w:rsid w:val="0075674B"/>
    <w:rsid w:val="00756ABA"/>
    <w:rsid w:val="00756C2E"/>
    <w:rsid w:val="00756C92"/>
    <w:rsid w:val="00756D59"/>
    <w:rsid w:val="00756D66"/>
    <w:rsid w:val="00756F2C"/>
    <w:rsid w:val="0075736B"/>
    <w:rsid w:val="007573BE"/>
    <w:rsid w:val="0075768E"/>
    <w:rsid w:val="00757697"/>
    <w:rsid w:val="00757F0D"/>
    <w:rsid w:val="007602A7"/>
    <w:rsid w:val="00760532"/>
    <w:rsid w:val="007605D4"/>
    <w:rsid w:val="007609DB"/>
    <w:rsid w:val="00760DC5"/>
    <w:rsid w:val="00760F45"/>
    <w:rsid w:val="007611E7"/>
    <w:rsid w:val="00761660"/>
    <w:rsid w:val="007617A3"/>
    <w:rsid w:val="0076194D"/>
    <w:rsid w:val="00761CC2"/>
    <w:rsid w:val="00762157"/>
    <w:rsid w:val="00762492"/>
    <w:rsid w:val="007625E7"/>
    <w:rsid w:val="00762667"/>
    <w:rsid w:val="00762A44"/>
    <w:rsid w:val="00762BAB"/>
    <w:rsid w:val="00762BCD"/>
    <w:rsid w:val="00762C92"/>
    <w:rsid w:val="0076307A"/>
    <w:rsid w:val="0076318F"/>
    <w:rsid w:val="007631DE"/>
    <w:rsid w:val="00763243"/>
    <w:rsid w:val="00763622"/>
    <w:rsid w:val="0076370B"/>
    <w:rsid w:val="00763B97"/>
    <w:rsid w:val="00763DF1"/>
    <w:rsid w:val="007645D0"/>
    <w:rsid w:val="00764843"/>
    <w:rsid w:val="00764861"/>
    <w:rsid w:val="00764974"/>
    <w:rsid w:val="00764BB9"/>
    <w:rsid w:val="00764CC9"/>
    <w:rsid w:val="00764D4C"/>
    <w:rsid w:val="00764E46"/>
    <w:rsid w:val="00765445"/>
    <w:rsid w:val="00765812"/>
    <w:rsid w:val="00765841"/>
    <w:rsid w:val="007658E8"/>
    <w:rsid w:val="00765F14"/>
    <w:rsid w:val="00766186"/>
    <w:rsid w:val="007661E4"/>
    <w:rsid w:val="00766517"/>
    <w:rsid w:val="00766699"/>
    <w:rsid w:val="00766712"/>
    <w:rsid w:val="0076694A"/>
    <w:rsid w:val="007669A4"/>
    <w:rsid w:val="007669D2"/>
    <w:rsid w:val="00766A33"/>
    <w:rsid w:val="00766DA8"/>
    <w:rsid w:val="00766E48"/>
    <w:rsid w:val="0076719E"/>
    <w:rsid w:val="0076725B"/>
    <w:rsid w:val="0076748E"/>
    <w:rsid w:val="00767543"/>
    <w:rsid w:val="0076756E"/>
    <w:rsid w:val="007676D5"/>
    <w:rsid w:val="00767964"/>
    <w:rsid w:val="00767E10"/>
    <w:rsid w:val="00770036"/>
    <w:rsid w:val="00770563"/>
    <w:rsid w:val="00770818"/>
    <w:rsid w:val="00770988"/>
    <w:rsid w:val="00770B88"/>
    <w:rsid w:val="00770C4D"/>
    <w:rsid w:val="00771314"/>
    <w:rsid w:val="0077134B"/>
    <w:rsid w:val="0077135D"/>
    <w:rsid w:val="007716B9"/>
    <w:rsid w:val="00771A39"/>
    <w:rsid w:val="00771BD6"/>
    <w:rsid w:val="00772134"/>
    <w:rsid w:val="00772200"/>
    <w:rsid w:val="007724D8"/>
    <w:rsid w:val="00772A37"/>
    <w:rsid w:val="00773513"/>
    <w:rsid w:val="00773BCE"/>
    <w:rsid w:val="00773E39"/>
    <w:rsid w:val="00773F48"/>
    <w:rsid w:val="00773FD5"/>
    <w:rsid w:val="00774444"/>
    <w:rsid w:val="007745F7"/>
    <w:rsid w:val="007746FD"/>
    <w:rsid w:val="007750B5"/>
    <w:rsid w:val="00775233"/>
    <w:rsid w:val="007755AB"/>
    <w:rsid w:val="00775849"/>
    <w:rsid w:val="00775893"/>
    <w:rsid w:val="00775CC5"/>
    <w:rsid w:val="00775CEB"/>
    <w:rsid w:val="00776650"/>
    <w:rsid w:val="00776748"/>
    <w:rsid w:val="00776D53"/>
    <w:rsid w:val="00776D58"/>
    <w:rsid w:val="00776E3A"/>
    <w:rsid w:val="00777479"/>
    <w:rsid w:val="00777920"/>
    <w:rsid w:val="007779BE"/>
    <w:rsid w:val="00777BCF"/>
    <w:rsid w:val="00777D71"/>
    <w:rsid w:val="00780036"/>
    <w:rsid w:val="007804C1"/>
    <w:rsid w:val="0078053A"/>
    <w:rsid w:val="00780A5B"/>
    <w:rsid w:val="00780AB1"/>
    <w:rsid w:val="00780CC8"/>
    <w:rsid w:val="00780D3D"/>
    <w:rsid w:val="00781160"/>
    <w:rsid w:val="00781214"/>
    <w:rsid w:val="0078129C"/>
    <w:rsid w:val="0078133E"/>
    <w:rsid w:val="00781B2A"/>
    <w:rsid w:val="007820B0"/>
    <w:rsid w:val="00782396"/>
    <w:rsid w:val="007823C5"/>
    <w:rsid w:val="00782676"/>
    <w:rsid w:val="007828AA"/>
    <w:rsid w:val="00782933"/>
    <w:rsid w:val="007829CF"/>
    <w:rsid w:val="00782A50"/>
    <w:rsid w:val="00782DA0"/>
    <w:rsid w:val="00782FFB"/>
    <w:rsid w:val="00783549"/>
    <w:rsid w:val="00783B06"/>
    <w:rsid w:val="00783CA8"/>
    <w:rsid w:val="00783D2A"/>
    <w:rsid w:val="00783E1F"/>
    <w:rsid w:val="007847D7"/>
    <w:rsid w:val="007849A1"/>
    <w:rsid w:val="00784CCE"/>
    <w:rsid w:val="00784F73"/>
    <w:rsid w:val="00785479"/>
    <w:rsid w:val="0078570E"/>
    <w:rsid w:val="00785AB5"/>
    <w:rsid w:val="00785EE3"/>
    <w:rsid w:val="00785FF4"/>
    <w:rsid w:val="0078601E"/>
    <w:rsid w:val="00786594"/>
    <w:rsid w:val="007867C4"/>
    <w:rsid w:val="00786987"/>
    <w:rsid w:val="007869DC"/>
    <w:rsid w:val="00787049"/>
    <w:rsid w:val="007872C9"/>
    <w:rsid w:val="0078746F"/>
    <w:rsid w:val="0078755C"/>
    <w:rsid w:val="00787654"/>
    <w:rsid w:val="00787665"/>
    <w:rsid w:val="00787673"/>
    <w:rsid w:val="00787720"/>
    <w:rsid w:val="00787725"/>
    <w:rsid w:val="00787898"/>
    <w:rsid w:val="007878A7"/>
    <w:rsid w:val="007879A1"/>
    <w:rsid w:val="00790067"/>
    <w:rsid w:val="007901D3"/>
    <w:rsid w:val="007906F4"/>
    <w:rsid w:val="007909F1"/>
    <w:rsid w:val="00790D26"/>
    <w:rsid w:val="00790EB8"/>
    <w:rsid w:val="00790F47"/>
    <w:rsid w:val="00791064"/>
    <w:rsid w:val="007910C0"/>
    <w:rsid w:val="007911FA"/>
    <w:rsid w:val="0079178B"/>
    <w:rsid w:val="00791CF1"/>
    <w:rsid w:val="00791EC5"/>
    <w:rsid w:val="00791EF4"/>
    <w:rsid w:val="00792339"/>
    <w:rsid w:val="007927E7"/>
    <w:rsid w:val="007928DD"/>
    <w:rsid w:val="00792AC1"/>
    <w:rsid w:val="00792B10"/>
    <w:rsid w:val="00792C56"/>
    <w:rsid w:val="007931F4"/>
    <w:rsid w:val="007932C0"/>
    <w:rsid w:val="00793373"/>
    <w:rsid w:val="00793462"/>
    <w:rsid w:val="00793938"/>
    <w:rsid w:val="00793A79"/>
    <w:rsid w:val="00793E6C"/>
    <w:rsid w:val="007943B1"/>
    <w:rsid w:val="0079491F"/>
    <w:rsid w:val="0079494B"/>
    <w:rsid w:val="00794C56"/>
    <w:rsid w:val="0079524F"/>
    <w:rsid w:val="00795290"/>
    <w:rsid w:val="007953A7"/>
    <w:rsid w:val="007956FF"/>
    <w:rsid w:val="0079586D"/>
    <w:rsid w:val="00795A08"/>
    <w:rsid w:val="00795E25"/>
    <w:rsid w:val="00796210"/>
    <w:rsid w:val="0079638E"/>
    <w:rsid w:val="00796622"/>
    <w:rsid w:val="007967FC"/>
    <w:rsid w:val="00796855"/>
    <w:rsid w:val="00796D83"/>
    <w:rsid w:val="00796DD3"/>
    <w:rsid w:val="00797114"/>
    <w:rsid w:val="0079759E"/>
    <w:rsid w:val="0079782F"/>
    <w:rsid w:val="00797B11"/>
    <w:rsid w:val="00797B3B"/>
    <w:rsid w:val="00797BBC"/>
    <w:rsid w:val="00797FB5"/>
    <w:rsid w:val="007A01F0"/>
    <w:rsid w:val="007A0471"/>
    <w:rsid w:val="007A04A2"/>
    <w:rsid w:val="007A0869"/>
    <w:rsid w:val="007A08AF"/>
    <w:rsid w:val="007A0B4D"/>
    <w:rsid w:val="007A0BE3"/>
    <w:rsid w:val="007A0F75"/>
    <w:rsid w:val="007A1404"/>
    <w:rsid w:val="007A14C6"/>
    <w:rsid w:val="007A16BA"/>
    <w:rsid w:val="007A1D42"/>
    <w:rsid w:val="007A2492"/>
    <w:rsid w:val="007A2545"/>
    <w:rsid w:val="007A2CBF"/>
    <w:rsid w:val="007A2DF0"/>
    <w:rsid w:val="007A2ECD"/>
    <w:rsid w:val="007A2FAE"/>
    <w:rsid w:val="007A2FB6"/>
    <w:rsid w:val="007A33BB"/>
    <w:rsid w:val="007A360E"/>
    <w:rsid w:val="007A36C1"/>
    <w:rsid w:val="007A3A47"/>
    <w:rsid w:val="007A3FBD"/>
    <w:rsid w:val="007A437B"/>
    <w:rsid w:val="007A43F9"/>
    <w:rsid w:val="007A447C"/>
    <w:rsid w:val="007A4605"/>
    <w:rsid w:val="007A473B"/>
    <w:rsid w:val="007A4851"/>
    <w:rsid w:val="007A51C4"/>
    <w:rsid w:val="007A52A6"/>
    <w:rsid w:val="007A52D2"/>
    <w:rsid w:val="007A56A9"/>
    <w:rsid w:val="007A56FD"/>
    <w:rsid w:val="007A579A"/>
    <w:rsid w:val="007A58FA"/>
    <w:rsid w:val="007A59DE"/>
    <w:rsid w:val="007A5F94"/>
    <w:rsid w:val="007A6062"/>
    <w:rsid w:val="007A616E"/>
    <w:rsid w:val="007A65FF"/>
    <w:rsid w:val="007A6B71"/>
    <w:rsid w:val="007A6C18"/>
    <w:rsid w:val="007A6DF6"/>
    <w:rsid w:val="007A6F73"/>
    <w:rsid w:val="007A7079"/>
    <w:rsid w:val="007A722B"/>
    <w:rsid w:val="007A7406"/>
    <w:rsid w:val="007A7592"/>
    <w:rsid w:val="007A76AB"/>
    <w:rsid w:val="007A773F"/>
    <w:rsid w:val="007A7B31"/>
    <w:rsid w:val="007B0111"/>
    <w:rsid w:val="007B029B"/>
    <w:rsid w:val="007B02B0"/>
    <w:rsid w:val="007B02EE"/>
    <w:rsid w:val="007B0388"/>
    <w:rsid w:val="007B0814"/>
    <w:rsid w:val="007B0AE7"/>
    <w:rsid w:val="007B0C0C"/>
    <w:rsid w:val="007B0FD8"/>
    <w:rsid w:val="007B10CF"/>
    <w:rsid w:val="007B1267"/>
    <w:rsid w:val="007B1831"/>
    <w:rsid w:val="007B1A08"/>
    <w:rsid w:val="007B1A26"/>
    <w:rsid w:val="007B2749"/>
    <w:rsid w:val="007B2816"/>
    <w:rsid w:val="007B2AD0"/>
    <w:rsid w:val="007B2CE0"/>
    <w:rsid w:val="007B2E16"/>
    <w:rsid w:val="007B35E1"/>
    <w:rsid w:val="007B365F"/>
    <w:rsid w:val="007B3CA3"/>
    <w:rsid w:val="007B3F6C"/>
    <w:rsid w:val="007B4031"/>
    <w:rsid w:val="007B4461"/>
    <w:rsid w:val="007B46AD"/>
    <w:rsid w:val="007B488F"/>
    <w:rsid w:val="007B48CF"/>
    <w:rsid w:val="007B4F32"/>
    <w:rsid w:val="007B52C7"/>
    <w:rsid w:val="007B53CA"/>
    <w:rsid w:val="007B5459"/>
    <w:rsid w:val="007B55F7"/>
    <w:rsid w:val="007B5679"/>
    <w:rsid w:val="007B5969"/>
    <w:rsid w:val="007B59DA"/>
    <w:rsid w:val="007B5A80"/>
    <w:rsid w:val="007B5CAB"/>
    <w:rsid w:val="007B5DD5"/>
    <w:rsid w:val="007B5EED"/>
    <w:rsid w:val="007B5F23"/>
    <w:rsid w:val="007B6762"/>
    <w:rsid w:val="007B6880"/>
    <w:rsid w:val="007B6934"/>
    <w:rsid w:val="007B693F"/>
    <w:rsid w:val="007B6D6A"/>
    <w:rsid w:val="007B759C"/>
    <w:rsid w:val="007B7652"/>
    <w:rsid w:val="007B778A"/>
    <w:rsid w:val="007B7A0C"/>
    <w:rsid w:val="007B7C30"/>
    <w:rsid w:val="007B7F15"/>
    <w:rsid w:val="007C029E"/>
    <w:rsid w:val="007C0326"/>
    <w:rsid w:val="007C06DE"/>
    <w:rsid w:val="007C0B7F"/>
    <w:rsid w:val="007C0C0B"/>
    <w:rsid w:val="007C1246"/>
    <w:rsid w:val="007C12F7"/>
    <w:rsid w:val="007C1B45"/>
    <w:rsid w:val="007C1C11"/>
    <w:rsid w:val="007C1D6E"/>
    <w:rsid w:val="007C1EEC"/>
    <w:rsid w:val="007C201F"/>
    <w:rsid w:val="007C21DA"/>
    <w:rsid w:val="007C26AA"/>
    <w:rsid w:val="007C2892"/>
    <w:rsid w:val="007C2F83"/>
    <w:rsid w:val="007C34E5"/>
    <w:rsid w:val="007C36DA"/>
    <w:rsid w:val="007C385D"/>
    <w:rsid w:val="007C38EC"/>
    <w:rsid w:val="007C3E52"/>
    <w:rsid w:val="007C4107"/>
    <w:rsid w:val="007C4258"/>
    <w:rsid w:val="007C47C4"/>
    <w:rsid w:val="007C4884"/>
    <w:rsid w:val="007C49B5"/>
    <w:rsid w:val="007C49DC"/>
    <w:rsid w:val="007C4FA3"/>
    <w:rsid w:val="007C5998"/>
    <w:rsid w:val="007C5A97"/>
    <w:rsid w:val="007C5C89"/>
    <w:rsid w:val="007C5D62"/>
    <w:rsid w:val="007C5DC1"/>
    <w:rsid w:val="007C5E4D"/>
    <w:rsid w:val="007C60BE"/>
    <w:rsid w:val="007C60EE"/>
    <w:rsid w:val="007C623C"/>
    <w:rsid w:val="007C6463"/>
    <w:rsid w:val="007C6583"/>
    <w:rsid w:val="007C65DA"/>
    <w:rsid w:val="007C665B"/>
    <w:rsid w:val="007C6787"/>
    <w:rsid w:val="007C67C3"/>
    <w:rsid w:val="007C6D7F"/>
    <w:rsid w:val="007C717A"/>
    <w:rsid w:val="007D0408"/>
    <w:rsid w:val="007D0419"/>
    <w:rsid w:val="007D07A2"/>
    <w:rsid w:val="007D0892"/>
    <w:rsid w:val="007D0A9E"/>
    <w:rsid w:val="007D1046"/>
    <w:rsid w:val="007D135F"/>
    <w:rsid w:val="007D1405"/>
    <w:rsid w:val="007D1918"/>
    <w:rsid w:val="007D1A7A"/>
    <w:rsid w:val="007D1E5C"/>
    <w:rsid w:val="007D1EF9"/>
    <w:rsid w:val="007D2232"/>
    <w:rsid w:val="007D2657"/>
    <w:rsid w:val="007D2673"/>
    <w:rsid w:val="007D2B43"/>
    <w:rsid w:val="007D2BA8"/>
    <w:rsid w:val="007D302F"/>
    <w:rsid w:val="007D334B"/>
    <w:rsid w:val="007D3527"/>
    <w:rsid w:val="007D367D"/>
    <w:rsid w:val="007D39B1"/>
    <w:rsid w:val="007D3AA9"/>
    <w:rsid w:val="007D3E0A"/>
    <w:rsid w:val="007D403D"/>
    <w:rsid w:val="007D4158"/>
    <w:rsid w:val="007D454E"/>
    <w:rsid w:val="007D49A9"/>
    <w:rsid w:val="007D4B9C"/>
    <w:rsid w:val="007D4BF6"/>
    <w:rsid w:val="007D4C85"/>
    <w:rsid w:val="007D512F"/>
    <w:rsid w:val="007D5592"/>
    <w:rsid w:val="007D559A"/>
    <w:rsid w:val="007D598A"/>
    <w:rsid w:val="007D6177"/>
    <w:rsid w:val="007D682B"/>
    <w:rsid w:val="007D70EC"/>
    <w:rsid w:val="007D73F9"/>
    <w:rsid w:val="007D7447"/>
    <w:rsid w:val="007D74DB"/>
    <w:rsid w:val="007D775F"/>
    <w:rsid w:val="007D7764"/>
    <w:rsid w:val="007D77C8"/>
    <w:rsid w:val="007D78C4"/>
    <w:rsid w:val="007D7973"/>
    <w:rsid w:val="007D7E33"/>
    <w:rsid w:val="007D7F8E"/>
    <w:rsid w:val="007D7F9E"/>
    <w:rsid w:val="007D7FE2"/>
    <w:rsid w:val="007E024B"/>
    <w:rsid w:val="007E0321"/>
    <w:rsid w:val="007E0352"/>
    <w:rsid w:val="007E0766"/>
    <w:rsid w:val="007E0890"/>
    <w:rsid w:val="007E0984"/>
    <w:rsid w:val="007E0A89"/>
    <w:rsid w:val="007E0B37"/>
    <w:rsid w:val="007E0CEF"/>
    <w:rsid w:val="007E10D7"/>
    <w:rsid w:val="007E1273"/>
    <w:rsid w:val="007E14AF"/>
    <w:rsid w:val="007E177F"/>
    <w:rsid w:val="007E1CAE"/>
    <w:rsid w:val="007E1CEE"/>
    <w:rsid w:val="007E1F0E"/>
    <w:rsid w:val="007E21AD"/>
    <w:rsid w:val="007E2216"/>
    <w:rsid w:val="007E232A"/>
    <w:rsid w:val="007E2381"/>
    <w:rsid w:val="007E23B7"/>
    <w:rsid w:val="007E277A"/>
    <w:rsid w:val="007E29BA"/>
    <w:rsid w:val="007E2ABB"/>
    <w:rsid w:val="007E2AD2"/>
    <w:rsid w:val="007E2B1C"/>
    <w:rsid w:val="007E2C51"/>
    <w:rsid w:val="007E2D5A"/>
    <w:rsid w:val="007E2E0B"/>
    <w:rsid w:val="007E30E2"/>
    <w:rsid w:val="007E3197"/>
    <w:rsid w:val="007E32BC"/>
    <w:rsid w:val="007E3578"/>
    <w:rsid w:val="007E3785"/>
    <w:rsid w:val="007E3A5E"/>
    <w:rsid w:val="007E3B70"/>
    <w:rsid w:val="007E3D15"/>
    <w:rsid w:val="007E3F4C"/>
    <w:rsid w:val="007E40B1"/>
    <w:rsid w:val="007E4337"/>
    <w:rsid w:val="007E45CD"/>
    <w:rsid w:val="007E4617"/>
    <w:rsid w:val="007E4ADD"/>
    <w:rsid w:val="007E51E4"/>
    <w:rsid w:val="007E5577"/>
    <w:rsid w:val="007E5831"/>
    <w:rsid w:val="007E5B22"/>
    <w:rsid w:val="007E5BFF"/>
    <w:rsid w:val="007E5F56"/>
    <w:rsid w:val="007E62FD"/>
    <w:rsid w:val="007E6737"/>
    <w:rsid w:val="007E6B88"/>
    <w:rsid w:val="007E6C3D"/>
    <w:rsid w:val="007E7069"/>
    <w:rsid w:val="007E743B"/>
    <w:rsid w:val="007E7448"/>
    <w:rsid w:val="007E79B3"/>
    <w:rsid w:val="007E7B60"/>
    <w:rsid w:val="007E7CE4"/>
    <w:rsid w:val="007E7DDF"/>
    <w:rsid w:val="007F002C"/>
    <w:rsid w:val="007F00BA"/>
    <w:rsid w:val="007F0282"/>
    <w:rsid w:val="007F0D46"/>
    <w:rsid w:val="007F126D"/>
    <w:rsid w:val="007F1ACD"/>
    <w:rsid w:val="007F1B15"/>
    <w:rsid w:val="007F1CB9"/>
    <w:rsid w:val="007F1F6D"/>
    <w:rsid w:val="007F226E"/>
    <w:rsid w:val="007F2345"/>
    <w:rsid w:val="007F268C"/>
    <w:rsid w:val="007F2727"/>
    <w:rsid w:val="007F274C"/>
    <w:rsid w:val="007F2BCD"/>
    <w:rsid w:val="007F2BE5"/>
    <w:rsid w:val="007F2FFD"/>
    <w:rsid w:val="007F32A1"/>
    <w:rsid w:val="007F35E9"/>
    <w:rsid w:val="007F385C"/>
    <w:rsid w:val="007F3A04"/>
    <w:rsid w:val="007F3E16"/>
    <w:rsid w:val="007F3ED0"/>
    <w:rsid w:val="007F40D4"/>
    <w:rsid w:val="007F42EB"/>
    <w:rsid w:val="007F465E"/>
    <w:rsid w:val="007F4774"/>
    <w:rsid w:val="007F477B"/>
    <w:rsid w:val="007F4D6C"/>
    <w:rsid w:val="007F5301"/>
    <w:rsid w:val="007F5449"/>
    <w:rsid w:val="007F5715"/>
    <w:rsid w:val="007F59CF"/>
    <w:rsid w:val="007F621E"/>
    <w:rsid w:val="007F6235"/>
    <w:rsid w:val="007F6305"/>
    <w:rsid w:val="007F6633"/>
    <w:rsid w:val="007F6703"/>
    <w:rsid w:val="007F67C3"/>
    <w:rsid w:val="007F70A6"/>
    <w:rsid w:val="007F732C"/>
    <w:rsid w:val="007F7718"/>
    <w:rsid w:val="007F7853"/>
    <w:rsid w:val="007F7BE3"/>
    <w:rsid w:val="0080020A"/>
    <w:rsid w:val="00800243"/>
    <w:rsid w:val="00800484"/>
    <w:rsid w:val="0080086F"/>
    <w:rsid w:val="00800A45"/>
    <w:rsid w:val="00800C25"/>
    <w:rsid w:val="00800C64"/>
    <w:rsid w:val="0080107F"/>
    <w:rsid w:val="00801522"/>
    <w:rsid w:val="0080152A"/>
    <w:rsid w:val="008017D9"/>
    <w:rsid w:val="00801D9E"/>
    <w:rsid w:val="00801F25"/>
    <w:rsid w:val="00802290"/>
    <w:rsid w:val="00802607"/>
    <w:rsid w:val="0080273E"/>
    <w:rsid w:val="008028B1"/>
    <w:rsid w:val="00802F4B"/>
    <w:rsid w:val="00802F9D"/>
    <w:rsid w:val="00802FAF"/>
    <w:rsid w:val="0080352A"/>
    <w:rsid w:val="00803B46"/>
    <w:rsid w:val="00804083"/>
    <w:rsid w:val="00804277"/>
    <w:rsid w:val="00804695"/>
    <w:rsid w:val="00804858"/>
    <w:rsid w:val="00804891"/>
    <w:rsid w:val="008052F3"/>
    <w:rsid w:val="00805436"/>
    <w:rsid w:val="008056AA"/>
    <w:rsid w:val="00805A8E"/>
    <w:rsid w:val="00805B94"/>
    <w:rsid w:val="00805C7D"/>
    <w:rsid w:val="00805D5A"/>
    <w:rsid w:val="0080620D"/>
    <w:rsid w:val="008063C1"/>
    <w:rsid w:val="008063D3"/>
    <w:rsid w:val="00806437"/>
    <w:rsid w:val="00806532"/>
    <w:rsid w:val="00806641"/>
    <w:rsid w:val="00806CD3"/>
    <w:rsid w:val="00806DF6"/>
    <w:rsid w:val="00806E17"/>
    <w:rsid w:val="00806F1F"/>
    <w:rsid w:val="00806F7B"/>
    <w:rsid w:val="00807038"/>
    <w:rsid w:val="00807635"/>
    <w:rsid w:val="00807638"/>
    <w:rsid w:val="0080769F"/>
    <w:rsid w:val="0080792F"/>
    <w:rsid w:val="00807FB3"/>
    <w:rsid w:val="00810446"/>
    <w:rsid w:val="008106F6"/>
    <w:rsid w:val="00810D5C"/>
    <w:rsid w:val="0081114F"/>
    <w:rsid w:val="00811277"/>
    <w:rsid w:val="00811EF3"/>
    <w:rsid w:val="00812C94"/>
    <w:rsid w:val="008130F9"/>
    <w:rsid w:val="008132D2"/>
    <w:rsid w:val="008137B5"/>
    <w:rsid w:val="008137BF"/>
    <w:rsid w:val="00813811"/>
    <w:rsid w:val="00813DFC"/>
    <w:rsid w:val="00813EC9"/>
    <w:rsid w:val="00814409"/>
    <w:rsid w:val="0081449A"/>
    <w:rsid w:val="00814511"/>
    <w:rsid w:val="008147AA"/>
    <w:rsid w:val="008148D3"/>
    <w:rsid w:val="00814CE4"/>
    <w:rsid w:val="0081529F"/>
    <w:rsid w:val="0081539E"/>
    <w:rsid w:val="008155CC"/>
    <w:rsid w:val="008158C0"/>
    <w:rsid w:val="008159C3"/>
    <w:rsid w:val="00815D63"/>
    <w:rsid w:val="00815F8F"/>
    <w:rsid w:val="0081628B"/>
    <w:rsid w:val="00816710"/>
    <w:rsid w:val="00816A54"/>
    <w:rsid w:val="00817081"/>
    <w:rsid w:val="008175E7"/>
    <w:rsid w:val="00817D6F"/>
    <w:rsid w:val="008201FC"/>
    <w:rsid w:val="00820345"/>
    <w:rsid w:val="00820356"/>
    <w:rsid w:val="00820827"/>
    <w:rsid w:val="00820AD2"/>
    <w:rsid w:val="00821172"/>
    <w:rsid w:val="008214E7"/>
    <w:rsid w:val="0082156A"/>
    <w:rsid w:val="00821668"/>
    <w:rsid w:val="00821778"/>
    <w:rsid w:val="00821B58"/>
    <w:rsid w:val="00821BD6"/>
    <w:rsid w:val="00821CD3"/>
    <w:rsid w:val="00821E28"/>
    <w:rsid w:val="00822289"/>
    <w:rsid w:val="00822759"/>
    <w:rsid w:val="008228A1"/>
    <w:rsid w:val="008229F6"/>
    <w:rsid w:val="00822EC1"/>
    <w:rsid w:val="008232B4"/>
    <w:rsid w:val="00823575"/>
    <w:rsid w:val="0082376A"/>
    <w:rsid w:val="00823B5F"/>
    <w:rsid w:val="00823F6E"/>
    <w:rsid w:val="00824115"/>
    <w:rsid w:val="00824162"/>
    <w:rsid w:val="008247EA"/>
    <w:rsid w:val="00824BA7"/>
    <w:rsid w:val="00824CE3"/>
    <w:rsid w:val="00824EA0"/>
    <w:rsid w:val="00824EAF"/>
    <w:rsid w:val="00825447"/>
    <w:rsid w:val="00825600"/>
    <w:rsid w:val="0082564B"/>
    <w:rsid w:val="0082580F"/>
    <w:rsid w:val="0082595A"/>
    <w:rsid w:val="00825BBD"/>
    <w:rsid w:val="00825BC4"/>
    <w:rsid w:val="00825F0D"/>
    <w:rsid w:val="00826053"/>
    <w:rsid w:val="008261ED"/>
    <w:rsid w:val="00826451"/>
    <w:rsid w:val="00826491"/>
    <w:rsid w:val="00826D4E"/>
    <w:rsid w:val="00826DF2"/>
    <w:rsid w:val="00826F43"/>
    <w:rsid w:val="008271D8"/>
    <w:rsid w:val="0082748F"/>
    <w:rsid w:val="00827676"/>
    <w:rsid w:val="008276EF"/>
    <w:rsid w:val="008279B8"/>
    <w:rsid w:val="00827ACB"/>
    <w:rsid w:val="00827B25"/>
    <w:rsid w:val="00827F7B"/>
    <w:rsid w:val="00827FB7"/>
    <w:rsid w:val="0083007B"/>
    <w:rsid w:val="0083018C"/>
    <w:rsid w:val="008301BF"/>
    <w:rsid w:val="0083028E"/>
    <w:rsid w:val="00830376"/>
    <w:rsid w:val="0083044B"/>
    <w:rsid w:val="00830462"/>
    <w:rsid w:val="0083071B"/>
    <w:rsid w:val="00830A3D"/>
    <w:rsid w:val="00830C12"/>
    <w:rsid w:val="00830EA4"/>
    <w:rsid w:val="00830EF3"/>
    <w:rsid w:val="00831016"/>
    <w:rsid w:val="008313C2"/>
    <w:rsid w:val="00831400"/>
    <w:rsid w:val="00831485"/>
    <w:rsid w:val="008314ED"/>
    <w:rsid w:val="0083161E"/>
    <w:rsid w:val="00831B06"/>
    <w:rsid w:val="00831D19"/>
    <w:rsid w:val="00832370"/>
    <w:rsid w:val="00832442"/>
    <w:rsid w:val="0083250F"/>
    <w:rsid w:val="008326B1"/>
    <w:rsid w:val="00832A75"/>
    <w:rsid w:val="00832D2F"/>
    <w:rsid w:val="00832ED8"/>
    <w:rsid w:val="00832F39"/>
    <w:rsid w:val="0083310F"/>
    <w:rsid w:val="008332CE"/>
    <w:rsid w:val="008335D0"/>
    <w:rsid w:val="008335FC"/>
    <w:rsid w:val="00833857"/>
    <w:rsid w:val="00833F86"/>
    <w:rsid w:val="0083407A"/>
    <w:rsid w:val="0083421C"/>
    <w:rsid w:val="0083470B"/>
    <w:rsid w:val="00834A27"/>
    <w:rsid w:val="00834E0D"/>
    <w:rsid w:val="00835441"/>
    <w:rsid w:val="008357F6"/>
    <w:rsid w:val="00835831"/>
    <w:rsid w:val="008358E4"/>
    <w:rsid w:val="00835DEC"/>
    <w:rsid w:val="008362C0"/>
    <w:rsid w:val="008364D5"/>
    <w:rsid w:val="008365C5"/>
    <w:rsid w:val="00837068"/>
    <w:rsid w:val="00837095"/>
    <w:rsid w:val="00837447"/>
    <w:rsid w:val="00837BCC"/>
    <w:rsid w:val="00837E1D"/>
    <w:rsid w:val="00837EE1"/>
    <w:rsid w:val="008403A6"/>
    <w:rsid w:val="008403B3"/>
    <w:rsid w:val="00840658"/>
    <w:rsid w:val="008408AC"/>
    <w:rsid w:val="00841051"/>
    <w:rsid w:val="0084112F"/>
    <w:rsid w:val="00841202"/>
    <w:rsid w:val="00841273"/>
    <w:rsid w:val="00841663"/>
    <w:rsid w:val="008418AE"/>
    <w:rsid w:val="008419CD"/>
    <w:rsid w:val="00841EC9"/>
    <w:rsid w:val="00842331"/>
    <w:rsid w:val="0084251F"/>
    <w:rsid w:val="00842632"/>
    <w:rsid w:val="00842901"/>
    <w:rsid w:val="00842AA1"/>
    <w:rsid w:val="00842B33"/>
    <w:rsid w:val="00842CD8"/>
    <w:rsid w:val="00842F23"/>
    <w:rsid w:val="00843014"/>
    <w:rsid w:val="00843470"/>
    <w:rsid w:val="00843714"/>
    <w:rsid w:val="00843A41"/>
    <w:rsid w:val="00843DBE"/>
    <w:rsid w:val="008442EA"/>
    <w:rsid w:val="00844424"/>
    <w:rsid w:val="00844769"/>
    <w:rsid w:val="00844855"/>
    <w:rsid w:val="00844C0C"/>
    <w:rsid w:val="00844D09"/>
    <w:rsid w:val="0084525F"/>
    <w:rsid w:val="00845302"/>
    <w:rsid w:val="00845304"/>
    <w:rsid w:val="00845318"/>
    <w:rsid w:val="00845DCC"/>
    <w:rsid w:val="008460BC"/>
    <w:rsid w:val="008461F1"/>
    <w:rsid w:val="00846237"/>
    <w:rsid w:val="00846455"/>
    <w:rsid w:val="00846465"/>
    <w:rsid w:val="008469DD"/>
    <w:rsid w:val="00846E4A"/>
    <w:rsid w:val="00847072"/>
    <w:rsid w:val="00847151"/>
    <w:rsid w:val="0084741E"/>
    <w:rsid w:val="008474C1"/>
    <w:rsid w:val="008474C5"/>
    <w:rsid w:val="00847996"/>
    <w:rsid w:val="00847A23"/>
    <w:rsid w:val="00847AA8"/>
    <w:rsid w:val="00847D35"/>
    <w:rsid w:val="00850056"/>
    <w:rsid w:val="00850146"/>
    <w:rsid w:val="0085028F"/>
    <w:rsid w:val="0085054B"/>
    <w:rsid w:val="008505B3"/>
    <w:rsid w:val="0085076C"/>
    <w:rsid w:val="00850776"/>
    <w:rsid w:val="00850A00"/>
    <w:rsid w:val="00850A99"/>
    <w:rsid w:val="00850BE1"/>
    <w:rsid w:val="00850F4D"/>
    <w:rsid w:val="00851119"/>
    <w:rsid w:val="00851384"/>
    <w:rsid w:val="008515CA"/>
    <w:rsid w:val="0085181C"/>
    <w:rsid w:val="00851952"/>
    <w:rsid w:val="008519A6"/>
    <w:rsid w:val="00851D70"/>
    <w:rsid w:val="00851EE6"/>
    <w:rsid w:val="00852234"/>
    <w:rsid w:val="008524A6"/>
    <w:rsid w:val="008526E4"/>
    <w:rsid w:val="008526F9"/>
    <w:rsid w:val="00852751"/>
    <w:rsid w:val="008527DA"/>
    <w:rsid w:val="0085289A"/>
    <w:rsid w:val="00852A3D"/>
    <w:rsid w:val="00852CD8"/>
    <w:rsid w:val="00852D51"/>
    <w:rsid w:val="00852D56"/>
    <w:rsid w:val="00852F33"/>
    <w:rsid w:val="008531A3"/>
    <w:rsid w:val="008531B6"/>
    <w:rsid w:val="008535B9"/>
    <w:rsid w:val="00853754"/>
    <w:rsid w:val="008540A7"/>
    <w:rsid w:val="008544A2"/>
    <w:rsid w:val="00854ABA"/>
    <w:rsid w:val="00854D87"/>
    <w:rsid w:val="00854DF7"/>
    <w:rsid w:val="00854E2B"/>
    <w:rsid w:val="008550B3"/>
    <w:rsid w:val="00855120"/>
    <w:rsid w:val="008552FD"/>
    <w:rsid w:val="00855CBA"/>
    <w:rsid w:val="00855E83"/>
    <w:rsid w:val="00855F45"/>
    <w:rsid w:val="00856055"/>
    <w:rsid w:val="00856092"/>
    <w:rsid w:val="008560FE"/>
    <w:rsid w:val="0085633C"/>
    <w:rsid w:val="00856352"/>
    <w:rsid w:val="00856604"/>
    <w:rsid w:val="00856677"/>
    <w:rsid w:val="008568BC"/>
    <w:rsid w:val="008568DD"/>
    <w:rsid w:val="00856BE4"/>
    <w:rsid w:val="00856EF0"/>
    <w:rsid w:val="008576CA"/>
    <w:rsid w:val="008578A9"/>
    <w:rsid w:val="00857967"/>
    <w:rsid w:val="00857DEF"/>
    <w:rsid w:val="00857E7B"/>
    <w:rsid w:val="0086018B"/>
    <w:rsid w:val="008602D3"/>
    <w:rsid w:val="0086048D"/>
    <w:rsid w:val="00860499"/>
    <w:rsid w:val="008605B1"/>
    <w:rsid w:val="008605D1"/>
    <w:rsid w:val="00860D8A"/>
    <w:rsid w:val="00860E95"/>
    <w:rsid w:val="00860FAD"/>
    <w:rsid w:val="008610F9"/>
    <w:rsid w:val="008615DF"/>
    <w:rsid w:val="00861B28"/>
    <w:rsid w:val="00861C56"/>
    <w:rsid w:val="00861E68"/>
    <w:rsid w:val="00861F34"/>
    <w:rsid w:val="0086207D"/>
    <w:rsid w:val="00862282"/>
    <w:rsid w:val="0086248E"/>
    <w:rsid w:val="00862621"/>
    <w:rsid w:val="00862A73"/>
    <w:rsid w:val="00862A9C"/>
    <w:rsid w:val="00862AED"/>
    <w:rsid w:val="00862BA8"/>
    <w:rsid w:val="008632CC"/>
    <w:rsid w:val="008632D0"/>
    <w:rsid w:val="008633F0"/>
    <w:rsid w:val="008636B6"/>
    <w:rsid w:val="008636BA"/>
    <w:rsid w:val="00863827"/>
    <w:rsid w:val="008638B8"/>
    <w:rsid w:val="00863F70"/>
    <w:rsid w:val="00864233"/>
    <w:rsid w:val="008645D1"/>
    <w:rsid w:val="00864BCF"/>
    <w:rsid w:val="00864FDD"/>
    <w:rsid w:val="00864FFE"/>
    <w:rsid w:val="008650F5"/>
    <w:rsid w:val="00865150"/>
    <w:rsid w:val="00865316"/>
    <w:rsid w:val="008657BD"/>
    <w:rsid w:val="008658E1"/>
    <w:rsid w:val="00865944"/>
    <w:rsid w:val="00865A33"/>
    <w:rsid w:val="00865F05"/>
    <w:rsid w:val="00865F18"/>
    <w:rsid w:val="008661C2"/>
    <w:rsid w:val="0086638E"/>
    <w:rsid w:val="008663D4"/>
    <w:rsid w:val="008667E3"/>
    <w:rsid w:val="008667F7"/>
    <w:rsid w:val="00866C0E"/>
    <w:rsid w:val="00867049"/>
    <w:rsid w:val="008670FF"/>
    <w:rsid w:val="00867AB9"/>
    <w:rsid w:val="0087010B"/>
    <w:rsid w:val="00870C04"/>
    <w:rsid w:val="00870C8E"/>
    <w:rsid w:val="00870E4D"/>
    <w:rsid w:val="0087106E"/>
    <w:rsid w:val="008712C8"/>
    <w:rsid w:val="0087175C"/>
    <w:rsid w:val="00871845"/>
    <w:rsid w:val="00871EB6"/>
    <w:rsid w:val="008723DA"/>
    <w:rsid w:val="0087244F"/>
    <w:rsid w:val="00872D6B"/>
    <w:rsid w:val="00873211"/>
    <w:rsid w:val="0087383A"/>
    <w:rsid w:val="00873845"/>
    <w:rsid w:val="00873D0B"/>
    <w:rsid w:val="00873F7B"/>
    <w:rsid w:val="0087447F"/>
    <w:rsid w:val="0087488C"/>
    <w:rsid w:val="008749F3"/>
    <w:rsid w:val="00874A57"/>
    <w:rsid w:val="00874C44"/>
    <w:rsid w:val="00874D30"/>
    <w:rsid w:val="00874D90"/>
    <w:rsid w:val="00875138"/>
    <w:rsid w:val="0087515C"/>
    <w:rsid w:val="00875234"/>
    <w:rsid w:val="00875686"/>
    <w:rsid w:val="00875F0A"/>
    <w:rsid w:val="00876065"/>
    <w:rsid w:val="00876084"/>
    <w:rsid w:val="00876363"/>
    <w:rsid w:val="00876374"/>
    <w:rsid w:val="0087638E"/>
    <w:rsid w:val="00876527"/>
    <w:rsid w:val="00876596"/>
    <w:rsid w:val="00876821"/>
    <w:rsid w:val="0087687B"/>
    <w:rsid w:val="00876B0B"/>
    <w:rsid w:val="00876D03"/>
    <w:rsid w:val="00877178"/>
    <w:rsid w:val="0087739A"/>
    <w:rsid w:val="008776DA"/>
    <w:rsid w:val="008777DE"/>
    <w:rsid w:val="00877A36"/>
    <w:rsid w:val="00877A66"/>
    <w:rsid w:val="00877A8A"/>
    <w:rsid w:val="00877D1E"/>
    <w:rsid w:val="0088008D"/>
    <w:rsid w:val="0088011A"/>
    <w:rsid w:val="00880147"/>
    <w:rsid w:val="00880674"/>
    <w:rsid w:val="00880786"/>
    <w:rsid w:val="00880BEA"/>
    <w:rsid w:val="00880EEA"/>
    <w:rsid w:val="008813F0"/>
    <w:rsid w:val="008816E4"/>
    <w:rsid w:val="008819E2"/>
    <w:rsid w:val="00881E15"/>
    <w:rsid w:val="0088205D"/>
    <w:rsid w:val="00882768"/>
    <w:rsid w:val="00882C75"/>
    <w:rsid w:val="00883566"/>
    <w:rsid w:val="00883795"/>
    <w:rsid w:val="008839C1"/>
    <w:rsid w:val="00883E37"/>
    <w:rsid w:val="00883FE8"/>
    <w:rsid w:val="008842B6"/>
    <w:rsid w:val="008846A4"/>
    <w:rsid w:val="00884937"/>
    <w:rsid w:val="00884D64"/>
    <w:rsid w:val="00885322"/>
    <w:rsid w:val="00885363"/>
    <w:rsid w:val="0088543B"/>
    <w:rsid w:val="00885620"/>
    <w:rsid w:val="00885708"/>
    <w:rsid w:val="00885BBC"/>
    <w:rsid w:val="008860E5"/>
    <w:rsid w:val="0088653C"/>
    <w:rsid w:val="00886AC9"/>
    <w:rsid w:val="00886D20"/>
    <w:rsid w:val="00886F1F"/>
    <w:rsid w:val="00886F52"/>
    <w:rsid w:val="00886F8F"/>
    <w:rsid w:val="00886FAD"/>
    <w:rsid w:val="00887076"/>
    <w:rsid w:val="00887132"/>
    <w:rsid w:val="008874BC"/>
    <w:rsid w:val="008876A5"/>
    <w:rsid w:val="008879F8"/>
    <w:rsid w:val="00887AF6"/>
    <w:rsid w:val="00887B56"/>
    <w:rsid w:val="00887C0F"/>
    <w:rsid w:val="00887C1F"/>
    <w:rsid w:val="00887C4C"/>
    <w:rsid w:val="00887F00"/>
    <w:rsid w:val="008900BE"/>
    <w:rsid w:val="00890370"/>
    <w:rsid w:val="00890371"/>
    <w:rsid w:val="00890CED"/>
    <w:rsid w:val="00890DD9"/>
    <w:rsid w:val="00890F8D"/>
    <w:rsid w:val="008916B5"/>
    <w:rsid w:val="008919A2"/>
    <w:rsid w:val="00891DE8"/>
    <w:rsid w:val="00891E85"/>
    <w:rsid w:val="0089248F"/>
    <w:rsid w:val="008925BC"/>
    <w:rsid w:val="00892A91"/>
    <w:rsid w:val="00892F6C"/>
    <w:rsid w:val="008934E9"/>
    <w:rsid w:val="0089353F"/>
    <w:rsid w:val="00893541"/>
    <w:rsid w:val="00893A6A"/>
    <w:rsid w:val="00893C70"/>
    <w:rsid w:val="00893C84"/>
    <w:rsid w:val="00893E18"/>
    <w:rsid w:val="008941C6"/>
    <w:rsid w:val="00894499"/>
    <w:rsid w:val="0089455C"/>
    <w:rsid w:val="00894890"/>
    <w:rsid w:val="00894F4D"/>
    <w:rsid w:val="00894F53"/>
    <w:rsid w:val="00895027"/>
    <w:rsid w:val="00895A35"/>
    <w:rsid w:val="00895A85"/>
    <w:rsid w:val="00895D6B"/>
    <w:rsid w:val="00896210"/>
    <w:rsid w:val="0089650E"/>
    <w:rsid w:val="00896E80"/>
    <w:rsid w:val="00896F52"/>
    <w:rsid w:val="008972E0"/>
    <w:rsid w:val="00897967"/>
    <w:rsid w:val="00897F0E"/>
    <w:rsid w:val="00897F5E"/>
    <w:rsid w:val="008A006B"/>
    <w:rsid w:val="008A039F"/>
    <w:rsid w:val="008A0485"/>
    <w:rsid w:val="008A049E"/>
    <w:rsid w:val="008A112B"/>
    <w:rsid w:val="008A1191"/>
    <w:rsid w:val="008A1236"/>
    <w:rsid w:val="008A12A1"/>
    <w:rsid w:val="008A150B"/>
    <w:rsid w:val="008A17E1"/>
    <w:rsid w:val="008A1865"/>
    <w:rsid w:val="008A1B37"/>
    <w:rsid w:val="008A1D71"/>
    <w:rsid w:val="008A1F40"/>
    <w:rsid w:val="008A236D"/>
    <w:rsid w:val="008A24F8"/>
    <w:rsid w:val="008A2AE2"/>
    <w:rsid w:val="008A2B0B"/>
    <w:rsid w:val="008A2BED"/>
    <w:rsid w:val="008A2EE0"/>
    <w:rsid w:val="008A30C2"/>
    <w:rsid w:val="008A315F"/>
    <w:rsid w:val="008A341C"/>
    <w:rsid w:val="008A362A"/>
    <w:rsid w:val="008A38E3"/>
    <w:rsid w:val="008A3E1F"/>
    <w:rsid w:val="008A4605"/>
    <w:rsid w:val="008A47B2"/>
    <w:rsid w:val="008A489D"/>
    <w:rsid w:val="008A48C6"/>
    <w:rsid w:val="008A51A7"/>
    <w:rsid w:val="008A51EF"/>
    <w:rsid w:val="008A53EB"/>
    <w:rsid w:val="008A57E3"/>
    <w:rsid w:val="008A6721"/>
    <w:rsid w:val="008A69A7"/>
    <w:rsid w:val="008A6BF0"/>
    <w:rsid w:val="008A6D15"/>
    <w:rsid w:val="008A6D94"/>
    <w:rsid w:val="008A6F35"/>
    <w:rsid w:val="008A74D9"/>
    <w:rsid w:val="008A7646"/>
    <w:rsid w:val="008A7811"/>
    <w:rsid w:val="008A79CD"/>
    <w:rsid w:val="008A7A09"/>
    <w:rsid w:val="008A7A49"/>
    <w:rsid w:val="008A7A6A"/>
    <w:rsid w:val="008A7DD1"/>
    <w:rsid w:val="008A7FDF"/>
    <w:rsid w:val="008B00D1"/>
    <w:rsid w:val="008B08D0"/>
    <w:rsid w:val="008B0B8E"/>
    <w:rsid w:val="008B0CA1"/>
    <w:rsid w:val="008B0E00"/>
    <w:rsid w:val="008B0E37"/>
    <w:rsid w:val="008B0FE6"/>
    <w:rsid w:val="008B1389"/>
    <w:rsid w:val="008B1506"/>
    <w:rsid w:val="008B172A"/>
    <w:rsid w:val="008B1866"/>
    <w:rsid w:val="008B26C5"/>
    <w:rsid w:val="008B2B77"/>
    <w:rsid w:val="008B2B7E"/>
    <w:rsid w:val="008B2BD8"/>
    <w:rsid w:val="008B2C46"/>
    <w:rsid w:val="008B2CB9"/>
    <w:rsid w:val="008B30FD"/>
    <w:rsid w:val="008B3271"/>
    <w:rsid w:val="008B3531"/>
    <w:rsid w:val="008B41DD"/>
    <w:rsid w:val="008B453F"/>
    <w:rsid w:val="008B4626"/>
    <w:rsid w:val="008B4747"/>
    <w:rsid w:val="008B4914"/>
    <w:rsid w:val="008B4F98"/>
    <w:rsid w:val="008B5109"/>
    <w:rsid w:val="008B5319"/>
    <w:rsid w:val="008B53EE"/>
    <w:rsid w:val="008B59E8"/>
    <w:rsid w:val="008B5B3F"/>
    <w:rsid w:val="008B5B67"/>
    <w:rsid w:val="008B5BB4"/>
    <w:rsid w:val="008B5CA7"/>
    <w:rsid w:val="008B5CF4"/>
    <w:rsid w:val="008B609B"/>
    <w:rsid w:val="008B61A7"/>
    <w:rsid w:val="008B6BA4"/>
    <w:rsid w:val="008B7480"/>
    <w:rsid w:val="008B7545"/>
    <w:rsid w:val="008B778F"/>
    <w:rsid w:val="008B79D3"/>
    <w:rsid w:val="008C02EE"/>
    <w:rsid w:val="008C048B"/>
    <w:rsid w:val="008C063E"/>
    <w:rsid w:val="008C0A93"/>
    <w:rsid w:val="008C0C04"/>
    <w:rsid w:val="008C0C9D"/>
    <w:rsid w:val="008C0D7C"/>
    <w:rsid w:val="008C0E77"/>
    <w:rsid w:val="008C0FF1"/>
    <w:rsid w:val="008C1190"/>
    <w:rsid w:val="008C11B5"/>
    <w:rsid w:val="008C1628"/>
    <w:rsid w:val="008C18F0"/>
    <w:rsid w:val="008C1922"/>
    <w:rsid w:val="008C1996"/>
    <w:rsid w:val="008C1A2A"/>
    <w:rsid w:val="008C1E5F"/>
    <w:rsid w:val="008C1EEF"/>
    <w:rsid w:val="008C21DA"/>
    <w:rsid w:val="008C242C"/>
    <w:rsid w:val="008C2DDB"/>
    <w:rsid w:val="008C31B4"/>
    <w:rsid w:val="008C33A2"/>
    <w:rsid w:val="008C33D5"/>
    <w:rsid w:val="008C3479"/>
    <w:rsid w:val="008C34EC"/>
    <w:rsid w:val="008C3986"/>
    <w:rsid w:val="008C399A"/>
    <w:rsid w:val="008C413C"/>
    <w:rsid w:val="008C4150"/>
    <w:rsid w:val="008C44C5"/>
    <w:rsid w:val="008C49C0"/>
    <w:rsid w:val="008C4CBC"/>
    <w:rsid w:val="008C4D04"/>
    <w:rsid w:val="008C4D61"/>
    <w:rsid w:val="008C4DB0"/>
    <w:rsid w:val="008C50C7"/>
    <w:rsid w:val="008C51AA"/>
    <w:rsid w:val="008C5AC0"/>
    <w:rsid w:val="008C5B1D"/>
    <w:rsid w:val="008C5B65"/>
    <w:rsid w:val="008C63E6"/>
    <w:rsid w:val="008C6650"/>
    <w:rsid w:val="008C666D"/>
    <w:rsid w:val="008C6924"/>
    <w:rsid w:val="008C6AD5"/>
    <w:rsid w:val="008C6B52"/>
    <w:rsid w:val="008C6B9A"/>
    <w:rsid w:val="008C71F7"/>
    <w:rsid w:val="008C740E"/>
    <w:rsid w:val="008C74AC"/>
    <w:rsid w:val="008C7608"/>
    <w:rsid w:val="008C7A12"/>
    <w:rsid w:val="008C7ABE"/>
    <w:rsid w:val="008C7CD6"/>
    <w:rsid w:val="008C7F0C"/>
    <w:rsid w:val="008C7F38"/>
    <w:rsid w:val="008D0045"/>
    <w:rsid w:val="008D005A"/>
    <w:rsid w:val="008D0D81"/>
    <w:rsid w:val="008D1212"/>
    <w:rsid w:val="008D13B7"/>
    <w:rsid w:val="008D187B"/>
    <w:rsid w:val="008D2410"/>
    <w:rsid w:val="008D2836"/>
    <w:rsid w:val="008D2AEA"/>
    <w:rsid w:val="008D2ECE"/>
    <w:rsid w:val="008D3011"/>
    <w:rsid w:val="008D3186"/>
    <w:rsid w:val="008D31A1"/>
    <w:rsid w:val="008D356A"/>
    <w:rsid w:val="008D3997"/>
    <w:rsid w:val="008D3BBB"/>
    <w:rsid w:val="008D3E35"/>
    <w:rsid w:val="008D43A4"/>
    <w:rsid w:val="008D4827"/>
    <w:rsid w:val="008D4A57"/>
    <w:rsid w:val="008D4B76"/>
    <w:rsid w:val="008D4E72"/>
    <w:rsid w:val="008D4E7F"/>
    <w:rsid w:val="008D5386"/>
    <w:rsid w:val="008D5904"/>
    <w:rsid w:val="008D5A48"/>
    <w:rsid w:val="008D5EB7"/>
    <w:rsid w:val="008D5F1B"/>
    <w:rsid w:val="008D6262"/>
    <w:rsid w:val="008D6288"/>
    <w:rsid w:val="008D632A"/>
    <w:rsid w:val="008D67BC"/>
    <w:rsid w:val="008D694F"/>
    <w:rsid w:val="008D6E6C"/>
    <w:rsid w:val="008D6E9B"/>
    <w:rsid w:val="008D6F29"/>
    <w:rsid w:val="008D7428"/>
    <w:rsid w:val="008D7620"/>
    <w:rsid w:val="008D77A6"/>
    <w:rsid w:val="008D7BCC"/>
    <w:rsid w:val="008D7C35"/>
    <w:rsid w:val="008D7CAC"/>
    <w:rsid w:val="008E0396"/>
    <w:rsid w:val="008E0711"/>
    <w:rsid w:val="008E0E52"/>
    <w:rsid w:val="008E0E7B"/>
    <w:rsid w:val="008E0EC5"/>
    <w:rsid w:val="008E12F0"/>
    <w:rsid w:val="008E18E5"/>
    <w:rsid w:val="008E1CC9"/>
    <w:rsid w:val="008E1DFD"/>
    <w:rsid w:val="008E1E23"/>
    <w:rsid w:val="008E227A"/>
    <w:rsid w:val="008E22DF"/>
    <w:rsid w:val="008E231D"/>
    <w:rsid w:val="008E2396"/>
    <w:rsid w:val="008E25F4"/>
    <w:rsid w:val="008E297A"/>
    <w:rsid w:val="008E2A01"/>
    <w:rsid w:val="008E2AFA"/>
    <w:rsid w:val="008E2D33"/>
    <w:rsid w:val="008E3242"/>
    <w:rsid w:val="008E3D13"/>
    <w:rsid w:val="008E4412"/>
    <w:rsid w:val="008E472C"/>
    <w:rsid w:val="008E4734"/>
    <w:rsid w:val="008E475B"/>
    <w:rsid w:val="008E4865"/>
    <w:rsid w:val="008E491F"/>
    <w:rsid w:val="008E4AE9"/>
    <w:rsid w:val="008E4B27"/>
    <w:rsid w:val="008E573C"/>
    <w:rsid w:val="008E59A3"/>
    <w:rsid w:val="008E5A1E"/>
    <w:rsid w:val="008E5C3D"/>
    <w:rsid w:val="008E5CA9"/>
    <w:rsid w:val="008E62D9"/>
    <w:rsid w:val="008E6448"/>
    <w:rsid w:val="008E6880"/>
    <w:rsid w:val="008E6BB2"/>
    <w:rsid w:val="008E6C8A"/>
    <w:rsid w:val="008E71A8"/>
    <w:rsid w:val="008E71C2"/>
    <w:rsid w:val="008E7DE7"/>
    <w:rsid w:val="008F0036"/>
    <w:rsid w:val="008F028C"/>
    <w:rsid w:val="008F02C0"/>
    <w:rsid w:val="008F0376"/>
    <w:rsid w:val="008F03C9"/>
    <w:rsid w:val="008F0421"/>
    <w:rsid w:val="008F05A0"/>
    <w:rsid w:val="008F06D0"/>
    <w:rsid w:val="008F0CEA"/>
    <w:rsid w:val="008F1448"/>
    <w:rsid w:val="008F149A"/>
    <w:rsid w:val="008F172C"/>
    <w:rsid w:val="008F1849"/>
    <w:rsid w:val="008F1900"/>
    <w:rsid w:val="008F1C3C"/>
    <w:rsid w:val="008F2026"/>
    <w:rsid w:val="008F2443"/>
    <w:rsid w:val="008F2446"/>
    <w:rsid w:val="008F2507"/>
    <w:rsid w:val="008F267D"/>
    <w:rsid w:val="008F2A80"/>
    <w:rsid w:val="008F2C58"/>
    <w:rsid w:val="008F2E5F"/>
    <w:rsid w:val="008F2E70"/>
    <w:rsid w:val="008F3015"/>
    <w:rsid w:val="008F303D"/>
    <w:rsid w:val="008F328E"/>
    <w:rsid w:val="008F394D"/>
    <w:rsid w:val="008F3B70"/>
    <w:rsid w:val="008F423C"/>
    <w:rsid w:val="008F438F"/>
    <w:rsid w:val="008F45B9"/>
    <w:rsid w:val="008F48ED"/>
    <w:rsid w:val="008F51D6"/>
    <w:rsid w:val="008F549C"/>
    <w:rsid w:val="008F568F"/>
    <w:rsid w:val="008F5B22"/>
    <w:rsid w:val="008F5EED"/>
    <w:rsid w:val="008F6389"/>
    <w:rsid w:val="008F64AA"/>
    <w:rsid w:val="008F661B"/>
    <w:rsid w:val="008F667F"/>
    <w:rsid w:val="008F6AB7"/>
    <w:rsid w:val="008F6DD5"/>
    <w:rsid w:val="008F6E17"/>
    <w:rsid w:val="008F6EB6"/>
    <w:rsid w:val="008F720F"/>
    <w:rsid w:val="008F796D"/>
    <w:rsid w:val="008F79FE"/>
    <w:rsid w:val="008F7ACC"/>
    <w:rsid w:val="008F7EDF"/>
    <w:rsid w:val="00900572"/>
    <w:rsid w:val="00900D54"/>
    <w:rsid w:val="00900D9B"/>
    <w:rsid w:val="0090123E"/>
    <w:rsid w:val="00901291"/>
    <w:rsid w:val="00901741"/>
    <w:rsid w:val="009017CC"/>
    <w:rsid w:val="009019D2"/>
    <w:rsid w:val="00901B7E"/>
    <w:rsid w:val="00901F37"/>
    <w:rsid w:val="0090210F"/>
    <w:rsid w:val="0090214C"/>
    <w:rsid w:val="009021E7"/>
    <w:rsid w:val="0090220B"/>
    <w:rsid w:val="00902B32"/>
    <w:rsid w:val="00902DBD"/>
    <w:rsid w:val="00902DFA"/>
    <w:rsid w:val="00903010"/>
    <w:rsid w:val="00903328"/>
    <w:rsid w:val="009034DF"/>
    <w:rsid w:val="00903608"/>
    <w:rsid w:val="0090370E"/>
    <w:rsid w:val="0090371C"/>
    <w:rsid w:val="00903985"/>
    <w:rsid w:val="00903BEB"/>
    <w:rsid w:val="009040B6"/>
    <w:rsid w:val="0090438F"/>
    <w:rsid w:val="0090441D"/>
    <w:rsid w:val="009044EC"/>
    <w:rsid w:val="009045F2"/>
    <w:rsid w:val="00904705"/>
    <w:rsid w:val="009047AB"/>
    <w:rsid w:val="009049AF"/>
    <w:rsid w:val="00904D35"/>
    <w:rsid w:val="00904D45"/>
    <w:rsid w:val="009050AA"/>
    <w:rsid w:val="009051EA"/>
    <w:rsid w:val="0090542E"/>
    <w:rsid w:val="0090596C"/>
    <w:rsid w:val="00905E9F"/>
    <w:rsid w:val="009060FF"/>
    <w:rsid w:val="00906198"/>
    <w:rsid w:val="009061B0"/>
    <w:rsid w:val="009063F2"/>
    <w:rsid w:val="009067FE"/>
    <w:rsid w:val="00906C41"/>
    <w:rsid w:val="00906D1D"/>
    <w:rsid w:val="00906DD9"/>
    <w:rsid w:val="0090704D"/>
    <w:rsid w:val="00907087"/>
    <w:rsid w:val="009075EA"/>
    <w:rsid w:val="009076FB"/>
    <w:rsid w:val="0090782F"/>
    <w:rsid w:val="009078F4"/>
    <w:rsid w:val="00907DCA"/>
    <w:rsid w:val="00907E9D"/>
    <w:rsid w:val="00907EE8"/>
    <w:rsid w:val="00910039"/>
    <w:rsid w:val="00910247"/>
    <w:rsid w:val="0091074E"/>
    <w:rsid w:val="00910C69"/>
    <w:rsid w:val="00910F32"/>
    <w:rsid w:val="009110B3"/>
    <w:rsid w:val="009112A0"/>
    <w:rsid w:val="009112BD"/>
    <w:rsid w:val="00911341"/>
    <w:rsid w:val="0091150D"/>
    <w:rsid w:val="0091152E"/>
    <w:rsid w:val="009119AC"/>
    <w:rsid w:val="00911CC4"/>
    <w:rsid w:val="00911E5A"/>
    <w:rsid w:val="00911F3C"/>
    <w:rsid w:val="009123AB"/>
    <w:rsid w:val="009127FE"/>
    <w:rsid w:val="009129C8"/>
    <w:rsid w:val="009129E6"/>
    <w:rsid w:val="00912BC7"/>
    <w:rsid w:val="00913267"/>
    <w:rsid w:val="009135F8"/>
    <w:rsid w:val="0091372F"/>
    <w:rsid w:val="00913772"/>
    <w:rsid w:val="009138B1"/>
    <w:rsid w:val="009138EF"/>
    <w:rsid w:val="00913915"/>
    <w:rsid w:val="00913B85"/>
    <w:rsid w:val="00914190"/>
    <w:rsid w:val="0091419D"/>
    <w:rsid w:val="009143E3"/>
    <w:rsid w:val="00914908"/>
    <w:rsid w:val="009149E9"/>
    <w:rsid w:val="00914E53"/>
    <w:rsid w:val="00914FCD"/>
    <w:rsid w:val="00914FDC"/>
    <w:rsid w:val="0091522A"/>
    <w:rsid w:val="009153E6"/>
    <w:rsid w:val="00915459"/>
    <w:rsid w:val="00915494"/>
    <w:rsid w:val="00915623"/>
    <w:rsid w:val="00915BE4"/>
    <w:rsid w:val="009161FA"/>
    <w:rsid w:val="00916337"/>
    <w:rsid w:val="009163D2"/>
    <w:rsid w:val="0091649E"/>
    <w:rsid w:val="009168EC"/>
    <w:rsid w:val="00916DE0"/>
    <w:rsid w:val="00916ED8"/>
    <w:rsid w:val="00917027"/>
    <w:rsid w:val="009174C5"/>
    <w:rsid w:val="0091754C"/>
    <w:rsid w:val="0091780E"/>
    <w:rsid w:val="00917B77"/>
    <w:rsid w:val="00917CB9"/>
    <w:rsid w:val="00917DC7"/>
    <w:rsid w:val="00917FBD"/>
    <w:rsid w:val="00920744"/>
    <w:rsid w:val="00920D68"/>
    <w:rsid w:val="00920F16"/>
    <w:rsid w:val="00921496"/>
    <w:rsid w:val="009214A2"/>
    <w:rsid w:val="0092162F"/>
    <w:rsid w:val="00921A7B"/>
    <w:rsid w:val="00921C7C"/>
    <w:rsid w:val="00921C91"/>
    <w:rsid w:val="00921E67"/>
    <w:rsid w:val="00922001"/>
    <w:rsid w:val="0092201A"/>
    <w:rsid w:val="00922135"/>
    <w:rsid w:val="009222F7"/>
    <w:rsid w:val="009225EE"/>
    <w:rsid w:val="009229B2"/>
    <w:rsid w:val="00922B5F"/>
    <w:rsid w:val="00922D76"/>
    <w:rsid w:val="009231A9"/>
    <w:rsid w:val="00923528"/>
    <w:rsid w:val="009236C4"/>
    <w:rsid w:val="009239EA"/>
    <w:rsid w:val="00923D5D"/>
    <w:rsid w:val="0092512F"/>
    <w:rsid w:val="009253E8"/>
    <w:rsid w:val="00925991"/>
    <w:rsid w:val="00925DC5"/>
    <w:rsid w:val="0092621B"/>
    <w:rsid w:val="00926456"/>
    <w:rsid w:val="00926802"/>
    <w:rsid w:val="009268A7"/>
    <w:rsid w:val="00926ED7"/>
    <w:rsid w:val="00927271"/>
    <w:rsid w:val="009273D0"/>
    <w:rsid w:val="00927D52"/>
    <w:rsid w:val="00927E37"/>
    <w:rsid w:val="0093028F"/>
    <w:rsid w:val="0093037E"/>
    <w:rsid w:val="009303E1"/>
    <w:rsid w:val="009306AF"/>
    <w:rsid w:val="00930809"/>
    <w:rsid w:val="00930A5F"/>
    <w:rsid w:val="00930B73"/>
    <w:rsid w:val="00930DB1"/>
    <w:rsid w:val="009316D1"/>
    <w:rsid w:val="00931799"/>
    <w:rsid w:val="00931AAE"/>
    <w:rsid w:val="00931F28"/>
    <w:rsid w:val="00932311"/>
    <w:rsid w:val="009324A1"/>
    <w:rsid w:val="009325DF"/>
    <w:rsid w:val="0093262F"/>
    <w:rsid w:val="00932827"/>
    <w:rsid w:val="00932892"/>
    <w:rsid w:val="00932EF1"/>
    <w:rsid w:val="0093317F"/>
    <w:rsid w:val="00933432"/>
    <w:rsid w:val="009335E5"/>
    <w:rsid w:val="0093368C"/>
    <w:rsid w:val="009337B3"/>
    <w:rsid w:val="0093406D"/>
    <w:rsid w:val="009345FF"/>
    <w:rsid w:val="00934785"/>
    <w:rsid w:val="00934A17"/>
    <w:rsid w:val="009354C4"/>
    <w:rsid w:val="0093567E"/>
    <w:rsid w:val="009357C3"/>
    <w:rsid w:val="00935A1C"/>
    <w:rsid w:val="00935F90"/>
    <w:rsid w:val="0093613C"/>
    <w:rsid w:val="0093623B"/>
    <w:rsid w:val="009369A2"/>
    <w:rsid w:val="00936AA4"/>
    <w:rsid w:val="00936D29"/>
    <w:rsid w:val="0093724D"/>
    <w:rsid w:val="00937283"/>
    <w:rsid w:val="00937B67"/>
    <w:rsid w:val="00937B8B"/>
    <w:rsid w:val="00937D4E"/>
    <w:rsid w:val="009407E1"/>
    <w:rsid w:val="009408D0"/>
    <w:rsid w:val="009408FF"/>
    <w:rsid w:val="00940A8A"/>
    <w:rsid w:val="00940D59"/>
    <w:rsid w:val="00941037"/>
    <w:rsid w:val="0094110E"/>
    <w:rsid w:val="0094132F"/>
    <w:rsid w:val="009413ED"/>
    <w:rsid w:val="009413F8"/>
    <w:rsid w:val="00941599"/>
    <w:rsid w:val="00941619"/>
    <w:rsid w:val="00941931"/>
    <w:rsid w:val="00941E62"/>
    <w:rsid w:val="00941F16"/>
    <w:rsid w:val="00941F78"/>
    <w:rsid w:val="00942094"/>
    <w:rsid w:val="0094223B"/>
    <w:rsid w:val="00942326"/>
    <w:rsid w:val="00942444"/>
    <w:rsid w:val="0094274E"/>
    <w:rsid w:val="0094296D"/>
    <w:rsid w:val="00942CA3"/>
    <w:rsid w:val="00943024"/>
    <w:rsid w:val="00943190"/>
    <w:rsid w:val="00943564"/>
    <w:rsid w:val="0094356E"/>
    <w:rsid w:val="009438ED"/>
    <w:rsid w:val="00943EC4"/>
    <w:rsid w:val="0094452C"/>
    <w:rsid w:val="009445C5"/>
    <w:rsid w:val="00944A0C"/>
    <w:rsid w:val="00944C7B"/>
    <w:rsid w:val="00944CF5"/>
    <w:rsid w:val="00945B7D"/>
    <w:rsid w:val="00945EB5"/>
    <w:rsid w:val="00945FAF"/>
    <w:rsid w:val="009461C4"/>
    <w:rsid w:val="009461EE"/>
    <w:rsid w:val="0094634F"/>
    <w:rsid w:val="0094655D"/>
    <w:rsid w:val="00946BB2"/>
    <w:rsid w:val="0094708E"/>
    <w:rsid w:val="0094758A"/>
    <w:rsid w:val="00947DDD"/>
    <w:rsid w:val="00947F8F"/>
    <w:rsid w:val="00950275"/>
    <w:rsid w:val="0095031F"/>
    <w:rsid w:val="00950749"/>
    <w:rsid w:val="00950AA1"/>
    <w:rsid w:val="00950BCF"/>
    <w:rsid w:val="00950D85"/>
    <w:rsid w:val="00950EAB"/>
    <w:rsid w:val="00950F7B"/>
    <w:rsid w:val="00951314"/>
    <w:rsid w:val="00951638"/>
    <w:rsid w:val="00951EF7"/>
    <w:rsid w:val="009521D1"/>
    <w:rsid w:val="0095234F"/>
    <w:rsid w:val="009526B6"/>
    <w:rsid w:val="0095291C"/>
    <w:rsid w:val="00952ABF"/>
    <w:rsid w:val="00952BE6"/>
    <w:rsid w:val="00952C8A"/>
    <w:rsid w:val="00952E51"/>
    <w:rsid w:val="00952EB1"/>
    <w:rsid w:val="00953003"/>
    <w:rsid w:val="009532D4"/>
    <w:rsid w:val="009536D2"/>
    <w:rsid w:val="009538BC"/>
    <w:rsid w:val="00953914"/>
    <w:rsid w:val="00953A9C"/>
    <w:rsid w:val="00953A9F"/>
    <w:rsid w:val="00953C6C"/>
    <w:rsid w:val="00953E55"/>
    <w:rsid w:val="00953F2C"/>
    <w:rsid w:val="009542F1"/>
    <w:rsid w:val="0095451B"/>
    <w:rsid w:val="0095464D"/>
    <w:rsid w:val="009549B8"/>
    <w:rsid w:val="00954A48"/>
    <w:rsid w:val="00954A50"/>
    <w:rsid w:val="00954C36"/>
    <w:rsid w:val="00954F1A"/>
    <w:rsid w:val="00955395"/>
    <w:rsid w:val="00955612"/>
    <w:rsid w:val="00955AF5"/>
    <w:rsid w:val="00955BCE"/>
    <w:rsid w:val="00955E98"/>
    <w:rsid w:val="00955FC1"/>
    <w:rsid w:val="00956001"/>
    <w:rsid w:val="009560A8"/>
    <w:rsid w:val="0095627C"/>
    <w:rsid w:val="0095640E"/>
    <w:rsid w:val="00956456"/>
    <w:rsid w:val="00956AC0"/>
    <w:rsid w:val="00956EC3"/>
    <w:rsid w:val="00957372"/>
    <w:rsid w:val="0095747D"/>
    <w:rsid w:val="00957B0A"/>
    <w:rsid w:val="00957CD0"/>
    <w:rsid w:val="00957DAC"/>
    <w:rsid w:val="00957FDC"/>
    <w:rsid w:val="009600E0"/>
    <w:rsid w:val="00960420"/>
    <w:rsid w:val="009611C5"/>
    <w:rsid w:val="009611E3"/>
    <w:rsid w:val="009613FC"/>
    <w:rsid w:val="009614CD"/>
    <w:rsid w:val="00961638"/>
    <w:rsid w:val="0096181E"/>
    <w:rsid w:val="00961860"/>
    <w:rsid w:val="00961B35"/>
    <w:rsid w:val="00961D8E"/>
    <w:rsid w:val="00961FE5"/>
    <w:rsid w:val="00961FF3"/>
    <w:rsid w:val="00961FFB"/>
    <w:rsid w:val="009622A1"/>
    <w:rsid w:val="0096235E"/>
    <w:rsid w:val="009624EB"/>
    <w:rsid w:val="009629AD"/>
    <w:rsid w:val="00962C3A"/>
    <w:rsid w:val="00963318"/>
    <w:rsid w:val="0096337B"/>
    <w:rsid w:val="009635E9"/>
    <w:rsid w:val="0096380A"/>
    <w:rsid w:val="00963944"/>
    <w:rsid w:val="009639E8"/>
    <w:rsid w:val="00963BAF"/>
    <w:rsid w:val="009649A8"/>
    <w:rsid w:val="009650C0"/>
    <w:rsid w:val="0096518A"/>
    <w:rsid w:val="009653E3"/>
    <w:rsid w:val="0096558F"/>
    <w:rsid w:val="00965B81"/>
    <w:rsid w:val="00965C6C"/>
    <w:rsid w:val="00965D05"/>
    <w:rsid w:val="00965D7D"/>
    <w:rsid w:val="00965F0D"/>
    <w:rsid w:val="00966008"/>
    <w:rsid w:val="0096630E"/>
    <w:rsid w:val="009665AD"/>
    <w:rsid w:val="00966639"/>
    <w:rsid w:val="00966A11"/>
    <w:rsid w:val="00966A34"/>
    <w:rsid w:val="00966DEB"/>
    <w:rsid w:val="00966EEB"/>
    <w:rsid w:val="009672A1"/>
    <w:rsid w:val="0096732F"/>
    <w:rsid w:val="00967E61"/>
    <w:rsid w:val="00967EFB"/>
    <w:rsid w:val="00967F4C"/>
    <w:rsid w:val="009702AC"/>
    <w:rsid w:val="0097061D"/>
    <w:rsid w:val="00970813"/>
    <w:rsid w:val="00970D02"/>
    <w:rsid w:val="00970FA4"/>
    <w:rsid w:val="00971562"/>
    <w:rsid w:val="00971588"/>
    <w:rsid w:val="009715DA"/>
    <w:rsid w:val="00971CA7"/>
    <w:rsid w:val="0097275C"/>
    <w:rsid w:val="009728F1"/>
    <w:rsid w:val="00972CBD"/>
    <w:rsid w:val="00972CE2"/>
    <w:rsid w:val="00972FCF"/>
    <w:rsid w:val="009730BF"/>
    <w:rsid w:val="00973199"/>
    <w:rsid w:val="009740BB"/>
    <w:rsid w:val="009744B3"/>
    <w:rsid w:val="009744C2"/>
    <w:rsid w:val="0097451E"/>
    <w:rsid w:val="00974ACB"/>
    <w:rsid w:val="00974E18"/>
    <w:rsid w:val="00974EC6"/>
    <w:rsid w:val="00975101"/>
    <w:rsid w:val="0097547B"/>
    <w:rsid w:val="00975544"/>
    <w:rsid w:val="009757BF"/>
    <w:rsid w:val="009757C0"/>
    <w:rsid w:val="00975D50"/>
    <w:rsid w:val="00975E6C"/>
    <w:rsid w:val="00976149"/>
    <w:rsid w:val="00976646"/>
    <w:rsid w:val="00976CC9"/>
    <w:rsid w:val="00976EEE"/>
    <w:rsid w:val="00977378"/>
    <w:rsid w:val="00977548"/>
    <w:rsid w:val="009777DA"/>
    <w:rsid w:val="0097783F"/>
    <w:rsid w:val="00977915"/>
    <w:rsid w:val="00977E7C"/>
    <w:rsid w:val="00980745"/>
    <w:rsid w:val="00981592"/>
    <w:rsid w:val="009815DC"/>
    <w:rsid w:val="009817A1"/>
    <w:rsid w:val="009822C2"/>
    <w:rsid w:val="00982322"/>
    <w:rsid w:val="00982435"/>
    <w:rsid w:val="00982926"/>
    <w:rsid w:val="00982D5A"/>
    <w:rsid w:val="00982E3D"/>
    <w:rsid w:val="0098340F"/>
    <w:rsid w:val="00983B19"/>
    <w:rsid w:val="00983C5C"/>
    <w:rsid w:val="00983F56"/>
    <w:rsid w:val="00984024"/>
    <w:rsid w:val="00984303"/>
    <w:rsid w:val="0098442F"/>
    <w:rsid w:val="009844AE"/>
    <w:rsid w:val="009847A5"/>
    <w:rsid w:val="00984933"/>
    <w:rsid w:val="00984BF6"/>
    <w:rsid w:val="00984CCC"/>
    <w:rsid w:val="00984D2C"/>
    <w:rsid w:val="00984DF5"/>
    <w:rsid w:val="00985005"/>
    <w:rsid w:val="009851DD"/>
    <w:rsid w:val="00985FB3"/>
    <w:rsid w:val="00986363"/>
    <w:rsid w:val="00986A28"/>
    <w:rsid w:val="00986A80"/>
    <w:rsid w:val="00986CE3"/>
    <w:rsid w:val="0098703D"/>
    <w:rsid w:val="0098706E"/>
    <w:rsid w:val="00987201"/>
    <w:rsid w:val="00987296"/>
    <w:rsid w:val="00987A08"/>
    <w:rsid w:val="00987D71"/>
    <w:rsid w:val="00987E0E"/>
    <w:rsid w:val="00987E86"/>
    <w:rsid w:val="00987E91"/>
    <w:rsid w:val="0099002F"/>
    <w:rsid w:val="0099027E"/>
    <w:rsid w:val="009902AF"/>
    <w:rsid w:val="009904C5"/>
    <w:rsid w:val="00990B5D"/>
    <w:rsid w:val="00990BAA"/>
    <w:rsid w:val="009917C9"/>
    <w:rsid w:val="00991A59"/>
    <w:rsid w:val="00991C7A"/>
    <w:rsid w:val="00991E00"/>
    <w:rsid w:val="0099276C"/>
    <w:rsid w:val="0099280F"/>
    <w:rsid w:val="00992ABF"/>
    <w:rsid w:val="00992EF9"/>
    <w:rsid w:val="009930C5"/>
    <w:rsid w:val="0099330A"/>
    <w:rsid w:val="00993805"/>
    <w:rsid w:val="009938EA"/>
    <w:rsid w:val="00993C08"/>
    <w:rsid w:val="00993C0D"/>
    <w:rsid w:val="00993C63"/>
    <w:rsid w:val="00993E6E"/>
    <w:rsid w:val="0099427C"/>
    <w:rsid w:val="009942FF"/>
    <w:rsid w:val="00994788"/>
    <w:rsid w:val="00994871"/>
    <w:rsid w:val="00994907"/>
    <w:rsid w:val="00994990"/>
    <w:rsid w:val="00994FAE"/>
    <w:rsid w:val="0099541A"/>
    <w:rsid w:val="00995455"/>
    <w:rsid w:val="009954EC"/>
    <w:rsid w:val="00995B1E"/>
    <w:rsid w:val="00995C34"/>
    <w:rsid w:val="00995D90"/>
    <w:rsid w:val="0099614A"/>
    <w:rsid w:val="0099615C"/>
    <w:rsid w:val="009965D4"/>
    <w:rsid w:val="0099660C"/>
    <w:rsid w:val="0099691D"/>
    <w:rsid w:val="00996999"/>
    <w:rsid w:val="00996A42"/>
    <w:rsid w:val="009972B7"/>
    <w:rsid w:val="00997345"/>
    <w:rsid w:val="009977A1"/>
    <w:rsid w:val="009979B5"/>
    <w:rsid w:val="00997AF6"/>
    <w:rsid w:val="00997BBE"/>
    <w:rsid w:val="009A0627"/>
    <w:rsid w:val="009A0667"/>
    <w:rsid w:val="009A06FF"/>
    <w:rsid w:val="009A0A22"/>
    <w:rsid w:val="009A0E64"/>
    <w:rsid w:val="009A1025"/>
    <w:rsid w:val="009A11AE"/>
    <w:rsid w:val="009A17BB"/>
    <w:rsid w:val="009A1D96"/>
    <w:rsid w:val="009A1DBD"/>
    <w:rsid w:val="009A1F41"/>
    <w:rsid w:val="009A23BB"/>
    <w:rsid w:val="009A2A39"/>
    <w:rsid w:val="009A2A3A"/>
    <w:rsid w:val="009A2BD4"/>
    <w:rsid w:val="009A34D6"/>
    <w:rsid w:val="009A3734"/>
    <w:rsid w:val="009A386A"/>
    <w:rsid w:val="009A3924"/>
    <w:rsid w:val="009A3E19"/>
    <w:rsid w:val="009A3F94"/>
    <w:rsid w:val="009A4722"/>
    <w:rsid w:val="009A48E7"/>
    <w:rsid w:val="009A4A16"/>
    <w:rsid w:val="009A4D2C"/>
    <w:rsid w:val="009A509C"/>
    <w:rsid w:val="009A54C9"/>
    <w:rsid w:val="009A5786"/>
    <w:rsid w:val="009A645E"/>
    <w:rsid w:val="009A6593"/>
    <w:rsid w:val="009A6718"/>
    <w:rsid w:val="009A6AC0"/>
    <w:rsid w:val="009A6CAB"/>
    <w:rsid w:val="009A72D3"/>
    <w:rsid w:val="009A7632"/>
    <w:rsid w:val="009A7BFD"/>
    <w:rsid w:val="009A7FC4"/>
    <w:rsid w:val="009B0160"/>
    <w:rsid w:val="009B05D6"/>
    <w:rsid w:val="009B0678"/>
    <w:rsid w:val="009B06F7"/>
    <w:rsid w:val="009B0842"/>
    <w:rsid w:val="009B0A08"/>
    <w:rsid w:val="009B0CFB"/>
    <w:rsid w:val="009B0ED3"/>
    <w:rsid w:val="009B0F6C"/>
    <w:rsid w:val="009B1007"/>
    <w:rsid w:val="009B104A"/>
    <w:rsid w:val="009B172A"/>
    <w:rsid w:val="009B1858"/>
    <w:rsid w:val="009B1946"/>
    <w:rsid w:val="009B198F"/>
    <w:rsid w:val="009B1AC1"/>
    <w:rsid w:val="009B1C62"/>
    <w:rsid w:val="009B1F98"/>
    <w:rsid w:val="009B225C"/>
    <w:rsid w:val="009B228C"/>
    <w:rsid w:val="009B282D"/>
    <w:rsid w:val="009B29C0"/>
    <w:rsid w:val="009B2AD7"/>
    <w:rsid w:val="009B2BEC"/>
    <w:rsid w:val="009B2DB5"/>
    <w:rsid w:val="009B2F95"/>
    <w:rsid w:val="009B310E"/>
    <w:rsid w:val="009B35F9"/>
    <w:rsid w:val="009B36A5"/>
    <w:rsid w:val="009B37FC"/>
    <w:rsid w:val="009B3B6D"/>
    <w:rsid w:val="009B3E9A"/>
    <w:rsid w:val="009B4009"/>
    <w:rsid w:val="009B411B"/>
    <w:rsid w:val="009B4222"/>
    <w:rsid w:val="009B42E5"/>
    <w:rsid w:val="009B464B"/>
    <w:rsid w:val="009B4A65"/>
    <w:rsid w:val="009B4F0D"/>
    <w:rsid w:val="009B5161"/>
    <w:rsid w:val="009B529B"/>
    <w:rsid w:val="009B5ADC"/>
    <w:rsid w:val="009B5DA4"/>
    <w:rsid w:val="009B5E94"/>
    <w:rsid w:val="009B6296"/>
    <w:rsid w:val="009B63B2"/>
    <w:rsid w:val="009B6577"/>
    <w:rsid w:val="009B66D8"/>
    <w:rsid w:val="009B66ED"/>
    <w:rsid w:val="009B679B"/>
    <w:rsid w:val="009B6BD7"/>
    <w:rsid w:val="009B6F16"/>
    <w:rsid w:val="009B6F2C"/>
    <w:rsid w:val="009B7341"/>
    <w:rsid w:val="009B743F"/>
    <w:rsid w:val="009B74AB"/>
    <w:rsid w:val="009B770E"/>
    <w:rsid w:val="009B78D7"/>
    <w:rsid w:val="009B7B9A"/>
    <w:rsid w:val="009B7C29"/>
    <w:rsid w:val="009B7C7F"/>
    <w:rsid w:val="009B7CDD"/>
    <w:rsid w:val="009B7DC5"/>
    <w:rsid w:val="009B7EC7"/>
    <w:rsid w:val="009B7F8B"/>
    <w:rsid w:val="009C0E92"/>
    <w:rsid w:val="009C1047"/>
    <w:rsid w:val="009C122A"/>
    <w:rsid w:val="009C12A8"/>
    <w:rsid w:val="009C139A"/>
    <w:rsid w:val="009C1619"/>
    <w:rsid w:val="009C186A"/>
    <w:rsid w:val="009C1D3C"/>
    <w:rsid w:val="009C1E28"/>
    <w:rsid w:val="009C1F4A"/>
    <w:rsid w:val="009C2409"/>
    <w:rsid w:val="009C27C5"/>
    <w:rsid w:val="009C283E"/>
    <w:rsid w:val="009C2A07"/>
    <w:rsid w:val="009C2A19"/>
    <w:rsid w:val="009C2EBD"/>
    <w:rsid w:val="009C3232"/>
    <w:rsid w:val="009C3652"/>
    <w:rsid w:val="009C39D2"/>
    <w:rsid w:val="009C39E1"/>
    <w:rsid w:val="009C3BD3"/>
    <w:rsid w:val="009C4077"/>
    <w:rsid w:val="009C4C4D"/>
    <w:rsid w:val="009C4CBA"/>
    <w:rsid w:val="009C506E"/>
    <w:rsid w:val="009C5080"/>
    <w:rsid w:val="009C51FF"/>
    <w:rsid w:val="009C5327"/>
    <w:rsid w:val="009C5357"/>
    <w:rsid w:val="009C55AC"/>
    <w:rsid w:val="009C563B"/>
    <w:rsid w:val="009C577B"/>
    <w:rsid w:val="009C57DD"/>
    <w:rsid w:val="009C5871"/>
    <w:rsid w:val="009C59F0"/>
    <w:rsid w:val="009C5D44"/>
    <w:rsid w:val="009C5F4A"/>
    <w:rsid w:val="009C6404"/>
    <w:rsid w:val="009C67A4"/>
    <w:rsid w:val="009C6854"/>
    <w:rsid w:val="009C6AF8"/>
    <w:rsid w:val="009C6FFB"/>
    <w:rsid w:val="009C7416"/>
    <w:rsid w:val="009C750E"/>
    <w:rsid w:val="009C7600"/>
    <w:rsid w:val="009C7640"/>
    <w:rsid w:val="009C7E08"/>
    <w:rsid w:val="009C7EB2"/>
    <w:rsid w:val="009C7F5D"/>
    <w:rsid w:val="009D03C4"/>
    <w:rsid w:val="009D07DC"/>
    <w:rsid w:val="009D07ED"/>
    <w:rsid w:val="009D0FA9"/>
    <w:rsid w:val="009D103C"/>
    <w:rsid w:val="009D1369"/>
    <w:rsid w:val="009D151C"/>
    <w:rsid w:val="009D15CD"/>
    <w:rsid w:val="009D1B76"/>
    <w:rsid w:val="009D20E6"/>
    <w:rsid w:val="009D25D8"/>
    <w:rsid w:val="009D30CB"/>
    <w:rsid w:val="009D36D5"/>
    <w:rsid w:val="009D3E8C"/>
    <w:rsid w:val="009D401F"/>
    <w:rsid w:val="009D4091"/>
    <w:rsid w:val="009D440A"/>
    <w:rsid w:val="009D44A5"/>
    <w:rsid w:val="009D45AC"/>
    <w:rsid w:val="009D46F3"/>
    <w:rsid w:val="009D499D"/>
    <w:rsid w:val="009D4A02"/>
    <w:rsid w:val="009D4E42"/>
    <w:rsid w:val="009D5156"/>
    <w:rsid w:val="009D52DA"/>
    <w:rsid w:val="009D543E"/>
    <w:rsid w:val="009D5481"/>
    <w:rsid w:val="009D5A26"/>
    <w:rsid w:val="009D5D17"/>
    <w:rsid w:val="009D626F"/>
    <w:rsid w:val="009D6492"/>
    <w:rsid w:val="009D6577"/>
    <w:rsid w:val="009D65A3"/>
    <w:rsid w:val="009D67BA"/>
    <w:rsid w:val="009D68BB"/>
    <w:rsid w:val="009D68E3"/>
    <w:rsid w:val="009D6C4E"/>
    <w:rsid w:val="009D6F69"/>
    <w:rsid w:val="009D7114"/>
    <w:rsid w:val="009D7B88"/>
    <w:rsid w:val="009D7C9A"/>
    <w:rsid w:val="009D7DF0"/>
    <w:rsid w:val="009E0253"/>
    <w:rsid w:val="009E03E1"/>
    <w:rsid w:val="009E0644"/>
    <w:rsid w:val="009E065E"/>
    <w:rsid w:val="009E0BE0"/>
    <w:rsid w:val="009E118E"/>
    <w:rsid w:val="009E13DB"/>
    <w:rsid w:val="009E1408"/>
    <w:rsid w:val="009E1684"/>
    <w:rsid w:val="009E16AE"/>
    <w:rsid w:val="009E18FC"/>
    <w:rsid w:val="009E1C22"/>
    <w:rsid w:val="009E1D81"/>
    <w:rsid w:val="009E1F3F"/>
    <w:rsid w:val="009E2059"/>
    <w:rsid w:val="009E2091"/>
    <w:rsid w:val="009E22E3"/>
    <w:rsid w:val="009E23F9"/>
    <w:rsid w:val="009E2475"/>
    <w:rsid w:val="009E2534"/>
    <w:rsid w:val="009E27CE"/>
    <w:rsid w:val="009E2CF6"/>
    <w:rsid w:val="009E31A6"/>
    <w:rsid w:val="009E3695"/>
    <w:rsid w:val="009E3AC6"/>
    <w:rsid w:val="009E3C7A"/>
    <w:rsid w:val="009E4424"/>
    <w:rsid w:val="009E4472"/>
    <w:rsid w:val="009E4663"/>
    <w:rsid w:val="009E4D5C"/>
    <w:rsid w:val="009E4E08"/>
    <w:rsid w:val="009E50ED"/>
    <w:rsid w:val="009E53DF"/>
    <w:rsid w:val="009E542E"/>
    <w:rsid w:val="009E54F2"/>
    <w:rsid w:val="009E58DE"/>
    <w:rsid w:val="009E5BD8"/>
    <w:rsid w:val="009E61CC"/>
    <w:rsid w:val="009E61DB"/>
    <w:rsid w:val="009E66AF"/>
    <w:rsid w:val="009E67E6"/>
    <w:rsid w:val="009E6C1A"/>
    <w:rsid w:val="009E6DBD"/>
    <w:rsid w:val="009E71C9"/>
    <w:rsid w:val="009E727D"/>
    <w:rsid w:val="009E7780"/>
    <w:rsid w:val="009E7BD3"/>
    <w:rsid w:val="009E7E7E"/>
    <w:rsid w:val="009E7F19"/>
    <w:rsid w:val="009F008B"/>
    <w:rsid w:val="009F018D"/>
    <w:rsid w:val="009F043B"/>
    <w:rsid w:val="009F04C4"/>
    <w:rsid w:val="009F04CA"/>
    <w:rsid w:val="009F0500"/>
    <w:rsid w:val="009F07F2"/>
    <w:rsid w:val="009F09C6"/>
    <w:rsid w:val="009F0BD4"/>
    <w:rsid w:val="009F0C7E"/>
    <w:rsid w:val="009F0D9C"/>
    <w:rsid w:val="009F0F84"/>
    <w:rsid w:val="009F0FD5"/>
    <w:rsid w:val="009F10C7"/>
    <w:rsid w:val="009F12EC"/>
    <w:rsid w:val="009F13A7"/>
    <w:rsid w:val="009F183F"/>
    <w:rsid w:val="009F1D37"/>
    <w:rsid w:val="009F231D"/>
    <w:rsid w:val="009F23AC"/>
    <w:rsid w:val="009F2469"/>
    <w:rsid w:val="009F2841"/>
    <w:rsid w:val="009F28AF"/>
    <w:rsid w:val="009F29D8"/>
    <w:rsid w:val="009F309E"/>
    <w:rsid w:val="009F3128"/>
    <w:rsid w:val="009F33D1"/>
    <w:rsid w:val="009F35B3"/>
    <w:rsid w:val="009F37D5"/>
    <w:rsid w:val="009F4067"/>
    <w:rsid w:val="009F4331"/>
    <w:rsid w:val="009F4573"/>
    <w:rsid w:val="009F46A4"/>
    <w:rsid w:val="009F48BE"/>
    <w:rsid w:val="009F4FB3"/>
    <w:rsid w:val="009F53EC"/>
    <w:rsid w:val="009F578A"/>
    <w:rsid w:val="009F595F"/>
    <w:rsid w:val="009F66E2"/>
    <w:rsid w:val="009F6C1C"/>
    <w:rsid w:val="009F6C41"/>
    <w:rsid w:val="009F70D9"/>
    <w:rsid w:val="009F7483"/>
    <w:rsid w:val="009F7B9B"/>
    <w:rsid w:val="009F7FB6"/>
    <w:rsid w:val="009F7FBC"/>
    <w:rsid w:val="00A0019C"/>
    <w:rsid w:val="00A002FC"/>
    <w:rsid w:val="00A005CC"/>
    <w:rsid w:val="00A00632"/>
    <w:rsid w:val="00A006A4"/>
    <w:rsid w:val="00A006EA"/>
    <w:rsid w:val="00A009BD"/>
    <w:rsid w:val="00A00AEC"/>
    <w:rsid w:val="00A00E5F"/>
    <w:rsid w:val="00A014A0"/>
    <w:rsid w:val="00A014CA"/>
    <w:rsid w:val="00A0160A"/>
    <w:rsid w:val="00A0161C"/>
    <w:rsid w:val="00A0179E"/>
    <w:rsid w:val="00A017B9"/>
    <w:rsid w:val="00A0183D"/>
    <w:rsid w:val="00A01926"/>
    <w:rsid w:val="00A0193C"/>
    <w:rsid w:val="00A01C6A"/>
    <w:rsid w:val="00A01E73"/>
    <w:rsid w:val="00A02518"/>
    <w:rsid w:val="00A0352A"/>
    <w:rsid w:val="00A036CA"/>
    <w:rsid w:val="00A03708"/>
    <w:rsid w:val="00A0388A"/>
    <w:rsid w:val="00A0395E"/>
    <w:rsid w:val="00A03EF5"/>
    <w:rsid w:val="00A03F24"/>
    <w:rsid w:val="00A0431F"/>
    <w:rsid w:val="00A04356"/>
    <w:rsid w:val="00A04379"/>
    <w:rsid w:val="00A044E8"/>
    <w:rsid w:val="00A0452E"/>
    <w:rsid w:val="00A047BA"/>
    <w:rsid w:val="00A0485A"/>
    <w:rsid w:val="00A04A6E"/>
    <w:rsid w:val="00A051DA"/>
    <w:rsid w:val="00A05495"/>
    <w:rsid w:val="00A05E56"/>
    <w:rsid w:val="00A065C2"/>
    <w:rsid w:val="00A06B0E"/>
    <w:rsid w:val="00A06D7A"/>
    <w:rsid w:val="00A06FDB"/>
    <w:rsid w:val="00A07205"/>
    <w:rsid w:val="00A075EB"/>
    <w:rsid w:val="00A0761E"/>
    <w:rsid w:val="00A07772"/>
    <w:rsid w:val="00A07932"/>
    <w:rsid w:val="00A07CD8"/>
    <w:rsid w:val="00A1056F"/>
    <w:rsid w:val="00A10707"/>
    <w:rsid w:val="00A1081F"/>
    <w:rsid w:val="00A108D5"/>
    <w:rsid w:val="00A109F0"/>
    <w:rsid w:val="00A10B3F"/>
    <w:rsid w:val="00A10C19"/>
    <w:rsid w:val="00A1104B"/>
    <w:rsid w:val="00A1116B"/>
    <w:rsid w:val="00A11189"/>
    <w:rsid w:val="00A11325"/>
    <w:rsid w:val="00A114E3"/>
    <w:rsid w:val="00A11608"/>
    <w:rsid w:val="00A11A35"/>
    <w:rsid w:val="00A122F7"/>
    <w:rsid w:val="00A123F6"/>
    <w:rsid w:val="00A12442"/>
    <w:rsid w:val="00A1264D"/>
    <w:rsid w:val="00A127B7"/>
    <w:rsid w:val="00A12855"/>
    <w:rsid w:val="00A12916"/>
    <w:rsid w:val="00A12C4A"/>
    <w:rsid w:val="00A12D86"/>
    <w:rsid w:val="00A12F68"/>
    <w:rsid w:val="00A12FAA"/>
    <w:rsid w:val="00A13368"/>
    <w:rsid w:val="00A133CC"/>
    <w:rsid w:val="00A1368A"/>
    <w:rsid w:val="00A1394F"/>
    <w:rsid w:val="00A13A62"/>
    <w:rsid w:val="00A13DBB"/>
    <w:rsid w:val="00A13DEC"/>
    <w:rsid w:val="00A13FC2"/>
    <w:rsid w:val="00A13FF2"/>
    <w:rsid w:val="00A1479C"/>
    <w:rsid w:val="00A14926"/>
    <w:rsid w:val="00A14A9B"/>
    <w:rsid w:val="00A14ACC"/>
    <w:rsid w:val="00A14AFF"/>
    <w:rsid w:val="00A14F13"/>
    <w:rsid w:val="00A1526D"/>
    <w:rsid w:val="00A15890"/>
    <w:rsid w:val="00A15999"/>
    <w:rsid w:val="00A15A74"/>
    <w:rsid w:val="00A15CB5"/>
    <w:rsid w:val="00A15F57"/>
    <w:rsid w:val="00A16191"/>
    <w:rsid w:val="00A163D0"/>
    <w:rsid w:val="00A163F8"/>
    <w:rsid w:val="00A164EA"/>
    <w:rsid w:val="00A168A9"/>
    <w:rsid w:val="00A16E95"/>
    <w:rsid w:val="00A16F4B"/>
    <w:rsid w:val="00A176E0"/>
    <w:rsid w:val="00A177D7"/>
    <w:rsid w:val="00A178F2"/>
    <w:rsid w:val="00A17989"/>
    <w:rsid w:val="00A17AC1"/>
    <w:rsid w:val="00A17C7C"/>
    <w:rsid w:val="00A17EAC"/>
    <w:rsid w:val="00A17F7F"/>
    <w:rsid w:val="00A202BD"/>
    <w:rsid w:val="00A202F9"/>
    <w:rsid w:val="00A20930"/>
    <w:rsid w:val="00A20D5D"/>
    <w:rsid w:val="00A20F40"/>
    <w:rsid w:val="00A21393"/>
    <w:rsid w:val="00A216D0"/>
    <w:rsid w:val="00A2179D"/>
    <w:rsid w:val="00A21912"/>
    <w:rsid w:val="00A21934"/>
    <w:rsid w:val="00A22184"/>
    <w:rsid w:val="00A22692"/>
    <w:rsid w:val="00A227D2"/>
    <w:rsid w:val="00A228CD"/>
    <w:rsid w:val="00A22BE8"/>
    <w:rsid w:val="00A22CD8"/>
    <w:rsid w:val="00A230A4"/>
    <w:rsid w:val="00A230DC"/>
    <w:rsid w:val="00A23484"/>
    <w:rsid w:val="00A234FA"/>
    <w:rsid w:val="00A2394F"/>
    <w:rsid w:val="00A23BAD"/>
    <w:rsid w:val="00A23C4C"/>
    <w:rsid w:val="00A23CFC"/>
    <w:rsid w:val="00A23F49"/>
    <w:rsid w:val="00A24596"/>
    <w:rsid w:val="00A24647"/>
    <w:rsid w:val="00A246F2"/>
    <w:rsid w:val="00A24C92"/>
    <w:rsid w:val="00A24DEE"/>
    <w:rsid w:val="00A24E03"/>
    <w:rsid w:val="00A250F4"/>
    <w:rsid w:val="00A251B4"/>
    <w:rsid w:val="00A252D3"/>
    <w:rsid w:val="00A25A34"/>
    <w:rsid w:val="00A25CF7"/>
    <w:rsid w:val="00A25E7B"/>
    <w:rsid w:val="00A2613B"/>
    <w:rsid w:val="00A26697"/>
    <w:rsid w:val="00A267C0"/>
    <w:rsid w:val="00A26F3A"/>
    <w:rsid w:val="00A27A55"/>
    <w:rsid w:val="00A27CEF"/>
    <w:rsid w:val="00A27D3E"/>
    <w:rsid w:val="00A27DEC"/>
    <w:rsid w:val="00A27FA1"/>
    <w:rsid w:val="00A3037A"/>
    <w:rsid w:val="00A304F1"/>
    <w:rsid w:val="00A3053A"/>
    <w:rsid w:val="00A30966"/>
    <w:rsid w:val="00A30A07"/>
    <w:rsid w:val="00A30B90"/>
    <w:rsid w:val="00A30BE7"/>
    <w:rsid w:val="00A314FE"/>
    <w:rsid w:val="00A3176E"/>
    <w:rsid w:val="00A31BA5"/>
    <w:rsid w:val="00A31E52"/>
    <w:rsid w:val="00A31E8C"/>
    <w:rsid w:val="00A31ED5"/>
    <w:rsid w:val="00A32065"/>
    <w:rsid w:val="00A32363"/>
    <w:rsid w:val="00A323F6"/>
    <w:rsid w:val="00A32412"/>
    <w:rsid w:val="00A32513"/>
    <w:rsid w:val="00A326CC"/>
    <w:rsid w:val="00A32714"/>
    <w:rsid w:val="00A32E88"/>
    <w:rsid w:val="00A33549"/>
    <w:rsid w:val="00A335F9"/>
    <w:rsid w:val="00A336D6"/>
    <w:rsid w:val="00A33A0A"/>
    <w:rsid w:val="00A33E1D"/>
    <w:rsid w:val="00A340DE"/>
    <w:rsid w:val="00A344D6"/>
    <w:rsid w:val="00A34841"/>
    <w:rsid w:val="00A34DF8"/>
    <w:rsid w:val="00A350F6"/>
    <w:rsid w:val="00A3574C"/>
    <w:rsid w:val="00A35BEA"/>
    <w:rsid w:val="00A35C40"/>
    <w:rsid w:val="00A35ED8"/>
    <w:rsid w:val="00A35FA3"/>
    <w:rsid w:val="00A3666C"/>
    <w:rsid w:val="00A36C03"/>
    <w:rsid w:val="00A36D25"/>
    <w:rsid w:val="00A36DA7"/>
    <w:rsid w:val="00A36E03"/>
    <w:rsid w:val="00A36EE7"/>
    <w:rsid w:val="00A36F0B"/>
    <w:rsid w:val="00A372AF"/>
    <w:rsid w:val="00A3735F"/>
    <w:rsid w:val="00A377F6"/>
    <w:rsid w:val="00A3796E"/>
    <w:rsid w:val="00A37A09"/>
    <w:rsid w:val="00A37AA7"/>
    <w:rsid w:val="00A37AAB"/>
    <w:rsid w:val="00A37B21"/>
    <w:rsid w:val="00A37B48"/>
    <w:rsid w:val="00A37ECB"/>
    <w:rsid w:val="00A4007C"/>
    <w:rsid w:val="00A40268"/>
    <w:rsid w:val="00A4038E"/>
    <w:rsid w:val="00A40470"/>
    <w:rsid w:val="00A40B4E"/>
    <w:rsid w:val="00A40ECB"/>
    <w:rsid w:val="00A40F2E"/>
    <w:rsid w:val="00A41172"/>
    <w:rsid w:val="00A4128D"/>
    <w:rsid w:val="00A414DE"/>
    <w:rsid w:val="00A41514"/>
    <w:rsid w:val="00A41719"/>
    <w:rsid w:val="00A417AE"/>
    <w:rsid w:val="00A4191A"/>
    <w:rsid w:val="00A41956"/>
    <w:rsid w:val="00A41A2B"/>
    <w:rsid w:val="00A41C25"/>
    <w:rsid w:val="00A41D91"/>
    <w:rsid w:val="00A4212F"/>
    <w:rsid w:val="00A42427"/>
    <w:rsid w:val="00A42451"/>
    <w:rsid w:val="00A42C44"/>
    <w:rsid w:val="00A42C88"/>
    <w:rsid w:val="00A42D00"/>
    <w:rsid w:val="00A42D85"/>
    <w:rsid w:val="00A42D88"/>
    <w:rsid w:val="00A42F29"/>
    <w:rsid w:val="00A4300E"/>
    <w:rsid w:val="00A4354F"/>
    <w:rsid w:val="00A437B8"/>
    <w:rsid w:val="00A4414E"/>
    <w:rsid w:val="00A44349"/>
    <w:rsid w:val="00A44390"/>
    <w:rsid w:val="00A44882"/>
    <w:rsid w:val="00A44920"/>
    <w:rsid w:val="00A44C98"/>
    <w:rsid w:val="00A450B2"/>
    <w:rsid w:val="00A45277"/>
    <w:rsid w:val="00A45376"/>
    <w:rsid w:val="00A454CA"/>
    <w:rsid w:val="00A458EE"/>
    <w:rsid w:val="00A459AA"/>
    <w:rsid w:val="00A459E5"/>
    <w:rsid w:val="00A45C50"/>
    <w:rsid w:val="00A45C9D"/>
    <w:rsid w:val="00A4629C"/>
    <w:rsid w:val="00A46A2E"/>
    <w:rsid w:val="00A46C6D"/>
    <w:rsid w:val="00A46C8C"/>
    <w:rsid w:val="00A46D64"/>
    <w:rsid w:val="00A46FCC"/>
    <w:rsid w:val="00A4704E"/>
    <w:rsid w:val="00A470EE"/>
    <w:rsid w:val="00A47251"/>
    <w:rsid w:val="00A472B6"/>
    <w:rsid w:val="00A47CFA"/>
    <w:rsid w:val="00A50416"/>
    <w:rsid w:val="00A506F4"/>
    <w:rsid w:val="00A507F6"/>
    <w:rsid w:val="00A5085B"/>
    <w:rsid w:val="00A51519"/>
    <w:rsid w:val="00A51CE4"/>
    <w:rsid w:val="00A51DEF"/>
    <w:rsid w:val="00A51E24"/>
    <w:rsid w:val="00A520A4"/>
    <w:rsid w:val="00A522EC"/>
    <w:rsid w:val="00A523EE"/>
    <w:rsid w:val="00A52D40"/>
    <w:rsid w:val="00A53536"/>
    <w:rsid w:val="00A53567"/>
    <w:rsid w:val="00A535B5"/>
    <w:rsid w:val="00A538A5"/>
    <w:rsid w:val="00A53923"/>
    <w:rsid w:val="00A53A26"/>
    <w:rsid w:val="00A53A38"/>
    <w:rsid w:val="00A53D9F"/>
    <w:rsid w:val="00A53DCF"/>
    <w:rsid w:val="00A53E1C"/>
    <w:rsid w:val="00A53E41"/>
    <w:rsid w:val="00A540A2"/>
    <w:rsid w:val="00A541F9"/>
    <w:rsid w:val="00A547DD"/>
    <w:rsid w:val="00A54885"/>
    <w:rsid w:val="00A54ABD"/>
    <w:rsid w:val="00A54BD3"/>
    <w:rsid w:val="00A54C77"/>
    <w:rsid w:val="00A54F3A"/>
    <w:rsid w:val="00A54F86"/>
    <w:rsid w:val="00A55003"/>
    <w:rsid w:val="00A5555D"/>
    <w:rsid w:val="00A555CC"/>
    <w:rsid w:val="00A5568B"/>
    <w:rsid w:val="00A55832"/>
    <w:rsid w:val="00A55E01"/>
    <w:rsid w:val="00A562B2"/>
    <w:rsid w:val="00A56639"/>
    <w:rsid w:val="00A568FE"/>
    <w:rsid w:val="00A56B59"/>
    <w:rsid w:val="00A56DC8"/>
    <w:rsid w:val="00A56DF3"/>
    <w:rsid w:val="00A57013"/>
    <w:rsid w:val="00A57176"/>
    <w:rsid w:val="00A57E9C"/>
    <w:rsid w:val="00A57EF0"/>
    <w:rsid w:val="00A6011A"/>
    <w:rsid w:val="00A601F5"/>
    <w:rsid w:val="00A60242"/>
    <w:rsid w:val="00A602DF"/>
    <w:rsid w:val="00A60580"/>
    <w:rsid w:val="00A606A5"/>
    <w:rsid w:val="00A606AC"/>
    <w:rsid w:val="00A6094C"/>
    <w:rsid w:val="00A60C11"/>
    <w:rsid w:val="00A61063"/>
    <w:rsid w:val="00A61727"/>
    <w:rsid w:val="00A61DB9"/>
    <w:rsid w:val="00A61F97"/>
    <w:rsid w:val="00A6248A"/>
    <w:rsid w:val="00A624DD"/>
    <w:rsid w:val="00A62BB8"/>
    <w:rsid w:val="00A62C4D"/>
    <w:rsid w:val="00A62D8A"/>
    <w:rsid w:val="00A62EA4"/>
    <w:rsid w:val="00A62FDD"/>
    <w:rsid w:val="00A630C6"/>
    <w:rsid w:val="00A63254"/>
    <w:rsid w:val="00A63419"/>
    <w:rsid w:val="00A6394B"/>
    <w:rsid w:val="00A63FBA"/>
    <w:rsid w:val="00A64206"/>
    <w:rsid w:val="00A642B7"/>
    <w:rsid w:val="00A6439E"/>
    <w:rsid w:val="00A6489F"/>
    <w:rsid w:val="00A64916"/>
    <w:rsid w:val="00A64E26"/>
    <w:rsid w:val="00A64F88"/>
    <w:rsid w:val="00A653EA"/>
    <w:rsid w:val="00A65BAE"/>
    <w:rsid w:val="00A65BDB"/>
    <w:rsid w:val="00A65BE7"/>
    <w:rsid w:val="00A65DE7"/>
    <w:rsid w:val="00A6629C"/>
    <w:rsid w:val="00A665B6"/>
    <w:rsid w:val="00A669DB"/>
    <w:rsid w:val="00A66BAE"/>
    <w:rsid w:val="00A66D15"/>
    <w:rsid w:val="00A675D9"/>
    <w:rsid w:val="00A677CC"/>
    <w:rsid w:val="00A67940"/>
    <w:rsid w:val="00A679E6"/>
    <w:rsid w:val="00A67BD4"/>
    <w:rsid w:val="00A67C6A"/>
    <w:rsid w:val="00A7012D"/>
    <w:rsid w:val="00A704D1"/>
    <w:rsid w:val="00A70561"/>
    <w:rsid w:val="00A7091B"/>
    <w:rsid w:val="00A70C2F"/>
    <w:rsid w:val="00A71029"/>
    <w:rsid w:val="00A71060"/>
    <w:rsid w:val="00A71528"/>
    <w:rsid w:val="00A7169D"/>
    <w:rsid w:val="00A71FAC"/>
    <w:rsid w:val="00A7227D"/>
    <w:rsid w:val="00A7252A"/>
    <w:rsid w:val="00A72705"/>
    <w:rsid w:val="00A72971"/>
    <w:rsid w:val="00A7338C"/>
    <w:rsid w:val="00A73527"/>
    <w:rsid w:val="00A73C4F"/>
    <w:rsid w:val="00A73D89"/>
    <w:rsid w:val="00A73F49"/>
    <w:rsid w:val="00A741B2"/>
    <w:rsid w:val="00A747A8"/>
    <w:rsid w:val="00A74D99"/>
    <w:rsid w:val="00A7503C"/>
    <w:rsid w:val="00A75479"/>
    <w:rsid w:val="00A755F7"/>
    <w:rsid w:val="00A7560B"/>
    <w:rsid w:val="00A7592B"/>
    <w:rsid w:val="00A75D7D"/>
    <w:rsid w:val="00A75ECD"/>
    <w:rsid w:val="00A75EDB"/>
    <w:rsid w:val="00A75F7F"/>
    <w:rsid w:val="00A7600B"/>
    <w:rsid w:val="00A760E9"/>
    <w:rsid w:val="00A762A9"/>
    <w:rsid w:val="00A76474"/>
    <w:rsid w:val="00A76833"/>
    <w:rsid w:val="00A76998"/>
    <w:rsid w:val="00A76D47"/>
    <w:rsid w:val="00A76E06"/>
    <w:rsid w:val="00A7713A"/>
    <w:rsid w:val="00A771F6"/>
    <w:rsid w:val="00A775AA"/>
    <w:rsid w:val="00A77873"/>
    <w:rsid w:val="00A77AC4"/>
    <w:rsid w:val="00A77B0C"/>
    <w:rsid w:val="00A77B76"/>
    <w:rsid w:val="00A77E5F"/>
    <w:rsid w:val="00A77F9D"/>
    <w:rsid w:val="00A806C6"/>
    <w:rsid w:val="00A8086C"/>
    <w:rsid w:val="00A80C2F"/>
    <w:rsid w:val="00A80CA8"/>
    <w:rsid w:val="00A80E48"/>
    <w:rsid w:val="00A81117"/>
    <w:rsid w:val="00A81477"/>
    <w:rsid w:val="00A8152D"/>
    <w:rsid w:val="00A81555"/>
    <w:rsid w:val="00A81D48"/>
    <w:rsid w:val="00A8261C"/>
    <w:rsid w:val="00A82E7A"/>
    <w:rsid w:val="00A834FA"/>
    <w:rsid w:val="00A8357F"/>
    <w:rsid w:val="00A8369A"/>
    <w:rsid w:val="00A839A1"/>
    <w:rsid w:val="00A83B86"/>
    <w:rsid w:val="00A8403C"/>
    <w:rsid w:val="00A842F3"/>
    <w:rsid w:val="00A84366"/>
    <w:rsid w:val="00A846F5"/>
    <w:rsid w:val="00A84A6F"/>
    <w:rsid w:val="00A8538F"/>
    <w:rsid w:val="00A854FF"/>
    <w:rsid w:val="00A855AD"/>
    <w:rsid w:val="00A85DD3"/>
    <w:rsid w:val="00A8617D"/>
    <w:rsid w:val="00A86415"/>
    <w:rsid w:val="00A866F7"/>
    <w:rsid w:val="00A869D4"/>
    <w:rsid w:val="00A86BBE"/>
    <w:rsid w:val="00A87319"/>
    <w:rsid w:val="00A87405"/>
    <w:rsid w:val="00A8755B"/>
    <w:rsid w:val="00A875F7"/>
    <w:rsid w:val="00A87843"/>
    <w:rsid w:val="00A87935"/>
    <w:rsid w:val="00A87A4B"/>
    <w:rsid w:val="00A87ABC"/>
    <w:rsid w:val="00A87B5B"/>
    <w:rsid w:val="00A87B85"/>
    <w:rsid w:val="00A87F98"/>
    <w:rsid w:val="00A9063D"/>
    <w:rsid w:val="00A907FB"/>
    <w:rsid w:val="00A90FE1"/>
    <w:rsid w:val="00A91308"/>
    <w:rsid w:val="00A91A3F"/>
    <w:rsid w:val="00A91D27"/>
    <w:rsid w:val="00A9244F"/>
    <w:rsid w:val="00A92569"/>
    <w:rsid w:val="00A92C0C"/>
    <w:rsid w:val="00A92DBB"/>
    <w:rsid w:val="00A92FE4"/>
    <w:rsid w:val="00A9305E"/>
    <w:rsid w:val="00A9376E"/>
    <w:rsid w:val="00A938F5"/>
    <w:rsid w:val="00A93950"/>
    <w:rsid w:val="00A939E6"/>
    <w:rsid w:val="00A93A19"/>
    <w:rsid w:val="00A93B88"/>
    <w:rsid w:val="00A93D46"/>
    <w:rsid w:val="00A94142"/>
    <w:rsid w:val="00A941BE"/>
    <w:rsid w:val="00A9421C"/>
    <w:rsid w:val="00A94231"/>
    <w:rsid w:val="00A94869"/>
    <w:rsid w:val="00A94A5F"/>
    <w:rsid w:val="00A94BFC"/>
    <w:rsid w:val="00A94E9E"/>
    <w:rsid w:val="00A951EA"/>
    <w:rsid w:val="00A951FB"/>
    <w:rsid w:val="00A954AC"/>
    <w:rsid w:val="00A9552E"/>
    <w:rsid w:val="00A95654"/>
    <w:rsid w:val="00A96058"/>
    <w:rsid w:val="00A9617B"/>
    <w:rsid w:val="00A96490"/>
    <w:rsid w:val="00A96591"/>
    <w:rsid w:val="00A96869"/>
    <w:rsid w:val="00A968DE"/>
    <w:rsid w:val="00A96D07"/>
    <w:rsid w:val="00A96D2A"/>
    <w:rsid w:val="00A97385"/>
    <w:rsid w:val="00A9786E"/>
    <w:rsid w:val="00A9788F"/>
    <w:rsid w:val="00A97CCC"/>
    <w:rsid w:val="00A97E4C"/>
    <w:rsid w:val="00A97F0D"/>
    <w:rsid w:val="00AA0263"/>
    <w:rsid w:val="00AA0596"/>
    <w:rsid w:val="00AA05FB"/>
    <w:rsid w:val="00AA0767"/>
    <w:rsid w:val="00AA088B"/>
    <w:rsid w:val="00AA0970"/>
    <w:rsid w:val="00AA0E2E"/>
    <w:rsid w:val="00AA0E44"/>
    <w:rsid w:val="00AA0F80"/>
    <w:rsid w:val="00AA116F"/>
    <w:rsid w:val="00AA14F6"/>
    <w:rsid w:val="00AA180F"/>
    <w:rsid w:val="00AA18B2"/>
    <w:rsid w:val="00AA1D1D"/>
    <w:rsid w:val="00AA2229"/>
    <w:rsid w:val="00AA22E9"/>
    <w:rsid w:val="00AA25DD"/>
    <w:rsid w:val="00AA25E3"/>
    <w:rsid w:val="00AA2993"/>
    <w:rsid w:val="00AA2A12"/>
    <w:rsid w:val="00AA2C3B"/>
    <w:rsid w:val="00AA2F51"/>
    <w:rsid w:val="00AA34B7"/>
    <w:rsid w:val="00AA3904"/>
    <w:rsid w:val="00AA39C8"/>
    <w:rsid w:val="00AA3AC7"/>
    <w:rsid w:val="00AA3D5E"/>
    <w:rsid w:val="00AA406E"/>
    <w:rsid w:val="00AA437E"/>
    <w:rsid w:val="00AA4920"/>
    <w:rsid w:val="00AA4A6E"/>
    <w:rsid w:val="00AA4A81"/>
    <w:rsid w:val="00AA4DFE"/>
    <w:rsid w:val="00AA50FF"/>
    <w:rsid w:val="00AA511F"/>
    <w:rsid w:val="00AA5178"/>
    <w:rsid w:val="00AA5236"/>
    <w:rsid w:val="00AA55C2"/>
    <w:rsid w:val="00AA5734"/>
    <w:rsid w:val="00AA585E"/>
    <w:rsid w:val="00AA6143"/>
    <w:rsid w:val="00AA6642"/>
    <w:rsid w:val="00AA673F"/>
    <w:rsid w:val="00AA69A6"/>
    <w:rsid w:val="00AA6A18"/>
    <w:rsid w:val="00AA6AF2"/>
    <w:rsid w:val="00AA6C21"/>
    <w:rsid w:val="00AA6E17"/>
    <w:rsid w:val="00AA6EB8"/>
    <w:rsid w:val="00AA7017"/>
    <w:rsid w:val="00AA70B3"/>
    <w:rsid w:val="00AA76E8"/>
    <w:rsid w:val="00AA782C"/>
    <w:rsid w:val="00AA7909"/>
    <w:rsid w:val="00AA7BEB"/>
    <w:rsid w:val="00AA7DDE"/>
    <w:rsid w:val="00AA7FC0"/>
    <w:rsid w:val="00AB0139"/>
    <w:rsid w:val="00AB020D"/>
    <w:rsid w:val="00AB09FC"/>
    <w:rsid w:val="00AB0AAC"/>
    <w:rsid w:val="00AB0B70"/>
    <w:rsid w:val="00AB12EB"/>
    <w:rsid w:val="00AB1C0C"/>
    <w:rsid w:val="00AB1E13"/>
    <w:rsid w:val="00AB1EBA"/>
    <w:rsid w:val="00AB2163"/>
    <w:rsid w:val="00AB277F"/>
    <w:rsid w:val="00AB27F4"/>
    <w:rsid w:val="00AB2EAB"/>
    <w:rsid w:val="00AB2F29"/>
    <w:rsid w:val="00AB3030"/>
    <w:rsid w:val="00AB3A3F"/>
    <w:rsid w:val="00AB3B92"/>
    <w:rsid w:val="00AB3BFF"/>
    <w:rsid w:val="00AB3E31"/>
    <w:rsid w:val="00AB3F57"/>
    <w:rsid w:val="00AB403C"/>
    <w:rsid w:val="00AB47FE"/>
    <w:rsid w:val="00AB48AC"/>
    <w:rsid w:val="00AB4E0C"/>
    <w:rsid w:val="00AB4F65"/>
    <w:rsid w:val="00AB5061"/>
    <w:rsid w:val="00AB50B2"/>
    <w:rsid w:val="00AB5194"/>
    <w:rsid w:val="00AB548C"/>
    <w:rsid w:val="00AB5FEA"/>
    <w:rsid w:val="00AB621C"/>
    <w:rsid w:val="00AB6267"/>
    <w:rsid w:val="00AB63B5"/>
    <w:rsid w:val="00AB695C"/>
    <w:rsid w:val="00AB69DF"/>
    <w:rsid w:val="00AB7065"/>
    <w:rsid w:val="00AB7282"/>
    <w:rsid w:val="00AB7F1A"/>
    <w:rsid w:val="00AC0775"/>
    <w:rsid w:val="00AC07F2"/>
    <w:rsid w:val="00AC0FCE"/>
    <w:rsid w:val="00AC1047"/>
    <w:rsid w:val="00AC1090"/>
    <w:rsid w:val="00AC1317"/>
    <w:rsid w:val="00AC150D"/>
    <w:rsid w:val="00AC155C"/>
    <w:rsid w:val="00AC1689"/>
    <w:rsid w:val="00AC1695"/>
    <w:rsid w:val="00AC1BCA"/>
    <w:rsid w:val="00AC1F0D"/>
    <w:rsid w:val="00AC201C"/>
    <w:rsid w:val="00AC205E"/>
    <w:rsid w:val="00AC20C2"/>
    <w:rsid w:val="00AC2295"/>
    <w:rsid w:val="00AC249B"/>
    <w:rsid w:val="00AC2539"/>
    <w:rsid w:val="00AC2A6C"/>
    <w:rsid w:val="00AC34C3"/>
    <w:rsid w:val="00AC34D5"/>
    <w:rsid w:val="00AC3568"/>
    <w:rsid w:val="00AC39DA"/>
    <w:rsid w:val="00AC3E33"/>
    <w:rsid w:val="00AC40BE"/>
    <w:rsid w:val="00AC4207"/>
    <w:rsid w:val="00AC466D"/>
    <w:rsid w:val="00AC48C2"/>
    <w:rsid w:val="00AC49DC"/>
    <w:rsid w:val="00AC4AAC"/>
    <w:rsid w:val="00AC4B87"/>
    <w:rsid w:val="00AC4E19"/>
    <w:rsid w:val="00AC5268"/>
    <w:rsid w:val="00AC5356"/>
    <w:rsid w:val="00AC63D2"/>
    <w:rsid w:val="00AC6537"/>
    <w:rsid w:val="00AC665C"/>
    <w:rsid w:val="00AC66C6"/>
    <w:rsid w:val="00AC696D"/>
    <w:rsid w:val="00AC6CB5"/>
    <w:rsid w:val="00AC704E"/>
    <w:rsid w:val="00AC71D5"/>
    <w:rsid w:val="00AC7331"/>
    <w:rsid w:val="00AC7375"/>
    <w:rsid w:val="00AC7474"/>
    <w:rsid w:val="00AC763E"/>
    <w:rsid w:val="00AC77BD"/>
    <w:rsid w:val="00AC7D28"/>
    <w:rsid w:val="00AC7F84"/>
    <w:rsid w:val="00AD0800"/>
    <w:rsid w:val="00AD0E69"/>
    <w:rsid w:val="00AD10C6"/>
    <w:rsid w:val="00AD1124"/>
    <w:rsid w:val="00AD1194"/>
    <w:rsid w:val="00AD1626"/>
    <w:rsid w:val="00AD1B5D"/>
    <w:rsid w:val="00AD1C8D"/>
    <w:rsid w:val="00AD1DD8"/>
    <w:rsid w:val="00AD1F8E"/>
    <w:rsid w:val="00AD21CA"/>
    <w:rsid w:val="00AD22BB"/>
    <w:rsid w:val="00AD2572"/>
    <w:rsid w:val="00AD2683"/>
    <w:rsid w:val="00AD27CA"/>
    <w:rsid w:val="00AD282A"/>
    <w:rsid w:val="00AD297F"/>
    <w:rsid w:val="00AD29AF"/>
    <w:rsid w:val="00AD29F4"/>
    <w:rsid w:val="00AD2A7C"/>
    <w:rsid w:val="00AD2D3C"/>
    <w:rsid w:val="00AD31A0"/>
    <w:rsid w:val="00AD3379"/>
    <w:rsid w:val="00AD3455"/>
    <w:rsid w:val="00AD37A7"/>
    <w:rsid w:val="00AD387B"/>
    <w:rsid w:val="00AD38B7"/>
    <w:rsid w:val="00AD3C3A"/>
    <w:rsid w:val="00AD3E59"/>
    <w:rsid w:val="00AD3F1E"/>
    <w:rsid w:val="00AD3FC8"/>
    <w:rsid w:val="00AD423B"/>
    <w:rsid w:val="00AD434C"/>
    <w:rsid w:val="00AD434F"/>
    <w:rsid w:val="00AD46D8"/>
    <w:rsid w:val="00AD4895"/>
    <w:rsid w:val="00AD4A99"/>
    <w:rsid w:val="00AD50F6"/>
    <w:rsid w:val="00AD52E3"/>
    <w:rsid w:val="00AD56DC"/>
    <w:rsid w:val="00AD5A34"/>
    <w:rsid w:val="00AD5A86"/>
    <w:rsid w:val="00AD6167"/>
    <w:rsid w:val="00AD61B3"/>
    <w:rsid w:val="00AD6369"/>
    <w:rsid w:val="00AD647A"/>
    <w:rsid w:val="00AD679D"/>
    <w:rsid w:val="00AD6930"/>
    <w:rsid w:val="00AD6D7D"/>
    <w:rsid w:val="00AD6DB5"/>
    <w:rsid w:val="00AD6FAD"/>
    <w:rsid w:val="00AD70E4"/>
    <w:rsid w:val="00AD7120"/>
    <w:rsid w:val="00AD7472"/>
    <w:rsid w:val="00AD749D"/>
    <w:rsid w:val="00AD753C"/>
    <w:rsid w:val="00AD784B"/>
    <w:rsid w:val="00AD7852"/>
    <w:rsid w:val="00AD7B9E"/>
    <w:rsid w:val="00AE0067"/>
    <w:rsid w:val="00AE0618"/>
    <w:rsid w:val="00AE0B65"/>
    <w:rsid w:val="00AE0BEC"/>
    <w:rsid w:val="00AE1559"/>
    <w:rsid w:val="00AE1657"/>
    <w:rsid w:val="00AE1AA0"/>
    <w:rsid w:val="00AE1B04"/>
    <w:rsid w:val="00AE1BFF"/>
    <w:rsid w:val="00AE1EDA"/>
    <w:rsid w:val="00AE1F11"/>
    <w:rsid w:val="00AE1F96"/>
    <w:rsid w:val="00AE2146"/>
    <w:rsid w:val="00AE220A"/>
    <w:rsid w:val="00AE254D"/>
    <w:rsid w:val="00AE2B0B"/>
    <w:rsid w:val="00AE2C20"/>
    <w:rsid w:val="00AE2E4F"/>
    <w:rsid w:val="00AE32B3"/>
    <w:rsid w:val="00AE3420"/>
    <w:rsid w:val="00AE39DA"/>
    <w:rsid w:val="00AE3B74"/>
    <w:rsid w:val="00AE3C93"/>
    <w:rsid w:val="00AE3E61"/>
    <w:rsid w:val="00AE4062"/>
    <w:rsid w:val="00AE4069"/>
    <w:rsid w:val="00AE441C"/>
    <w:rsid w:val="00AE4796"/>
    <w:rsid w:val="00AE482D"/>
    <w:rsid w:val="00AE4883"/>
    <w:rsid w:val="00AE4888"/>
    <w:rsid w:val="00AE4C01"/>
    <w:rsid w:val="00AE4CEB"/>
    <w:rsid w:val="00AE52F5"/>
    <w:rsid w:val="00AE534B"/>
    <w:rsid w:val="00AE554A"/>
    <w:rsid w:val="00AE55FF"/>
    <w:rsid w:val="00AE57E2"/>
    <w:rsid w:val="00AE58D5"/>
    <w:rsid w:val="00AE5F06"/>
    <w:rsid w:val="00AE6098"/>
    <w:rsid w:val="00AE638D"/>
    <w:rsid w:val="00AE647F"/>
    <w:rsid w:val="00AE65E4"/>
    <w:rsid w:val="00AE6C39"/>
    <w:rsid w:val="00AE6FF2"/>
    <w:rsid w:val="00AE71EF"/>
    <w:rsid w:val="00AE7402"/>
    <w:rsid w:val="00AE7545"/>
    <w:rsid w:val="00AE7C50"/>
    <w:rsid w:val="00AE7CB2"/>
    <w:rsid w:val="00AE7E65"/>
    <w:rsid w:val="00AE7EEC"/>
    <w:rsid w:val="00AE7EF3"/>
    <w:rsid w:val="00AE7F17"/>
    <w:rsid w:val="00AF02D5"/>
    <w:rsid w:val="00AF0760"/>
    <w:rsid w:val="00AF076F"/>
    <w:rsid w:val="00AF0976"/>
    <w:rsid w:val="00AF0B3A"/>
    <w:rsid w:val="00AF0BAE"/>
    <w:rsid w:val="00AF0BBF"/>
    <w:rsid w:val="00AF0F65"/>
    <w:rsid w:val="00AF0FB1"/>
    <w:rsid w:val="00AF112A"/>
    <w:rsid w:val="00AF1217"/>
    <w:rsid w:val="00AF15AC"/>
    <w:rsid w:val="00AF1841"/>
    <w:rsid w:val="00AF1EAB"/>
    <w:rsid w:val="00AF1EFC"/>
    <w:rsid w:val="00AF21CC"/>
    <w:rsid w:val="00AF2318"/>
    <w:rsid w:val="00AF2A07"/>
    <w:rsid w:val="00AF2DBD"/>
    <w:rsid w:val="00AF3160"/>
    <w:rsid w:val="00AF34BA"/>
    <w:rsid w:val="00AF39E2"/>
    <w:rsid w:val="00AF3C2A"/>
    <w:rsid w:val="00AF3D32"/>
    <w:rsid w:val="00AF3E9A"/>
    <w:rsid w:val="00AF3FA2"/>
    <w:rsid w:val="00AF4045"/>
    <w:rsid w:val="00AF409D"/>
    <w:rsid w:val="00AF4182"/>
    <w:rsid w:val="00AF430B"/>
    <w:rsid w:val="00AF4573"/>
    <w:rsid w:val="00AF4A2A"/>
    <w:rsid w:val="00AF4AFE"/>
    <w:rsid w:val="00AF4D30"/>
    <w:rsid w:val="00AF4FBB"/>
    <w:rsid w:val="00AF5272"/>
    <w:rsid w:val="00AF55DC"/>
    <w:rsid w:val="00AF5BC0"/>
    <w:rsid w:val="00AF5BC6"/>
    <w:rsid w:val="00AF626B"/>
    <w:rsid w:val="00AF6372"/>
    <w:rsid w:val="00AF68D6"/>
    <w:rsid w:val="00AF6A8A"/>
    <w:rsid w:val="00AF6ACC"/>
    <w:rsid w:val="00AF7003"/>
    <w:rsid w:val="00AF72B0"/>
    <w:rsid w:val="00AF77F1"/>
    <w:rsid w:val="00AF79C9"/>
    <w:rsid w:val="00AF7B2B"/>
    <w:rsid w:val="00AF7C9C"/>
    <w:rsid w:val="00AF7D10"/>
    <w:rsid w:val="00AF7D13"/>
    <w:rsid w:val="00AF7DB0"/>
    <w:rsid w:val="00AF7EBB"/>
    <w:rsid w:val="00B00056"/>
    <w:rsid w:val="00B00698"/>
    <w:rsid w:val="00B00A0E"/>
    <w:rsid w:val="00B00BB6"/>
    <w:rsid w:val="00B00C27"/>
    <w:rsid w:val="00B0114B"/>
    <w:rsid w:val="00B011C9"/>
    <w:rsid w:val="00B012D5"/>
    <w:rsid w:val="00B012F0"/>
    <w:rsid w:val="00B0163A"/>
    <w:rsid w:val="00B019FE"/>
    <w:rsid w:val="00B01FBA"/>
    <w:rsid w:val="00B020C5"/>
    <w:rsid w:val="00B02112"/>
    <w:rsid w:val="00B021A5"/>
    <w:rsid w:val="00B025F3"/>
    <w:rsid w:val="00B02655"/>
    <w:rsid w:val="00B026F6"/>
    <w:rsid w:val="00B02AF1"/>
    <w:rsid w:val="00B02EA7"/>
    <w:rsid w:val="00B02FAE"/>
    <w:rsid w:val="00B035B9"/>
    <w:rsid w:val="00B035DC"/>
    <w:rsid w:val="00B0361E"/>
    <w:rsid w:val="00B03750"/>
    <w:rsid w:val="00B0385A"/>
    <w:rsid w:val="00B038D0"/>
    <w:rsid w:val="00B0409C"/>
    <w:rsid w:val="00B04380"/>
    <w:rsid w:val="00B0441C"/>
    <w:rsid w:val="00B04DB1"/>
    <w:rsid w:val="00B04E3F"/>
    <w:rsid w:val="00B0506F"/>
    <w:rsid w:val="00B05153"/>
    <w:rsid w:val="00B052BB"/>
    <w:rsid w:val="00B05611"/>
    <w:rsid w:val="00B05710"/>
    <w:rsid w:val="00B059D4"/>
    <w:rsid w:val="00B05A10"/>
    <w:rsid w:val="00B05A50"/>
    <w:rsid w:val="00B05B85"/>
    <w:rsid w:val="00B060F2"/>
    <w:rsid w:val="00B062AF"/>
    <w:rsid w:val="00B06644"/>
    <w:rsid w:val="00B067D1"/>
    <w:rsid w:val="00B06A23"/>
    <w:rsid w:val="00B06B90"/>
    <w:rsid w:val="00B06C17"/>
    <w:rsid w:val="00B06DCD"/>
    <w:rsid w:val="00B06EF5"/>
    <w:rsid w:val="00B071C7"/>
    <w:rsid w:val="00B0721E"/>
    <w:rsid w:val="00B075C5"/>
    <w:rsid w:val="00B0761F"/>
    <w:rsid w:val="00B07952"/>
    <w:rsid w:val="00B07C8B"/>
    <w:rsid w:val="00B100B7"/>
    <w:rsid w:val="00B101F4"/>
    <w:rsid w:val="00B10674"/>
    <w:rsid w:val="00B109EF"/>
    <w:rsid w:val="00B10BDB"/>
    <w:rsid w:val="00B10C23"/>
    <w:rsid w:val="00B10EBC"/>
    <w:rsid w:val="00B10F06"/>
    <w:rsid w:val="00B11749"/>
    <w:rsid w:val="00B118BC"/>
    <w:rsid w:val="00B11CA2"/>
    <w:rsid w:val="00B12072"/>
    <w:rsid w:val="00B120EC"/>
    <w:rsid w:val="00B1224F"/>
    <w:rsid w:val="00B123AD"/>
    <w:rsid w:val="00B12B37"/>
    <w:rsid w:val="00B12B69"/>
    <w:rsid w:val="00B12C71"/>
    <w:rsid w:val="00B12EFD"/>
    <w:rsid w:val="00B13000"/>
    <w:rsid w:val="00B137A6"/>
    <w:rsid w:val="00B139F2"/>
    <w:rsid w:val="00B13A81"/>
    <w:rsid w:val="00B1409E"/>
    <w:rsid w:val="00B1452E"/>
    <w:rsid w:val="00B14816"/>
    <w:rsid w:val="00B14ECC"/>
    <w:rsid w:val="00B15028"/>
    <w:rsid w:val="00B150C6"/>
    <w:rsid w:val="00B1518C"/>
    <w:rsid w:val="00B151EC"/>
    <w:rsid w:val="00B1522A"/>
    <w:rsid w:val="00B15472"/>
    <w:rsid w:val="00B155D8"/>
    <w:rsid w:val="00B15917"/>
    <w:rsid w:val="00B15A40"/>
    <w:rsid w:val="00B15C73"/>
    <w:rsid w:val="00B15FF0"/>
    <w:rsid w:val="00B1635E"/>
    <w:rsid w:val="00B16489"/>
    <w:rsid w:val="00B16847"/>
    <w:rsid w:val="00B16D27"/>
    <w:rsid w:val="00B16D92"/>
    <w:rsid w:val="00B16DD8"/>
    <w:rsid w:val="00B174DE"/>
    <w:rsid w:val="00B1789E"/>
    <w:rsid w:val="00B17955"/>
    <w:rsid w:val="00B17A83"/>
    <w:rsid w:val="00B17D02"/>
    <w:rsid w:val="00B17F62"/>
    <w:rsid w:val="00B20152"/>
    <w:rsid w:val="00B2077D"/>
    <w:rsid w:val="00B20B44"/>
    <w:rsid w:val="00B20D1A"/>
    <w:rsid w:val="00B210BC"/>
    <w:rsid w:val="00B2117A"/>
    <w:rsid w:val="00B2134D"/>
    <w:rsid w:val="00B213FA"/>
    <w:rsid w:val="00B216DA"/>
    <w:rsid w:val="00B218FA"/>
    <w:rsid w:val="00B21A44"/>
    <w:rsid w:val="00B21B21"/>
    <w:rsid w:val="00B21F36"/>
    <w:rsid w:val="00B22059"/>
    <w:rsid w:val="00B22452"/>
    <w:rsid w:val="00B225F5"/>
    <w:rsid w:val="00B22C96"/>
    <w:rsid w:val="00B231C5"/>
    <w:rsid w:val="00B2336B"/>
    <w:rsid w:val="00B23728"/>
    <w:rsid w:val="00B239EC"/>
    <w:rsid w:val="00B239F4"/>
    <w:rsid w:val="00B23A52"/>
    <w:rsid w:val="00B243F8"/>
    <w:rsid w:val="00B245B5"/>
    <w:rsid w:val="00B2472D"/>
    <w:rsid w:val="00B249CC"/>
    <w:rsid w:val="00B24AB2"/>
    <w:rsid w:val="00B24FB8"/>
    <w:rsid w:val="00B251C5"/>
    <w:rsid w:val="00B25354"/>
    <w:rsid w:val="00B25677"/>
    <w:rsid w:val="00B256D2"/>
    <w:rsid w:val="00B257C7"/>
    <w:rsid w:val="00B25A3D"/>
    <w:rsid w:val="00B25A77"/>
    <w:rsid w:val="00B2627F"/>
    <w:rsid w:val="00B26393"/>
    <w:rsid w:val="00B26415"/>
    <w:rsid w:val="00B2665A"/>
    <w:rsid w:val="00B268D0"/>
    <w:rsid w:val="00B26AE0"/>
    <w:rsid w:val="00B26EAF"/>
    <w:rsid w:val="00B27109"/>
    <w:rsid w:val="00B2764E"/>
    <w:rsid w:val="00B278B3"/>
    <w:rsid w:val="00B27CDF"/>
    <w:rsid w:val="00B27DE0"/>
    <w:rsid w:val="00B27EAC"/>
    <w:rsid w:val="00B3003F"/>
    <w:rsid w:val="00B300F1"/>
    <w:rsid w:val="00B3011B"/>
    <w:rsid w:val="00B30217"/>
    <w:rsid w:val="00B3021E"/>
    <w:rsid w:val="00B30638"/>
    <w:rsid w:val="00B30889"/>
    <w:rsid w:val="00B30AAA"/>
    <w:rsid w:val="00B30F37"/>
    <w:rsid w:val="00B312FF"/>
    <w:rsid w:val="00B31A33"/>
    <w:rsid w:val="00B31DCC"/>
    <w:rsid w:val="00B31E80"/>
    <w:rsid w:val="00B32274"/>
    <w:rsid w:val="00B3229F"/>
    <w:rsid w:val="00B32307"/>
    <w:rsid w:val="00B325B5"/>
    <w:rsid w:val="00B326C7"/>
    <w:rsid w:val="00B32CDE"/>
    <w:rsid w:val="00B32ECA"/>
    <w:rsid w:val="00B32F80"/>
    <w:rsid w:val="00B330AE"/>
    <w:rsid w:val="00B33170"/>
    <w:rsid w:val="00B3365E"/>
    <w:rsid w:val="00B33709"/>
    <w:rsid w:val="00B33E32"/>
    <w:rsid w:val="00B33F47"/>
    <w:rsid w:val="00B33FC3"/>
    <w:rsid w:val="00B34092"/>
    <w:rsid w:val="00B34445"/>
    <w:rsid w:val="00B3461A"/>
    <w:rsid w:val="00B346B1"/>
    <w:rsid w:val="00B34799"/>
    <w:rsid w:val="00B34AE7"/>
    <w:rsid w:val="00B350DB"/>
    <w:rsid w:val="00B353E2"/>
    <w:rsid w:val="00B354F8"/>
    <w:rsid w:val="00B35691"/>
    <w:rsid w:val="00B3571E"/>
    <w:rsid w:val="00B35C30"/>
    <w:rsid w:val="00B35DAF"/>
    <w:rsid w:val="00B35DE7"/>
    <w:rsid w:val="00B35F8E"/>
    <w:rsid w:val="00B3604C"/>
    <w:rsid w:val="00B36496"/>
    <w:rsid w:val="00B364E9"/>
    <w:rsid w:val="00B367FB"/>
    <w:rsid w:val="00B367FC"/>
    <w:rsid w:val="00B36C25"/>
    <w:rsid w:val="00B36C27"/>
    <w:rsid w:val="00B36D62"/>
    <w:rsid w:val="00B36EFC"/>
    <w:rsid w:val="00B372D2"/>
    <w:rsid w:val="00B37650"/>
    <w:rsid w:val="00B379A4"/>
    <w:rsid w:val="00B37D81"/>
    <w:rsid w:val="00B37E56"/>
    <w:rsid w:val="00B37FBD"/>
    <w:rsid w:val="00B401BB"/>
    <w:rsid w:val="00B40487"/>
    <w:rsid w:val="00B405FA"/>
    <w:rsid w:val="00B40707"/>
    <w:rsid w:val="00B407F7"/>
    <w:rsid w:val="00B40B66"/>
    <w:rsid w:val="00B40E68"/>
    <w:rsid w:val="00B40FAE"/>
    <w:rsid w:val="00B413A7"/>
    <w:rsid w:val="00B41489"/>
    <w:rsid w:val="00B416C2"/>
    <w:rsid w:val="00B41B37"/>
    <w:rsid w:val="00B41BF0"/>
    <w:rsid w:val="00B42432"/>
    <w:rsid w:val="00B42BF3"/>
    <w:rsid w:val="00B42DFB"/>
    <w:rsid w:val="00B4355B"/>
    <w:rsid w:val="00B43907"/>
    <w:rsid w:val="00B4392E"/>
    <w:rsid w:val="00B43D0B"/>
    <w:rsid w:val="00B43D2D"/>
    <w:rsid w:val="00B44183"/>
    <w:rsid w:val="00B444DE"/>
    <w:rsid w:val="00B44647"/>
    <w:rsid w:val="00B446F9"/>
    <w:rsid w:val="00B44C8D"/>
    <w:rsid w:val="00B44C8F"/>
    <w:rsid w:val="00B45015"/>
    <w:rsid w:val="00B45376"/>
    <w:rsid w:val="00B456C5"/>
    <w:rsid w:val="00B45DD8"/>
    <w:rsid w:val="00B46094"/>
    <w:rsid w:val="00B460C5"/>
    <w:rsid w:val="00B46217"/>
    <w:rsid w:val="00B4644D"/>
    <w:rsid w:val="00B466BD"/>
    <w:rsid w:val="00B46CD7"/>
    <w:rsid w:val="00B472DE"/>
    <w:rsid w:val="00B474B6"/>
    <w:rsid w:val="00B4757E"/>
    <w:rsid w:val="00B476A7"/>
    <w:rsid w:val="00B4779E"/>
    <w:rsid w:val="00B47995"/>
    <w:rsid w:val="00B5000B"/>
    <w:rsid w:val="00B50816"/>
    <w:rsid w:val="00B509CB"/>
    <w:rsid w:val="00B50A98"/>
    <w:rsid w:val="00B50BDC"/>
    <w:rsid w:val="00B50C71"/>
    <w:rsid w:val="00B50E99"/>
    <w:rsid w:val="00B51024"/>
    <w:rsid w:val="00B510CD"/>
    <w:rsid w:val="00B51780"/>
    <w:rsid w:val="00B5196E"/>
    <w:rsid w:val="00B51B7F"/>
    <w:rsid w:val="00B51CC5"/>
    <w:rsid w:val="00B51E19"/>
    <w:rsid w:val="00B521A9"/>
    <w:rsid w:val="00B52487"/>
    <w:rsid w:val="00B5269D"/>
    <w:rsid w:val="00B526AB"/>
    <w:rsid w:val="00B529D6"/>
    <w:rsid w:val="00B52C88"/>
    <w:rsid w:val="00B53118"/>
    <w:rsid w:val="00B53252"/>
    <w:rsid w:val="00B533D5"/>
    <w:rsid w:val="00B53672"/>
    <w:rsid w:val="00B53779"/>
    <w:rsid w:val="00B538CC"/>
    <w:rsid w:val="00B539E7"/>
    <w:rsid w:val="00B53D8C"/>
    <w:rsid w:val="00B53DD8"/>
    <w:rsid w:val="00B53E8B"/>
    <w:rsid w:val="00B53F03"/>
    <w:rsid w:val="00B53F98"/>
    <w:rsid w:val="00B54358"/>
    <w:rsid w:val="00B543FB"/>
    <w:rsid w:val="00B54643"/>
    <w:rsid w:val="00B5482A"/>
    <w:rsid w:val="00B559F1"/>
    <w:rsid w:val="00B55A74"/>
    <w:rsid w:val="00B55BD9"/>
    <w:rsid w:val="00B55D9E"/>
    <w:rsid w:val="00B55DB8"/>
    <w:rsid w:val="00B563F6"/>
    <w:rsid w:val="00B56812"/>
    <w:rsid w:val="00B568ED"/>
    <w:rsid w:val="00B569D2"/>
    <w:rsid w:val="00B569FC"/>
    <w:rsid w:val="00B56A59"/>
    <w:rsid w:val="00B571EA"/>
    <w:rsid w:val="00B57459"/>
    <w:rsid w:val="00B57674"/>
    <w:rsid w:val="00B5783F"/>
    <w:rsid w:val="00B57B9E"/>
    <w:rsid w:val="00B57C32"/>
    <w:rsid w:val="00B57C43"/>
    <w:rsid w:val="00B60338"/>
    <w:rsid w:val="00B603FF"/>
    <w:rsid w:val="00B6061D"/>
    <w:rsid w:val="00B60798"/>
    <w:rsid w:val="00B6094F"/>
    <w:rsid w:val="00B60A9B"/>
    <w:rsid w:val="00B6111A"/>
    <w:rsid w:val="00B612FC"/>
    <w:rsid w:val="00B61413"/>
    <w:rsid w:val="00B617EE"/>
    <w:rsid w:val="00B61874"/>
    <w:rsid w:val="00B61911"/>
    <w:rsid w:val="00B61C23"/>
    <w:rsid w:val="00B61F30"/>
    <w:rsid w:val="00B622A8"/>
    <w:rsid w:val="00B62392"/>
    <w:rsid w:val="00B6240C"/>
    <w:rsid w:val="00B625F8"/>
    <w:rsid w:val="00B62766"/>
    <w:rsid w:val="00B62943"/>
    <w:rsid w:val="00B6294F"/>
    <w:rsid w:val="00B62960"/>
    <w:rsid w:val="00B62F31"/>
    <w:rsid w:val="00B63023"/>
    <w:rsid w:val="00B630F9"/>
    <w:rsid w:val="00B631F9"/>
    <w:rsid w:val="00B63237"/>
    <w:rsid w:val="00B632A4"/>
    <w:rsid w:val="00B6377D"/>
    <w:rsid w:val="00B640E2"/>
    <w:rsid w:val="00B643EA"/>
    <w:rsid w:val="00B64619"/>
    <w:rsid w:val="00B649C8"/>
    <w:rsid w:val="00B64A60"/>
    <w:rsid w:val="00B64B67"/>
    <w:rsid w:val="00B64D34"/>
    <w:rsid w:val="00B6538A"/>
    <w:rsid w:val="00B6546E"/>
    <w:rsid w:val="00B654A0"/>
    <w:rsid w:val="00B655C0"/>
    <w:rsid w:val="00B6585D"/>
    <w:rsid w:val="00B65995"/>
    <w:rsid w:val="00B6635B"/>
    <w:rsid w:val="00B66576"/>
    <w:rsid w:val="00B6681D"/>
    <w:rsid w:val="00B66B02"/>
    <w:rsid w:val="00B66E1F"/>
    <w:rsid w:val="00B670F1"/>
    <w:rsid w:val="00B67764"/>
    <w:rsid w:val="00B67B44"/>
    <w:rsid w:val="00B67DCC"/>
    <w:rsid w:val="00B7008F"/>
    <w:rsid w:val="00B70136"/>
    <w:rsid w:val="00B70260"/>
    <w:rsid w:val="00B7026A"/>
    <w:rsid w:val="00B703AB"/>
    <w:rsid w:val="00B70488"/>
    <w:rsid w:val="00B7078C"/>
    <w:rsid w:val="00B70A58"/>
    <w:rsid w:val="00B70B78"/>
    <w:rsid w:val="00B712BE"/>
    <w:rsid w:val="00B7131B"/>
    <w:rsid w:val="00B71622"/>
    <w:rsid w:val="00B7197C"/>
    <w:rsid w:val="00B71A39"/>
    <w:rsid w:val="00B71ABD"/>
    <w:rsid w:val="00B71B40"/>
    <w:rsid w:val="00B71D83"/>
    <w:rsid w:val="00B71E3D"/>
    <w:rsid w:val="00B72431"/>
    <w:rsid w:val="00B72998"/>
    <w:rsid w:val="00B72D00"/>
    <w:rsid w:val="00B72F73"/>
    <w:rsid w:val="00B731F1"/>
    <w:rsid w:val="00B7346B"/>
    <w:rsid w:val="00B735A7"/>
    <w:rsid w:val="00B73835"/>
    <w:rsid w:val="00B73909"/>
    <w:rsid w:val="00B73911"/>
    <w:rsid w:val="00B73AE9"/>
    <w:rsid w:val="00B73B03"/>
    <w:rsid w:val="00B73C39"/>
    <w:rsid w:val="00B73CD8"/>
    <w:rsid w:val="00B73D0A"/>
    <w:rsid w:val="00B7403F"/>
    <w:rsid w:val="00B74332"/>
    <w:rsid w:val="00B743A9"/>
    <w:rsid w:val="00B747DB"/>
    <w:rsid w:val="00B74872"/>
    <w:rsid w:val="00B749C4"/>
    <w:rsid w:val="00B74B99"/>
    <w:rsid w:val="00B74C96"/>
    <w:rsid w:val="00B74F42"/>
    <w:rsid w:val="00B75054"/>
    <w:rsid w:val="00B7514E"/>
    <w:rsid w:val="00B75485"/>
    <w:rsid w:val="00B755B3"/>
    <w:rsid w:val="00B7568E"/>
    <w:rsid w:val="00B756F4"/>
    <w:rsid w:val="00B75B54"/>
    <w:rsid w:val="00B75CAA"/>
    <w:rsid w:val="00B75F75"/>
    <w:rsid w:val="00B760F0"/>
    <w:rsid w:val="00B762BA"/>
    <w:rsid w:val="00B76545"/>
    <w:rsid w:val="00B765D8"/>
    <w:rsid w:val="00B76661"/>
    <w:rsid w:val="00B7670F"/>
    <w:rsid w:val="00B76755"/>
    <w:rsid w:val="00B76AC9"/>
    <w:rsid w:val="00B770B8"/>
    <w:rsid w:val="00B7742F"/>
    <w:rsid w:val="00B77602"/>
    <w:rsid w:val="00B7768E"/>
    <w:rsid w:val="00B77698"/>
    <w:rsid w:val="00B776D3"/>
    <w:rsid w:val="00B77F7A"/>
    <w:rsid w:val="00B80187"/>
    <w:rsid w:val="00B8052D"/>
    <w:rsid w:val="00B80635"/>
    <w:rsid w:val="00B806D9"/>
    <w:rsid w:val="00B809F6"/>
    <w:rsid w:val="00B80B3A"/>
    <w:rsid w:val="00B80BE8"/>
    <w:rsid w:val="00B80CE0"/>
    <w:rsid w:val="00B80E47"/>
    <w:rsid w:val="00B80F5D"/>
    <w:rsid w:val="00B80FC0"/>
    <w:rsid w:val="00B81134"/>
    <w:rsid w:val="00B81765"/>
    <w:rsid w:val="00B8176A"/>
    <w:rsid w:val="00B81870"/>
    <w:rsid w:val="00B8197A"/>
    <w:rsid w:val="00B81C1D"/>
    <w:rsid w:val="00B82377"/>
    <w:rsid w:val="00B82632"/>
    <w:rsid w:val="00B8269D"/>
    <w:rsid w:val="00B82823"/>
    <w:rsid w:val="00B8284C"/>
    <w:rsid w:val="00B82AE2"/>
    <w:rsid w:val="00B82C84"/>
    <w:rsid w:val="00B82D8A"/>
    <w:rsid w:val="00B82F1E"/>
    <w:rsid w:val="00B83073"/>
    <w:rsid w:val="00B833BC"/>
    <w:rsid w:val="00B83518"/>
    <w:rsid w:val="00B83630"/>
    <w:rsid w:val="00B839F7"/>
    <w:rsid w:val="00B83C88"/>
    <w:rsid w:val="00B83D57"/>
    <w:rsid w:val="00B83EB1"/>
    <w:rsid w:val="00B84651"/>
    <w:rsid w:val="00B84800"/>
    <w:rsid w:val="00B84B28"/>
    <w:rsid w:val="00B84C7C"/>
    <w:rsid w:val="00B850B2"/>
    <w:rsid w:val="00B852EB"/>
    <w:rsid w:val="00B85338"/>
    <w:rsid w:val="00B857E5"/>
    <w:rsid w:val="00B857ED"/>
    <w:rsid w:val="00B85DD4"/>
    <w:rsid w:val="00B85E4D"/>
    <w:rsid w:val="00B863EA"/>
    <w:rsid w:val="00B8651F"/>
    <w:rsid w:val="00B86AB6"/>
    <w:rsid w:val="00B86BA0"/>
    <w:rsid w:val="00B86CCD"/>
    <w:rsid w:val="00B86F2A"/>
    <w:rsid w:val="00B8736F"/>
    <w:rsid w:val="00B87397"/>
    <w:rsid w:val="00B87453"/>
    <w:rsid w:val="00B875DF"/>
    <w:rsid w:val="00B875E6"/>
    <w:rsid w:val="00B87C65"/>
    <w:rsid w:val="00B87CC2"/>
    <w:rsid w:val="00B87E1B"/>
    <w:rsid w:val="00B87F85"/>
    <w:rsid w:val="00B906D3"/>
    <w:rsid w:val="00B906FB"/>
    <w:rsid w:val="00B9097F"/>
    <w:rsid w:val="00B90E44"/>
    <w:rsid w:val="00B90F47"/>
    <w:rsid w:val="00B91114"/>
    <w:rsid w:val="00B9116A"/>
    <w:rsid w:val="00B91380"/>
    <w:rsid w:val="00B91502"/>
    <w:rsid w:val="00B9154E"/>
    <w:rsid w:val="00B91758"/>
    <w:rsid w:val="00B917B4"/>
    <w:rsid w:val="00B91BD2"/>
    <w:rsid w:val="00B91C5E"/>
    <w:rsid w:val="00B91D1D"/>
    <w:rsid w:val="00B92E03"/>
    <w:rsid w:val="00B92F6B"/>
    <w:rsid w:val="00B92FF1"/>
    <w:rsid w:val="00B930C1"/>
    <w:rsid w:val="00B9313B"/>
    <w:rsid w:val="00B9319B"/>
    <w:rsid w:val="00B93430"/>
    <w:rsid w:val="00B93591"/>
    <w:rsid w:val="00B936C3"/>
    <w:rsid w:val="00B93BE7"/>
    <w:rsid w:val="00B93F5E"/>
    <w:rsid w:val="00B93FDE"/>
    <w:rsid w:val="00B943AB"/>
    <w:rsid w:val="00B946C2"/>
    <w:rsid w:val="00B94B9F"/>
    <w:rsid w:val="00B95172"/>
    <w:rsid w:val="00B95575"/>
    <w:rsid w:val="00B95AA9"/>
    <w:rsid w:val="00B95B04"/>
    <w:rsid w:val="00B95BBF"/>
    <w:rsid w:val="00B95F11"/>
    <w:rsid w:val="00B95FAF"/>
    <w:rsid w:val="00B962FF"/>
    <w:rsid w:val="00B96431"/>
    <w:rsid w:val="00B96688"/>
    <w:rsid w:val="00B966EC"/>
    <w:rsid w:val="00B968B3"/>
    <w:rsid w:val="00B968C8"/>
    <w:rsid w:val="00B96F12"/>
    <w:rsid w:val="00B970AE"/>
    <w:rsid w:val="00B9736E"/>
    <w:rsid w:val="00B973F5"/>
    <w:rsid w:val="00B975C9"/>
    <w:rsid w:val="00B976A9"/>
    <w:rsid w:val="00B9774B"/>
    <w:rsid w:val="00B97818"/>
    <w:rsid w:val="00B97943"/>
    <w:rsid w:val="00B97995"/>
    <w:rsid w:val="00B97A10"/>
    <w:rsid w:val="00B97B14"/>
    <w:rsid w:val="00B97CDD"/>
    <w:rsid w:val="00B97E51"/>
    <w:rsid w:val="00B97FAB"/>
    <w:rsid w:val="00BA0068"/>
    <w:rsid w:val="00BA00FC"/>
    <w:rsid w:val="00BA022D"/>
    <w:rsid w:val="00BA034F"/>
    <w:rsid w:val="00BA039D"/>
    <w:rsid w:val="00BA068B"/>
    <w:rsid w:val="00BA07B9"/>
    <w:rsid w:val="00BA0CF0"/>
    <w:rsid w:val="00BA0DC4"/>
    <w:rsid w:val="00BA0E8F"/>
    <w:rsid w:val="00BA0FF1"/>
    <w:rsid w:val="00BA12A5"/>
    <w:rsid w:val="00BA12D8"/>
    <w:rsid w:val="00BA1561"/>
    <w:rsid w:val="00BA173B"/>
    <w:rsid w:val="00BA1750"/>
    <w:rsid w:val="00BA17E9"/>
    <w:rsid w:val="00BA1B4E"/>
    <w:rsid w:val="00BA229D"/>
    <w:rsid w:val="00BA2AD6"/>
    <w:rsid w:val="00BA2D72"/>
    <w:rsid w:val="00BA2F94"/>
    <w:rsid w:val="00BA333A"/>
    <w:rsid w:val="00BA34C1"/>
    <w:rsid w:val="00BA3515"/>
    <w:rsid w:val="00BA3618"/>
    <w:rsid w:val="00BA3898"/>
    <w:rsid w:val="00BA3902"/>
    <w:rsid w:val="00BA391E"/>
    <w:rsid w:val="00BA3CAC"/>
    <w:rsid w:val="00BA3EF4"/>
    <w:rsid w:val="00BA3EF6"/>
    <w:rsid w:val="00BA3FA5"/>
    <w:rsid w:val="00BA429C"/>
    <w:rsid w:val="00BA42C5"/>
    <w:rsid w:val="00BA44E4"/>
    <w:rsid w:val="00BA492B"/>
    <w:rsid w:val="00BA4A23"/>
    <w:rsid w:val="00BA4DB1"/>
    <w:rsid w:val="00BA4E55"/>
    <w:rsid w:val="00BA5176"/>
    <w:rsid w:val="00BA5263"/>
    <w:rsid w:val="00BA53FE"/>
    <w:rsid w:val="00BA549E"/>
    <w:rsid w:val="00BA582A"/>
    <w:rsid w:val="00BA58A2"/>
    <w:rsid w:val="00BA58B9"/>
    <w:rsid w:val="00BA58FF"/>
    <w:rsid w:val="00BA59A5"/>
    <w:rsid w:val="00BA5A11"/>
    <w:rsid w:val="00BA5A17"/>
    <w:rsid w:val="00BA5D63"/>
    <w:rsid w:val="00BA600E"/>
    <w:rsid w:val="00BA63A2"/>
    <w:rsid w:val="00BA652A"/>
    <w:rsid w:val="00BA655B"/>
    <w:rsid w:val="00BA6617"/>
    <w:rsid w:val="00BA6648"/>
    <w:rsid w:val="00BA66BC"/>
    <w:rsid w:val="00BA68ED"/>
    <w:rsid w:val="00BA6B94"/>
    <w:rsid w:val="00BA7314"/>
    <w:rsid w:val="00BA7366"/>
    <w:rsid w:val="00BA738F"/>
    <w:rsid w:val="00BA7483"/>
    <w:rsid w:val="00BA770A"/>
    <w:rsid w:val="00BA7970"/>
    <w:rsid w:val="00BA7A5E"/>
    <w:rsid w:val="00BA7B41"/>
    <w:rsid w:val="00BB00B7"/>
    <w:rsid w:val="00BB0250"/>
    <w:rsid w:val="00BB0264"/>
    <w:rsid w:val="00BB0291"/>
    <w:rsid w:val="00BB031F"/>
    <w:rsid w:val="00BB0644"/>
    <w:rsid w:val="00BB09E2"/>
    <w:rsid w:val="00BB0BA7"/>
    <w:rsid w:val="00BB0D63"/>
    <w:rsid w:val="00BB0E09"/>
    <w:rsid w:val="00BB0F61"/>
    <w:rsid w:val="00BB1542"/>
    <w:rsid w:val="00BB15EA"/>
    <w:rsid w:val="00BB1757"/>
    <w:rsid w:val="00BB189D"/>
    <w:rsid w:val="00BB1A58"/>
    <w:rsid w:val="00BB1EF7"/>
    <w:rsid w:val="00BB21B0"/>
    <w:rsid w:val="00BB22A9"/>
    <w:rsid w:val="00BB22C8"/>
    <w:rsid w:val="00BB2569"/>
    <w:rsid w:val="00BB25B6"/>
    <w:rsid w:val="00BB29BF"/>
    <w:rsid w:val="00BB31B5"/>
    <w:rsid w:val="00BB331E"/>
    <w:rsid w:val="00BB3337"/>
    <w:rsid w:val="00BB3483"/>
    <w:rsid w:val="00BB381E"/>
    <w:rsid w:val="00BB3B82"/>
    <w:rsid w:val="00BB3FEF"/>
    <w:rsid w:val="00BB4409"/>
    <w:rsid w:val="00BB44CC"/>
    <w:rsid w:val="00BB465C"/>
    <w:rsid w:val="00BB4D56"/>
    <w:rsid w:val="00BB4D65"/>
    <w:rsid w:val="00BB504F"/>
    <w:rsid w:val="00BB5159"/>
    <w:rsid w:val="00BB536F"/>
    <w:rsid w:val="00BB53F9"/>
    <w:rsid w:val="00BB55D3"/>
    <w:rsid w:val="00BB55E6"/>
    <w:rsid w:val="00BB57BE"/>
    <w:rsid w:val="00BB5A94"/>
    <w:rsid w:val="00BB5DB2"/>
    <w:rsid w:val="00BB5DFD"/>
    <w:rsid w:val="00BB5EEA"/>
    <w:rsid w:val="00BB60E1"/>
    <w:rsid w:val="00BB6367"/>
    <w:rsid w:val="00BB64A7"/>
    <w:rsid w:val="00BB6A35"/>
    <w:rsid w:val="00BB6AAA"/>
    <w:rsid w:val="00BB6BD4"/>
    <w:rsid w:val="00BB6C8F"/>
    <w:rsid w:val="00BB6CB5"/>
    <w:rsid w:val="00BB7009"/>
    <w:rsid w:val="00BB7431"/>
    <w:rsid w:val="00BB745A"/>
    <w:rsid w:val="00BB7587"/>
    <w:rsid w:val="00BB7D0E"/>
    <w:rsid w:val="00BB7EFB"/>
    <w:rsid w:val="00BC0207"/>
    <w:rsid w:val="00BC0C45"/>
    <w:rsid w:val="00BC114D"/>
    <w:rsid w:val="00BC1246"/>
    <w:rsid w:val="00BC1256"/>
    <w:rsid w:val="00BC1293"/>
    <w:rsid w:val="00BC1498"/>
    <w:rsid w:val="00BC1791"/>
    <w:rsid w:val="00BC1897"/>
    <w:rsid w:val="00BC2781"/>
    <w:rsid w:val="00BC2ABE"/>
    <w:rsid w:val="00BC2EE7"/>
    <w:rsid w:val="00BC333D"/>
    <w:rsid w:val="00BC3690"/>
    <w:rsid w:val="00BC37C9"/>
    <w:rsid w:val="00BC39C7"/>
    <w:rsid w:val="00BC3B9D"/>
    <w:rsid w:val="00BC3DAA"/>
    <w:rsid w:val="00BC4387"/>
    <w:rsid w:val="00BC47AA"/>
    <w:rsid w:val="00BC4F1D"/>
    <w:rsid w:val="00BC507C"/>
    <w:rsid w:val="00BC516B"/>
    <w:rsid w:val="00BC5297"/>
    <w:rsid w:val="00BC551B"/>
    <w:rsid w:val="00BC557E"/>
    <w:rsid w:val="00BC55FB"/>
    <w:rsid w:val="00BC597E"/>
    <w:rsid w:val="00BC5CC9"/>
    <w:rsid w:val="00BC6283"/>
    <w:rsid w:val="00BC6559"/>
    <w:rsid w:val="00BC66D2"/>
    <w:rsid w:val="00BC7099"/>
    <w:rsid w:val="00BC751B"/>
    <w:rsid w:val="00BC756C"/>
    <w:rsid w:val="00BC7582"/>
    <w:rsid w:val="00BC7683"/>
    <w:rsid w:val="00BC79A3"/>
    <w:rsid w:val="00BC7E69"/>
    <w:rsid w:val="00BD0302"/>
    <w:rsid w:val="00BD0403"/>
    <w:rsid w:val="00BD090E"/>
    <w:rsid w:val="00BD09BE"/>
    <w:rsid w:val="00BD0A75"/>
    <w:rsid w:val="00BD0AB5"/>
    <w:rsid w:val="00BD0B71"/>
    <w:rsid w:val="00BD0CE2"/>
    <w:rsid w:val="00BD115B"/>
    <w:rsid w:val="00BD1441"/>
    <w:rsid w:val="00BD14AF"/>
    <w:rsid w:val="00BD14DB"/>
    <w:rsid w:val="00BD1501"/>
    <w:rsid w:val="00BD1559"/>
    <w:rsid w:val="00BD159E"/>
    <w:rsid w:val="00BD1947"/>
    <w:rsid w:val="00BD1AE7"/>
    <w:rsid w:val="00BD1E00"/>
    <w:rsid w:val="00BD21FD"/>
    <w:rsid w:val="00BD22F7"/>
    <w:rsid w:val="00BD29A6"/>
    <w:rsid w:val="00BD29DD"/>
    <w:rsid w:val="00BD2B98"/>
    <w:rsid w:val="00BD31E0"/>
    <w:rsid w:val="00BD3216"/>
    <w:rsid w:val="00BD33D4"/>
    <w:rsid w:val="00BD3824"/>
    <w:rsid w:val="00BD3999"/>
    <w:rsid w:val="00BD3A4C"/>
    <w:rsid w:val="00BD3BCF"/>
    <w:rsid w:val="00BD3BE3"/>
    <w:rsid w:val="00BD3CCF"/>
    <w:rsid w:val="00BD40D5"/>
    <w:rsid w:val="00BD41A9"/>
    <w:rsid w:val="00BD43AE"/>
    <w:rsid w:val="00BD4C7F"/>
    <w:rsid w:val="00BD4DF1"/>
    <w:rsid w:val="00BD50F7"/>
    <w:rsid w:val="00BD53C9"/>
    <w:rsid w:val="00BD553E"/>
    <w:rsid w:val="00BD5559"/>
    <w:rsid w:val="00BD567B"/>
    <w:rsid w:val="00BD5710"/>
    <w:rsid w:val="00BD5750"/>
    <w:rsid w:val="00BD5D0B"/>
    <w:rsid w:val="00BD5EB1"/>
    <w:rsid w:val="00BD5F25"/>
    <w:rsid w:val="00BD5F4E"/>
    <w:rsid w:val="00BD6554"/>
    <w:rsid w:val="00BD6758"/>
    <w:rsid w:val="00BD69ED"/>
    <w:rsid w:val="00BD6A0C"/>
    <w:rsid w:val="00BD746F"/>
    <w:rsid w:val="00BD7550"/>
    <w:rsid w:val="00BD78B2"/>
    <w:rsid w:val="00BD7913"/>
    <w:rsid w:val="00BD7B2B"/>
    <w:rsid w:val="00BE006F"/>
    <w:rsid w:val="00BE012F"/>
    <w:rsid w:val="00BE0266"/>
    <w:rsid w:val="00BE06C7"/>
    <w:rsid w:val="00BE0A6E"/>
    <w:rsid w:val="00BE0B15"/>
    <w:rsid w:val="00BE0B8F"/>
    <w:rsid w:val="00BE0C83"/>
    <w:rsid w:val="00BE0D09"/>
    <w:rsid w:val="00BE15BD"/>
    <w:rsid w:val="00BE1687"/>
    <w:rsid w:val="00BE18C5"/>
    <w:rsid w:val="00BE1A38"/>
    <w:rsid w:val="00BE1AB9"/>
    <w:rsid w:val="00BE1B36"/>
    <w:rsid w:val="00BE2056"/>
    <w:rsid w:val="00BE21F6"/>
    <w:rsid w:val="00BE27F7"/>
    <w:rsid w:val="00BE2A94"/>
    <w:rsid w:val="00BE2AE6"/>
    <w:rsid w:val="00BE2F5E"/>
    <w:rsid w:val="00BE2FE4"/>
    <w:rsid w:val="00BE3001"/>
    <w:rsid w:val="00BE3B28"/>
    <w:rsid w:val="00BE3CF2"/>
    <w:rsid w:val="00BE441A"/>
    <w:rsid w:val="00BE4469"/>
    <w:rsid w:val="00BE447C"/>
    <w:rsid w:val="00BE5069"/>
    <w:rsid w:val="00BE541E"/>
    <w:rsid w:val="00BE54E7"/>
    <w:rsid w:val="00BE5940"/>
    <w:rsid w:val="00BE5AEA"/>
    <w:rsid w:val="00BE5CFC"/>
    <w:rsid w:val="00BE5D25"/>
    <w:rsid w:val="00BE61FB"/>
    <w:rsid w:val="00BE6254"/>
    <w:rsid w:val="00BE6278"/>
    <w:rsid w:val="00BE63A4"/>
    <w:rsid w:val="00BE63CA"/>
    <w:rsid w:val="00BE6A1A"/>
    <w:rsid w:val="00BE6CDB"/>
    <w:rsid w:val="00BE6EEC"/>
    <w:rsid w:val="00BE7309"/>
    <w:rsid w:val="00BE76C1"/>
    <w:rsid w:val="00BE78FB"/>
    <w:rsid w:val="00BE7C85"/>
    <w:rsid w:val="00BE7D73"/>
    <w:rsid w:val="00BE7FFE"/>
    <w:rsid w:val="00BF05D9"/>
    <w:rsid w:val="00BF06B1"/>
    <w:rsid w:val="00BF06C5"/>
    <w:rsid w:val="00BF07D1"/>
    <w:rsid w:val="00BF0D13"/>
    <w:rsid w:val="00BF0EB5"/>
    <w:rsid w:val="00BF0F5C"/>
    <w:rsid w:val="00BF10CC"/>
    <w:rsid w:val="00BF1393"/>
    <w:rsid w:val="00BF13FF"/>
    <w:rsid w:val="00BF1861"/>
    <w:rsid w:val="00BF18C7"/>
    <w:rsid w:val="00BF19E2"/>
    <w:rsid w:val="00BF1F89"/>
    <w:rsid w:val="00BF2673"/>
    <w:rsid w:val="00BF2786"/>
    <w:rsid w:val="00BF32DE"/>
    <w:rsid w:val="00BF3422"/>
    <w:rsid w:val="00BF3580"/>
    <w:rsid w:val="00BF3644"/>
    <w:rsid w:val="00BF3974"/>
    <w:rsid w:val="00BF3978"/>
    <w:rsid w:val="00BF3BB0"/>
    <w:rsid w:val="00BF3E1D"/>
    <w:rsid w:val="00BF3E9F"/>
    <w:rsid w:val="00BF421B"/>
    <w:rsid w:val="00BF42B3"/>
    <w:rsid w:val="00BF45B0"/>
    <w:rsid w:val="00BF46DD"/>
    <w:rsid w:val="00BF4CCC"/>
    <w:rsid w:val="00BF4D47"/>
    <w:rsid w:val="00BF4DDB"/>
    <w:rsid w:val="00BF4E67"/>
    <w:rsid w:val="00BF4EE5"/>
    <w:rsid w:val="00BF5123"/>
    <w:rsid w:val="00BF5335"/>
    <w:rsid w:val="00BF56BC"/>
    <w:rsid w:val="00BF573D"/>
    <w:rsid w:val="00BF57C8"/>
    <w:rsid w:val="00BF57DF"/>
    <w:rsid w:val="00BF5802"/>
    <w:rsid w:val="00BF5CCB"/>
    <w:rsid w:val="00BF5F7E"/>
    <w:rsid w:val="00BF64E3"/>
    <w:rsid w:val="00BF6739"/>
    <w:rsid w:val="00BF6CB3"/>
    <w:rsid w:val="00BF7115"/>
    <w:rsid w:val="00BF79E0"/>
    <w:rsid w:val="00BF7BF3"/>
    <w:rsid w:val="00BF7C1A"/>
    <w:rsid w:val="00BF7C4C"/>
    <w:rsid w:val="00C002CD"/>
    <w:rsid w:val="00C00369"/>
    <w:rsid w:val="00C0083D"/>
    <w:rsid w:val="00C00E29"/>
    <w:rsid w:val="00C00E62"/>
    <w:rsid w:val="00C01399"/>
    <w:rsid w:val="00C019C3"/>
    <w:rsid w:val="00C01A43"/>
    <w:rsid w:val="00C01DF1"/>
    <w:rsid w:val="00C01E51"/>
    <w:rsid w:val="00C0216B"/>
    <w:rsid w:val="00C02541"/>
    <w:rsid w:val="00C026D6"/>
    <w:rsid w:val="00C02756"/>
    <w:rsid w:val="00C02B88"/>
    <w:rsid w:val="00C030AC"/>
    <w:rsid w:val="00C03113"/>
    <w:rsid w:val="00C031CE"/>
    <w:rsid w:val="00C034D2"/>
    <w:rsid w:val="00C0388C"/>
    <w:rsid w:val="00C03BA2"/>
    <w:rsid w:val="00C03E1C"/>
    <w:rsid w:val="00C03EC0"/>
    <w:rsid w:val="00C0402B"/>
    <w:rsid w:val="00C04246"/>
    <w:rsid w:val="00C045EE"/>
    <w:rsid w:val="00C047B4"/>
    <w:rsid w:val="00C058BE"/>
    <w:rsid w:val="00C05915"/>
    <w:rsid w:val="00C05C74"/>
    <w:rsid w:val="00C05E26"/>
    <w:rsid w:val="00C05E47"/>
    <w:rsid w:val="00C05E82"/>
    <w:rsid w:val="00C05F37"/>
    <w:rsid w:val="00C06384"/>
    <w:rsid w:val="00C06428"/>
    <w:rsid w:val="00C06EA7"/>
    <w:rsid w:val="00C070CE"/>
    <w:rsid w:val="00C072C8"/>
    <w:rsid w:val="00C0758B"/>
    <w:rsid w:val="00C076B5"/>
    <w:rsid w:val="00C079A9"/>
    <w:rsid w:val="00C079BA"/>
    <w:rsid w:val="00C07C3E"/>
    <w:rsid w:val="00C100E9"/>
    <w:rsid w:val="00C10241"/>
    <w:rsid w:val="00C102E4"/>
    <w:rsid w:val="00C1031E"/>
    <w:rsid w:val="00C1038C"/>
    <w:rsid w:val="00C1064D"/>
    <w:rsid w:val="00C108BA"/>
    <w:rsid w:val="00C10DA6"/>
    <w:rsid w:val="00C10EBE"/>
    <w:rsid w:val="00C111BC"/>
    <w:rsid w:val="00C112C5"/>
    <w:rsid w:val="00C11370"/>
    <w:rsid w:val="00C11524"/>
    <w:rsid w:val="00C115C2"/>
    <w:rsid w:val="00C11964"/>
    <w:rsid w:val="00C11E87"/>
    <w:rsid w:val="00C120F5"/>
    <w:rsid w:val="00C122D3"/>
    <w:rsid w:val="00C126F2"/>
    <w:rsid w:val="00C12922"/>
    <w:rsid w:val="00C129C5"/>
    <w:rsid w:val="00C131E0"/>
    <w:rsid w:val="00C13607"/>
    <w:rsid w:val="00C13833"/>
    <w:rsid w:val="00C138DE"/>
    <w:rsid w:val="00C13A43"/>
    <w:rsid w:val="00C13AF5"/>
    <w:rsid w:val="00C13B46"/>
    <w:rsid w:val="00C13C08"/>
    <w:rsid w:val="00C13C83"/>
    <w:rsid w:val="00C14442"/>
    <w:rsid w:val="00C14479"/>
    <w:rsid w:val="00C14613"/>
    <w:rsid w:val="00C14C1A"/>
    <w:rsid w:val="00C150AC"/>
    <w:rsid w:val="00C1526A"/>
    <w:rsid w:val="00C1540B"/>
    <w:rsid w:val="00C155E0"/>
    <w:rsid w:val="00C1594E"/>
    <w:rsid w:val="00C15E13"/>
    <w:rsid w:val="00C15E3B"/>
    <w:rsid w:val="00C16A49"/>
    <w:rsid w:val="00C16BC8"/>
    <w:rsid w:val="00C16CD7"/>
    <w:rsid w:val="00C16DAD"/>
    <w:rsid w:val="00C16E68"/>
    <w:rsid w:val="00C17147"/>
    <w:rsid w:val="00C174AA"/>
    <w:rsid w:val="00C17566"/>
    <w:rsid w:val="00C1781A"/>
    <w:rsid w:val="00C17950"/>
    <w:rsid w:val="00C17AFD"/>
    <w:rsid w:val="00C17DEE"/>
    <w:rsid w:val="00C203D3"/>
    <w:rsid w:val="00C20629"/>
    <w:rsid w:val="00C20766"/>
    <w:rsid w:val="00C20C50"/>
    <w:rsid w:val="00C20C75"/>
    <w:rsid w:val="00C20D8E"/>
    <w:rsid w:val="00C20EFA"/>
    <w:rsid w:val="00C20F7E"/>
    <w:rsid w:val="00C212F6"/>
    <w:rsid w:val="00C21342"/>
    <w:rsid w:val="00C217DD"/>
    <w:rsid w:val="00C21C54"/>
    <w:rsid w:val="00C22970"/>
    <w:rsid w:val="00C22986"/>
    <w:rsid w:val="00C22E67"/>
    <w:rsid w:val="00C22F34"/>
    <w:rsid w:val="00C23065"/>
    <w:rsid w:val="00C237D8"/>
    <w:rsid w:val="00C238E2"/>
    <w:rsid w:val="00C23BCE"/>
    <w:rsid w:val="00C23E6A"/>
    <w:rsid w:val="00C23E7E"/>
    <w:rsid w:val="00C24155"/>
    <w:rsid w:val="00C24184"/>
    <w:rsid w:val="00C243F4"/>
    <w:rsid w:val="00C24501"/>
    <w:rsid w:val="00C246EF"/>
    <w:rsid w:val="00C248A4"/>
    <w:rsid w:val="00C248D6"/>
    <w:rsid w:val="00C2497E"/>
    <w:rsid w:val="00C24A66"/>
    <w:rsid w:val="00C25330"/>
    <w:rsid w:val="00C257F4"/>
    <w:rsid w:val="00C259C0"/>
    <w:rsid w:val="00C25D01"/>
    <w:rsid w:val="00C25D4B"/>
    <w:rsid w:val="00C25D87"/>
    <w:rsid w:val="00C262E8"/>
    <w:rsid w:val="00C2636A"/>
    <w:rsid w:val="00C2639D"/>
    <w:rsid w:val="00C26A08"/>
    <w:rsid w:val="00C26FFB"/>
    <w:rsid w:val="00C27225"/>
    <w:rsid w:val="00C272AD"/>
    <w:rsid w:val="00C27D36"/>
    <w:rsid w:val="00C27D9D"/>
    <w:rsid w:val="00C30062"/>
    <w:rsid w:val="00C30663"/>
    <w:rsid w:val="00C307F1"/>
    <w:rsid w:val="00C30863"/>
    <w:rsid w:val="00C310BE"/>
    <w:rsid w:val="00C31158"/>
    <w:rsid w:val="00C311E6"/>
    <w:rsid w:val="00C3136C"/>
    <w:rsid w:val="00C31557"/>
    <w:rsid w:val="00C316C9"/>
    <w:rsid w:val="00C3197F"/>
    <w:rsid w:val="00C31E81"/>
    <w:rsid w:val="00C328DB"/>
    <w:rsid w:val="00C32CD4"/>
    <w:rsid w:val="00C32E4E"/>
    <w:rsid w:val="00C32E9D"/>
    <w:rsid w:val="00C333FE"/>
    <w:rsid w:val="00C3352B"/>
    <w:rsid w:val="00C33A73"/>
    <w:rsid w:val="00C33CD8"/>
    <w:rsid w:val="00C33FC3"/>
    <w:rsid w:val="00C34364"/>
    <w:rsid w:val="00C3436B"/>
    <w:rsid w:val="00C3463F"/>
    <w:rsid w:val="00C3473E"/>
    <w:rsid w:val="00C34A86"/>
    <w:rsid w:val="00C34AEC"/>
    <w:rsid w:val="00C34D93"/>
    <w:rsid w:val="00C34DCB"/>
    <w:rsid w:val="00C34E6D"/>
    <w:rsid w:val="00C34EBF"/>
    <w:rsid w:val="00C351AC"/>
    <w:rsid w:val="00C352B2"/>
    <w:rsid w:val="00C35353"/>
    <w:rsid w:val="00C35386"/>
    <w:rsid w:val="00C355B5"/>
    <w:rsid w:val="00C359CA"/>
    <w:rsid w:val="00C35A9A"/>
    <w:rsid w:val="00C35AF5"/>
    <w:rsid w:val="00C35EA5"/>
    <w:rsid w:val="00C3622A"/>
    <w:rsid w:val="00C36347"/>
    <w:rsid w:val="00C36DB5"/>
    <w:rsid w:val="00C373BE"/>
    <w:rsid w:val="00C3743D"/>
    <w:rsid w:val="00C37B76"/>
    <w:rsid w:val="00C37E87"/>
    <w:rsid w:val="00C37EF8"/>
    <w:rsid w:val="00C4089D"/>
    <w:rsid w:val="00C409C4"/>
    <w:rsid w:val="00C40B02"/>
    <w:rsid w:val="00C40CA3"/>
    <w:rsid w:val="00C40F6B"/>
    <w:rsid w:val="00C418A6"/>
    <w:rsid w:val="00C41ABE"/>
    <w:rsid w:val="00C41C2B"/>
    <w:rsid w:val="00C423AE"/>
    <w:rsid w:val="00C424D4"/>
    <w:rsid w:val="00C42897"/>
    <w:rsid w:val="00C429F5"/>
    <w:rsid w:val="00C42A36"/>
    <w:rsid w:val="00C42E78"/>
    <w:rsid w:val="00C432EE"/>
    <w:rsid w:val="00C432FD"/>
    <w:rsid w:val="00C436C8"/>
    <w:rsid w:val="00C43DB6"/>
    <w:rsid w:val="00C4425F"/>
    <w:rsid w:val="00C442A8"/>
    <w:rsid w:val="00C4437E"/>
    <w:rsid w:val="00C443B9"/>
    <w:rsid w:val="00C4455F"/>
    <w:rsid w:val="00C44678"/>
    <w:rsid w:val="00C447DD"/>
    <w:rsid w:val="00C454D4"/>
    <w:rsid w:val="00C45501"/>
    <w:rsid w:val="00C45764"/>
    <w:rsid w:val="00C4579D"/>
    <w:rsid w:val="00C457ED"/>
    <w:rsid w:val="00C45946"/>
    <w:rsid w:val="00C45EEE"/>
    <w:rsid w:val="00C468C5"/>
    <w:rsid w:val="00C46C16"/>
    <w:rsid w:val="00C46C24"/>
    <w:rsid w:val="00C47339"/>
    <w:rsid w:val="00C478BA"/>
    <w:rsid w:val="00C479AA"/>
    <w:rsid w:val="00C47FF6"/>
    <w:rsid w:val="00C500A5"/>
    <w:rsid w:val="00C50463"/>
    <w:rsid w:val="00C504FD"/>
    <w:rsid w:val="00C508C4"/>
    <w:rsid w:val="00C50957"/>
    <w:rsid w:val="00C50A2C"/>
    <w:rsid w:val="00C50BAB"/>
    <w:rsid w:val="00C50C32"/>
    <w:rsid w:val="00C50CA7"/>
    <w:rsid w:val="00C50CB6"/>
    <w:rsid w:val="00C50FB2"/>
    <w:rsid w:val="00C50FE3"/>
    <w:rsid w:val="00C5114C"/>
    <w:rsid w:val="00C5147B"/>
    <w:rsid w:val="00C51915"/>
    <w:rsid w:val="00C51A15"/>
    <w:rsid w:val="00C51AC2"/>
    <w:rsid w:val="00C51B8D"/>
    <w:rsid w:val="00C5268D"/>
    <w:rsid w:val="00C529C7"/>
    <w:rsid w:val="00C52FAC"/>
    <w:rsid w:val="00C53152"/>
    <w:rsid w:val="00C533B6"/>
    <w:rsid w:val="00C534B2"/>
    <w:rsid w:val="00C53A35"/>
    <w:rsid w:val="00C54105"/>
    <w:rsid w:val="00C543A1"/>
    <w:rsid w:val="00C54768"/>
    <w:rsid w:val="00C54F6B"/>
    <w:rsid w:val="00C55AF8"/>
    <w:rsid w:val="00C56105"/>
    <w:rsid w:val="00C56987"/>
    <w:rsid w:val="00C56A6F"/>
    <w:rsid w:val="00C56CE4"/>
    <w:rsid w:val="00C572E0"/>
    <w:rsid w:val="00C57318"/>
    <w:rsid w:val="00C5764F"/>
    <w:rsid w:val="00C57913"/>
    <w:rsid w:val="00C57E45"/>
    <w:rsid w:val="00C600E0"/>
    <w:rsid w:val="00C6031F"/>
    <w:rsid w:val="00C60C73"/>
    <w:rsid w:val="00C60CCE"/>
    <w:rsid w:val="00C60DB5"/>
    <w:rsid w:val="00C60DF2"/>
    <w:rsid w:val="00C60E77"/>
    <w:rsid w:val="00C618EF"/>
    <w:rsid w:val="00C61A02"/>
    <w:rsid w:val="00C61D53"/>
    <w:rsid w:val="00C6229B"/>
    <w:rsid w:val="00C626E8"/>
    <w:rsid w:val="00C6289A"/>
    <w:rsid w:val="00C62D41"/>
    <w:rsid w:val="00C62D67"/>
    <w:rsid w:val="00C631A7"/>
    <w:rsid w:val="00C6330F"/>
    <w:rsid w:val="00C635C6"/>
    <w:rsid w:val="00C63636"/>
    <w:rsid w:val="00C6401E"/>
    <w:rsid w:val="00C640BC"/>
    <w:rsid w:val="00C640E2"/>
    <w:rsid w:val="00C64325"/>
    <w:rsid w:val="00C643AE"/>
    <w:rsid w:val="00C64469"/>
    <w:rsid w:val="00C644B7"/>
    <w:rsid w:val="00C644D5"/>
    <w:rsid w:val="00C64AD8"/>
    <w:rsid w:val="00C64BE5"/>
    <w:rsid w:val="00C64F4E"/>
    <w:rsid w:val="00C6549D"/>
    <w:rsid w:val="00C654C4"/>
    <w:rsid w:val="00C6586E"/>
    <w:rsid w:val="00C658EB"/>
    <w:rsid w:val="00C662D9"/>
    <w:rsid w:val="00C665C5"/>
    <w:rsid w:val="00C665D2"/>
    <w:rsid w:val="00C666E9"/>
    <w:rsid w:val="00C66872"/>
    <w:rsid w:val="00C67235"/>
    <w:rsid w:val="00C67530"/>
    <w:rsid w:val="00C67749"/>
    <w:rsid w:val="00C701BD"/>
    <w:rsid w:val="00C70861"/>
    <w:rsid w:val="00C70949"/>
    <w:rsid w:val="00C70FD3"/>
    <w:rsid w:val="00C711DA"/>
    <w:rsid w:val="00C7149D"/>
    <w:rsid w:val="00C715AC"/>
    <w:rsid w:val="00C71642"/>
    <w:rsid w:val="00C7168D"/>
    <w:rsid w:val="00C717BA"/>
    <w:rsid w:val="00C71838"/>
    <w:rsid w:val="00C71CCF"/>
    <w:rsid w:val="00C71DE6"/>
    <w:rsid w:val="00C71F83"/>
    <w:rsid w:val="00C72437"/>
    <w:rsid w:val="00C724F5"/>
    <w:rsid w:val="00C72A42"/>
    <w:rsid w:val="00C72AA0"/>
    <w:rsid w:val="00C72AD9"/>
    <w:rsid w:val="00C72D8B"/>
    <w:rsid w:val="00C73263"/>
    <w:rsid w:val="00C7380A"/>
    <w:rsid w:val="00C73AA0"/>
    <w:rsid w:val="00C73B8C"/>
    <w:rsid w:val="00C73C1A"/>
    <w:rsid w:val="00C73FCE"/>
    <w:rsid w:val="00C740CB"/>
    <w:rsid w:val="00C7425F"/>
    <w:rsid w:val="00C74551"/>
    <w:rsid w:val="00C74555"/>
    <w:rsid w:val="00C745B9"/>
    <w:rsid w:val="00C74835"/>
    <w:rsid w:val="00C74BBA"/>
    <w:rsid w:val="00C74C40"/>
    <w:rsid w:val="00C74CD3"/>
    <w:rsid w:val="00C75347"/>
    <w:rsid w:val="00C75443"/>
    <w:rsid w:val="00C754B0"/>
    <w:rsid w:val="00C7563D"/>
    <w:rsid w:val="00C757F2"/>
    <w:rsid w:val="00C76077"/>
    <w:rsid w:val="00C76105"/>
    <w:rsid w:val="00C761C1"/>
    <w:rsid w:val="00C761C3"/>
    <w:rsid w:val="00C76218"/>
    <w:rsid w:val="00C76456"/>
    <w:rsid w:val="00C764B2"/>
    <w:rsid w:val="00C76B12"/>
    <w:rsid w:val="00C76F99"/>
    <w:rsid w:val="00C77D6E"/>
    <w:rsid w:val="00C8072E"/>
    <w:rsid w:val="00C808E6"/>
    <w:rsid w:val="00C80A80"/>
    <w:rsid w:val="00C80C56"/>
    <w:rsid w:val="00C81046"/>
    <w:rsid w:val="00C813AF"/>
    <w:rsid w:val="00C81497"/>
    <w:rsid w:val="00C8153F"/>
    <w:rsid w:val="00C81725"/>
    <w:rsid w:val="00C817B4"/>
    <w:rsid w:val="00C81A71"/>
    <w:rsid w:val="00C81A7D"/>
    <w:rsid w:val="00C81F38"/>
    <w:rsid w:val="00C82037"/>
    <w:rsid w:val="00C82222"/>
    <w:rsid w:val="00C824BC"/>
    <w:rsid w:val="00C82968"/>
    <w:rsid w:val="00C82A91"/>
    <w:rsid w:val="00C82CEE"/>
    <w:rsid w:val="00C82FBF"/>
    <w:rsid w:val="00C8335C"/>
    <w:rsid w:val="00C834F3"/>
    <w:rsid w:val="00C84AB0"/>
    <w:rsid w:val="00C84B1D"/>
    <w:rsid w:val="00C85617"/>
    <w:rsid w:val="00C859F6"/>
    <w:rsid w:val="00C85B08"/>
    <w:rsid w:val="00C85C38"/>
    <w:rsid w:val="00C85E5D"/>
    <w:rsid w:val="00C862CB"/>
    <w:rsid w:val="00C86B29"/>
    <w:rsid w:val="00C86FA1"/>
    <w:rsid w:val="00C87512"/>
    <w:rsid w:val="00C87748"/>
    <w:rsid w:val="00C87A06"/>
    <w:rsid w:val="00C87A18"/>
    <w:rsid w:val="00C87B25"/>
    <w:rsid w:val="00C87CF4"/>
    <w:rsid w:val="00C903BD"/>
    <w:rsid w:val="00C904E9"/>
    <w:rsid w:val="00C904F9"/>
    <w:rsid w:val="00C90559"/>
    <w:rsid w:val="00C908ED"/>
    <w:rsid w:val="00C909CC"/>
    <w:rsid w:val="00C90CE6"/>
    <w:rsid w:val="00C90D24"/>
    <w:rsid w:val="00C91B48"/>
    <w:rsid w:val="00C91BEE"/>
    <w:rsid w:val="00C91C1A"/>
    <w:rsid w:val="00C91C2F"/>
    <w:rsid w:val="00C91F5A"/>
    <w:rsid w:val="00C92036"/>
    <w:rsid w:val="00C92229"/>
    <w:rsid w:val="00C92EFD"/>
    <w:rsid w:val="00C93109"/>
    <w:rsid w:val="00C93172"/>
    <w:rsid w:val="00C93431"/>
    <w:rsid w:val="00C934CC"/>
    <w:rsid w:val="00C937F1"/>
    <w:rsid w:val="00C93B20"/>
    <w:rsid w:val="00C93BE0"/>
    <w:rsid w:val="00C93C11"/>
    <w:rsid w:val="00C93C1B"/>
    <w:rsid w:val="00C93C50"/>
    <w:rsid w:val="00C93F6B"/>
    <w:rsid w:val="00C94459"/>
    <w:rsid w:val="00C944DD"/>
    <w:rsid w:val="00C94521"/>
    <w:rsid w:val="00C9461C"/>
    <w:rsid w:val="00C948D4"/>
    <w:rsid w:val="00C949F5"/>
    <w:rsid w:val="00C94C0A"/>
    <w:rsid w:val="00C94C9F"/>
    <w:rsid w:val="00C94DAC"/>
    <w:rsid w:val="00C9543C"/>
    <w:rsid w:val="00C95474"/>
    <w:rsid w:val="00C956B4"/>
    <w:rsid w:val="00C957ED"/>
    <w:rsid w:val="00C96247"/>
    <w:rsid w:val="00C963B0"/>
    <w:rsid w:val="00C9676A"/>
    <w:rsid w:val="00C96880"/>
    <w:rsid w:val="00C96AB9"/>
    <w:rsid w:val="00C96AFE"/>
    <w:rsid w:val="00C96B25"/>
    <w:rsid w:val="00C96D12"/>
    <w:rsid w:val="00C96FFC"/>
    <w:rsid w:val="00C97269"/>
    <w:rsid w:val="00C97912"/>
    <w:rsid w:val="00C97C91"/>
    <w:rsid w:val="00C97F9B"/>
    <w:rsid w:val="00CA0055"/>
    <w:rsid w:val="00CA0133"/>
    <w:rsid w:val="00CA0228"/>
    <w:rsid w:val="00CA0289"/>
    <w:rsid w:val="00CA094D"/>
    <w:rsid w:val="00CA098C"/>
    <w:rsid w:val="00CA0ADD"/>
    <w:rsid w:val="00CA0B91"/>
    <w:rsid w:val="00CA0E43"/>
    <w:rsid w:val="00CA11F9"/>
    <w:rsid w:val="00CA1336"/>
    <w:rsid w:val="00CA1B29"/>
    <w:rsid w:val="00CA1E96"/>
    <w:rsid w:val="00CA201E"/>
    <w:rsid w:val="00CA2124"/>
    <w:rsid w:val="00CA2AAE"/>
    <w:rsid w:val="00CA2FA6"/>
    <w:rsid w:val="00CA2FF6"/>
    <w:rsid w:val="00CA30E0"/>
    <w:rsid w:val="00CA365B"/>
    <w:rsid w:val="00CA3E1B"/>
    <w:rsid w:val="00CA3EDA"/>
    <w:rsid w:val="00CA3F9E"/>
    <w:rsid w:val="00CA3FDE"/>
    <w:rsid w:val="00CA4065"/>
    <w:rsid w:val="00CA4332"/>
    <w:rsid w:val="00CA4563"/>
    <w:rsid w:val="00CA45B7"/>
    <w:rsid w:val="00CA468E"/>
    <w:rsid w:val="00CA47C5"/>
    <w:rsid w:val="00CA4A1D"/>
    <w:rsid w:val="00CA4A8C"/>
    <w:rsid w:val="00CA4D96"/>
    <w:rsid w:val="00CA4F16"/>
    <w:rsid w:val="00CA5289"/>
    <w:rsid w:val="00CA556C"/>
    <w:rsid w:val="00CA5724"/>
    <w:rsid w:val="00CA5B79"/>
    <w:rsid w:val="00CA5D6C"/>
    <w:rsid w:val="00CA5F02"/>
    <w:rsid w:val="00CA6400"/>
    <w:rsid w:val="00CA724E"/>
    <w:rsid w:val="00CA72B0"/>
    <w:rsid w:val="00CA7379"/>
    <w:rsid w:val="00CA739D"/>
    <w:rsid w:val="00CA73FA"/>
    <w:rsid w:val="00CA7487"/>
    <w:rsid w:val="00CA756F"/>
    <w:rsid w:val="00CA7CA2"/>
    <w:rsid w:val="00CA7EA2"/>
    <w:rsid w:val="00CB0995"/>
    <w:rsid w:val="00CB099E"/>
    <w:rsid w:val="00CB09B2"/>
    <w:rsid w:val="00CB0AF4"/>
    <w:rsid w:val="00CB0B22"/>
    <w:rsid w:val="00CB0C3F"/>
    <w:rsid w:val="00CB0CDF"/>
    <w:rsid w:val="00CB11AB"/>
    <w:rsid w:val="00CB14BA"/>
    <w:rsid w:val="00CB168E"/>
    <w:rsid w:val="00CB17B8"/>
    <w:rsid w:val="00CB19FF"/>
    <w:rsid w:val="00CB1CAF"/>
    <w:rsid w:val="00CB1D49"/>
    <w:rsid w:val="00CB1D9C"/>
    <w:rsid w:val="00CB1E6D"/>
    <w:rsid w:val="00CB23AA"/>
    <w:rsid w:val="00CB26DA"/>
    <w:rsid w:val="00CB2B2D"/>
    <w:rsid w:val="00CB2C50"/>
    <w:rsid w:val="00CB2CF9"/>
    <w:rsid w:val="00CB2D39"/>
    <w:rsid w:val="00CB30B3"/>
    <w:rsid w:val="00CB33D0"/>
    <w:rsid w:val="00CB3687"/>
    <w:rsid w:val="00CB37D0"/>
    <w:rsid w:val="00CB3827"/>
    <w:rsid w:val="00CB3B27"/>
    <w:rsid w:val="00CB3EF3"/>
    <w:rsid w:val="00CB4126"/>
    <w:rsid w:val="00CB452C"/>
    <w:rsid w:val="00CB46AC"/>
    <w:rsid w:val="00CB48D1"/>
    <w:rsid w:val="00CB4911"/>
    <w:rsid w:val="00CB4A91"/>
    <w:rsid w:val="00CB4F1C"/>
    <w:rsid w:val="00CB526E"/>
    <w:rsid w:val="00CB5990"/>
    <w:rsid w:val="00CB5B6A"/>
    <w:rsid w:val="00CB5C77"/>
    <w:rsid w:val="00CB5F28"/>
    <w:rsid w:val="00CB65D3"/>
    <w:rsid w:val="00CB6A03"/>
    <w:rsid w:val="00CB7119"/>
    <w:rsid w:val="00CB74F3"/>
    <w:rsid w:val="00CB793E"/>
    <w:rsid w:val="00CB7ABC"/>
    <w:rsid w:val="00CB7C73"/>
    <w:rsid w:val="00CC012D"/>
    <w:rsid w:val="00CC01ED"/>
    <w:rsid w:val="00CC034A"/>
    <w:rsid w:val="00CC0455"/>
    <w:rsid w:val="00CC070E"/>
    <w:rsid w:val="00CC0AC5"/>
    <w:rsid w:val="00CC0AD7"/>
    <w:rsid w:val="00CC0B2D"/>
    <w:rsid w:val="00CC0B81"/>
    <w:rsid w:val="00CC14CA"/>
    <w:rsid w:val="00CC1714"/>
    <w:rsid w:val="00CC1CF4"/>
    <w:rsid w:val="00CC1DDE"/>
    <w:rsid w:val="00CC1FA6"/>
    <w:rsid w:val="00CC20FC"/>
    <w:rsid w:val="00CC219B"/>
    <w:rsid w:val="00CC24BF"/>
    <w:rsid w:val="00CC2B5A"/>
    <w:rsid w:val="00CC30C0"/>
    <w:rsid w:val="00CC3235"/>
    <w:rsid w:val="00CC32F1"/>
    <w:rsid w:val="00CC3617"/>
    <w:rsid w:val="00CC3693"/>
    <w:rsid w:val="00CC36F1"/>
    <w:rsid w:val="00CC3823"/>
    <w:rsid w:val="00CC3939"/>
    <w:rsid w:val="00CC3976"/>
    <w:rsid w:val="00CC3C25"/>
    <w:rsid w:val="00CC3C98"/>
    <w:rsid w:val="00CC3D00"/>
    <w:rsid w:val="00CC3D62"/>
    <w:rsid w:val="00CC3FA1"/>
    <w:rsid w:val="00CC40FB"/>
    <w:rsid w:val="00CC41A1"/>
    <w:rsid w:val="00CC42A6"/>
    <w:rsid w:val="00CC48CA"/>
    <w:rsid w:val="00CC499A"/>
    <w:rsid w:val="00CC51BD"/>
    <w:rsid w:val="00CC52B2"/>
    <w:rsid w:val="00CC54DD"/>
    <w:rsid w:val="00CC5862"/>
    <w:rsid w:val="00CC5C26"/>
    <w:rsid w:val="00CC5C8B"/>
    <w:rsid w:val="00CC5DD1"/>
    <w:rsid w:val="00CC6015"/>
    <w:rsid w:val="00CC60A0"/>
    <w:rsid w:val="00CC624D"/>
    <w:rsid w:val="00CC697A"/>
    <w:rsid w:val="00CC71DE"/>
    <w:rsid w:val="00CC7661"/>
    <w:rsid w:val="00CC76BA"/>
    <w:rsid w:val="00CC7BAB"/>
    <w:rsid w:val="00CC7DC8"/>
    <w:rsid w:val="00CC7DD6"/>
    <w:rsid w:val="00CC7E0A"/>
    <w:rsid w:val="00CC7FBC"/>
    <w:rsid w:val="00CD008F"/>
    <w:rsid w:val="00CD045C"/>
    <w:rsid w:val="00CD0860"/>
    <w:rsid w:val="00CD0A6D"/>
    <w:rsid w:val="00CD0B68"/>
    <w:rsid w:val="00CD10DA"/>
    <w:rsid w:val="00CD116D"/>
    <w:rsid w:val="00CD11A4"/>
    <w:rsid w:val="00CD14D1"/>
    <w:rsid w:val="00CD180F"/>
    <w:rsid w:val="00CD192E"/>
    <w:rsid w:val="00CD1973"/>
    <w:rsid w:val="00CD19F0"/>
    <w:rsid w:val="00CD1AA5"/>
    <w:rsid w:val="00CD1D16"/>
    <w:rsid w:val="00CD1D7A"/>
    <w:rsid w:val="00CD1F57"/>
    <w:rsid w:val="00CD1FDE"/>
    <w:rsid w:val="00CD24D1"/>
    <w:rsid w:val="00CD26C9"/>
    <w:rsid w:val="00CD26E5"/>
    <w:rsid w:val="00CD2845"/>
    <w:rsid w:val="00CD31E9"/>
    <w:rsid w:val="00CD3406"/>
    <w:rsid w:val="00CD3852"/>
    <w:rsid w:val="00CD3D99"/>
    <w:rsid w:val="00CD3ED7"/>
    <w:rsid w:val="00CD4558"/>
    <w:rsid w:val="00CD4A5D"/>
    <w:rsid w:val="00CD4E08"/>
    <w:rsid w:val="00CD51E5"/>
    <w:rsid w:val="00CD5692"/>
    <w:rsid w:val="00CD579B"/>
    <w:rsid w:val="00CD5927"/>
    <w:rsid w:val="00CD5966"/>
    <w:rsid w:val="00CD59A0"/>
    <w:rsid w:val="00CD5D06"/>
    <w:rsid w:val="00CD5DD9"/>
    <w:rsid w:val="00CD5EA6"/>
    <w:rsid w:val="00CD5F18"/>
    <w:rsid w:val="00CD63B0"/>
    <w:rsid w:val="00CD63DA"/>
    <w:rsid w:val="00CD6606"/>
    <w:rsid w:val="00CD66D4"/>
    <w:rsid w:val="00CD69FF"/>
    <w:rsid w:val="00CD6FBC"/>
    <w:rsid w:val="00CD700C"/>
    <w:rsid w:val="00CD7094"/>
    <w:rsid w:val="00CD71C4"/>
    <w:rsid w:val="00CD7449"/>
    <w:rsid w:val="00CD74C2"/>
    <w:rsid w:val="00CD76B4"/>
    <w:rsid w:val="00CD7D2D"/>
    <w:rsid w:val="00CD7F31"/>
    <w:rsid w:val="00CD7F87"/>
    <w:rsid w:val="00CD7FAF"/>
    <w:rsid w:val="00CE0327"/>
    <w:rsid w:val="00CE04B7"/>
    <w:rsid w:val="00CE0A69"/>
    <w:rsid w:val="00CE0C7C"/>
    <w:rsid w:val="00CE0DFA"/>
    <w:rsid w:val="00CE103A"/>
    <w:rsid w:val="00CE13A8"/>
    <w:rsid w:val="00CE13D4"/>
    <w:rsid w:val="00CE142F"/>
    <w:rsid w:val="00CE169B"/>
    <w:rsid w:val="00CE1717"/>
    <w:rsid w:val="00CE1978"/>
    <w:rsid w:val="00CE1C6B"/>
    <w:rsid w:val="00CE1F62"/>
    <w:rsid w:val="00CE245A"/>
    <w:rsid w:val="00CE2B92"/>
    <w:rsid w:val="00CE2C10"/>
    <w:rsid w:val="00CE2CD0"/>
    <w:rsid w:val="00CE334C"/>
    <w:rsid w:val="00CE34E9"/>
    <w:rsid w:val="00CE35B5"/>
    <w:rsid w:val="00CE37D0"/>
    <w:rsid w:val="00CE3849"/>
    <w:rsid w:val="00CE3863"/>
    <w:rsid w:val="00CE3D2C"/>
    <w:rsid w:val="00CE463D"/>
    <w:rsid w:val="00CE4C05"/>
    <w:rsid w:val="00CE4F86"/>
    <w:rsid w:val="00CE5165"/>
    <w:rsid w:val="00CE5461"/>
    <w:rsid w:val="00CE5D3D"/>
    <w:rsid w:val="00CE5D52"/>
    <w:rsid w:val="00CE6069"/>
    <w:rsid w:val="00CE66CC"/>
    <w:rsid w:val="00CE68E7"/>
    <w:rsid w:val="00CE6902"/>
    <w:rsid w:val="00CE6F08"/>
    <w:rsid w:val="00CE7188"/>
    <w:rsid w:val="00CE7345"/>
    <w:rsid w:val="00CE7842"/>
    <w:rsid w:val="00CE795B"/>
    <w:rsid w:val="00CE7B1F"/>
    <w:rsid w:val="00CE7DC5"/>
    <w:rsid w:val="00CE7DF5"/>
    <w:rsid w:val="00CE7E0B"/>
    <w:rsid w:val="00CE7F11"/>
    <w:rsid w:val="00CF03CC"/>
    <w:rsid w:val="00CF0AA6"/>
    <w:rsid w:val="00CF0E95"/>
    <w:rsid w:val="00CF1103"/>
    <w:rsid w:val="00CF138F"/>
    <w:rsid w:val="00CF1763"/>
    <w:rsid w:val="00CF1AA9"/>
    <w:rsid w:val="00CF1C00"/>
    <w:rsid w:val="00CF1E2A"/>
    <w:rsid w:val="00CF2106"/>
    <w:rsid w:val="00CF21C2"/>
    <w:rsid w:val="00CF22B1"/>
    <w:rsid w:val="00CF248A"/>
    <w:rsid w:val="00CF2618"/>
    <w:rsid w:val="00CF282F"/>
    <w:rsid w:val="00CF28DC"/>
    <w:rsid w:val="00CF2ABD"/>
    <w:rsid w:val="00CF2BF2"/>
    <w:rsid w:val="00CF2CDD"/>
    <w:rsid w:val="00CF2E2B"/>
    <w:rsid w:val="00CF31C6"/>
    <w:rsid w:val="00CF327B"/>
    <w:rsid w:val="00CF3A85"/>
    <w:rsid w:val="00CF3AE9"/>
    <w:rsid w:val="00CF3D36"/>
    <w:rsid w:val="00CF4158"/>
    <w:rsid w:val="00CF429F"/>
    <w:rsid w:val="00CF4365"/>
    <w:rsid w:val="00CF4490"/>
    <w:rsid w:val="00CF44A3"/>
    <w:rsid w:val="00CF488E"/>
    <w:rsid w:val="00CF4EB4"/>
    <w:rsid w:val="00CF5082"/>
    <w:rsid w:val="00CF53FA"/>
    <w:rsid w:val="00CF54D5"/>
    <w:rsid w:val="00CF5530"/>
    <w:rsid w:val="00CF6037"/>
    <w:rsid w:val="00CF604B"/>
    <w:rsid w:val="00CF6474"/>
    <w:rsid w:val="00CF6487"/>
    <w:rsid w:val="00CF66A2"/>
    <w:rsid w:val="00CF6743"/>
    <w:rsid w:val="00CF675C"/>
    <w:rsid w:val="00CF6772"/>
    <w:rsid w:val="00CF68B2"/>
    <w:rsid w:val="00CF6AB9"/>
    <w:rsid w:val="00CF6B7A"/>
    <w:rsid w:val="00CF6ED3"/>
    <w:rsid w:val="00CF737A"/>
    <w:rsid w:val="00CF74F0"/>
    <w:rsid w:val="00CF7627"/>
    <w:rsid w:val="00CF773D"/>
    <w:rsid w:val="00CF7839"/>
    <w:rsid w:val="00CF7B5D"/>
    <w:rsid w:val="00CF7BEB"/>
    <w:rsid w:val="00CF7E60"/>
    <w:rsid w:val="00D00197"/>
    <w:rsid w:val="00D00384"/>
    <w:rsid w:val="00D005A7"/>
    <w:rsid w:val="00D007DE"/>
    <w:rsid w:val="00D00953"/>
    <w:rsid w:val="00D00EF2"/>
    <w:rsid w:val="00D00F91"/>
    <w:rsid w:val="00D01178"/>
    <w:rsid w:val="00D01597"/>
    <w:rsid w:val="00D016E4"/>
    <w:rsid w:val="00D0172B"/>
    <w:rsid w:val="00D01807"/>
    <w:rsid w:val="00D01AE3"/>
    <w:rsid w:val="00D01B80"/>
    <w:rsid w:val="00D0230C"/>
    <w:rsid w:val="00D023B0"/>
    <w:rsid w:val="00D025C5"/>
    <w:rsid w:val="00D02941"/>
    <w:rsid w:val="00D02ADA"/>
    <w:rsid w:val="00D02BF1"/>
    <w:rsid w:val="00D02BF7"/>
    <w:rsid w:val="00D02DB1"/>
    <w:rsid w:val="00D030EC"/>
    <w:rsid w:val="00D031AB"/>
    <w:rsid w:val="00D0349A"/>
    <w:rsid w:val="00D03586"/>
    <w:rsid w:val="00D036D3"/>
    <w:rsid w:val="00D0375E"/>
    <w:rsid w:val="00D03BCB"/>
    <w:rsid w:val="00D03C27"/>
    <w:rsid w:val="00D04269"/>
    <w:rsid w:val="00D0479B"/>
    <w:rsid w:val="00D04EF5"/>
    <w:rsid w:val="00D05132"/>
    <w:rsid w:val="00D051B9"/>
    <w:rsid w:val="00D05576"/>
    <w:rsid w:val="00D055E0"/>
    <w:rsid w:val="00D05F15"/>
    <w:rsid w:val="00D062CF"/>
    <w:rsid w:val="00D06405"/>
    <w:rsid w:val="00D06A84"/>
    <w:rsid w:val="00D06A91"/>
    <w:rsid w:val="00D06BBE"/>
    <w:rsid w:val="00D06DA3"/>
    <w:rsid w:val="00D06EC1"/>
    <w:rsid w:val="00D07ABD"/>
    <w:rsid w:val="00D07B9E"/>
    <w:rsid w:val="00D101D6"/>
    <w:rsid w:val="00D104FF"/>
    <w:rsid w:val="00D105AB"/>
    <w:rsid w:val="00D105CA"/>
    <w:rsid w:val="00D10C08"/>
    <w:rsid w:val="00D10C39"/>
    <w:rsid w:val="00D111DC"/>
    <w:rsid w:val="00D11989"/>
    <w:rsid w:val="00D11C3F"/>
    <w:rsid w:val="00D11D06"/>
    <w:rsid w:val="00D1278F"/>
    <w:rsid w:val="00D127AE"/>
    <w:rsid w:val="00D129B4"/>
    <w:rsid w:val="00D12D42"/>
    <w:rsid w:val="00D130A7"/>
    <w:rsid w:val="00D130E8"/>
    <w:rsid w:val="00D136E7"/>
    <w:rsid w:val="00D1379F"/>
    <w:rsid w:val="00D137F4"/>
    <w:rsid w:val="00D13C66"/>
    <w:rsid w:val="00D13D22"/>
    <w:rsid w:val="00D140C6"/>
    <w:rsid w:val="00D1417C"/>
    <w:rsid w:val="00D142E8"/>
    <w:rsid w:val="00D14306"/>
    <w:rsid w:val="00D14687"/>
    <w:rsid w:val="00D14ECC"/>
    <w:rsid w:val="00D14F0A"/>
    <w:rsid w:val="00D14F46"/>
    <w:rsid w:val="00D15042"/>
    <w:rsid w:val="00D150B6"/>
    <w:rsid w:val="00D15372"/>
    <w:rsid w:val="00D153DD"/>
    <w:rsid w:val="00D15689"/>
    <w:rsid w:val="00D15719"/>
    <w:rsid w:val="00D157AC"/>
    <w:rsid w:val="00D159D6"/>
    <w:rsid w:val="00D15DDA"/>
    <w:rsid w:val="00D15E42"/>
    <w:rsid w:val="00D16639"/>
    <w:rsid w:val="00D16753"/>
    <w:rsid w:val="00D167BF"/>
    <w:rsid w:val="00D16C66"/>
    <w:rsid w:val="00D170D4"/>
    <w:rsid w:val="00D17916"/>
    <w:rsid w:val="00D17ABE"/>
    <w:rsid w:val="00D17D16"/>
    <w:rsid w:val="00D20159"/>
    <w:rsid w:val="00D2018F"/>
    <w:rsid w:val="00D20254"/>
    <w:rsid w:val="00D20565"/>
    <w:rsid w:val="00D207EA"/>
    <w:rsid w:val="00D20864"/>
    <w:rsid w:val="00D20991"/>
    <w:rsid w:val="00D20A35"/>
    <w:rsid w:val="00D20C5A"/>
    <w:rsid w:val="00D20C8C"/>
    <w:rsid w:val="00D21510"/>
    <w:rsid w:val="00D21808"/>
    <w:rsid w:val="00D21D40"/>
    <w:rsid w:val="00D220A2"/>
    <w:rsid w:val="00D22554"/>
    <w:rsid w:val="00D2273F"/>
    <w:rsid w:val="00D22C48"/>
    <w:rsid w:val="00D22E55"/>
    <w:rsid w:val="00D2321A"/>
    <w:rsid w:val="00D23237"/>
    <w:rsid w:val="00D237CC"/>
    <w:rsid w:val="00D2380E"/>
    <w:rsid w:val="00D23831"/>
    <w:rsid w:val="00D2399C"/>
    <w:rsid w:val="00D23AEA"/>
    <w:rsid w:val="00D23CC3"/>
    <w:rsid w:val="00D23FF9"/>
    <w:rsid w:val="00D241D1"/>
    <w:rsid w:val="00D24279"/>
    <w:rsid w:val="00D244D8"/>
    <w:rsid w:val="00D24692"/>
    <w:rsid w:val="00D24752"/>
    <w:rsid w:val="00D24969"/>
    <w:rsid w:val="00D24C67"/>
    <w:rsid w:val="00D24E71"/>
    <w:rsid w:val="00D24FF6"/>
    <w:rsid w:val="00D25172"/>
    <w:rsid w:val="00D25288"/>
    <w:rsid w:val="00D254D5"/>
    <w:rsid w:val="00D25772"/>
    <w:rsid w:val="00D25B64"/>
    <w:rsid w:val="00D26378"/>
    <w:rsid w:val="00D265F1"/>
    <w:rsid w:val="00D26657"/>
    <w:rsid w:val="00D26878"/>
    <w:rsid w:val="00D26990"/>
    <w:rsid w:val="00D26A95"/>
    <w:rsid w:val="00D26DDB"/>
    <w:rsid w:val="00D26E5D"/>
    <w:rsid w:val="00D271D2"/>
    <w:rsid w:val="00D272CB"/>
    <w:rsid w:val="00D27544"/>
    <w:rsid w:val="00D3003F"/>
    <w:rsid w:val="00D30052"/>
    <w:rsid w:val="00D30425"/>
    <w:rsid w:val="00D305B6"/>
    <w:rsid w:val="00D305BD"/>
    <w:rsid w:val="00D3067B"/>
    <w:rsid w:val="00D3088E"/>
    <w:rsid w:val="00D30EDB"/>
    <w:rsid w:val="00D31B10"/>
    <w:rsid w:val="00D31C1F"/>
    <w:rsid w:val="00D31F08"/>
    <w:rsid w:val="00D32113"/>
    <w:rsid w:val="00D3249D"/>
    <w:rsid w:val="00D32AF6"/>
    <w:rsid w:val="00D32D69"/>
    <w:rsid w:val="00D33193"/>
    <w:rsid w:val="00D33288"/>
    <w:rsid w:val="00D332D3"/>
    <w:rsid w:val="00D333AC"/>
    <w:rsid w:val="00D33501"/>
    <w:rsid w:val="00D335BE"/>
    <w:rsid w:val="00D335F0"/>
    <w:rsid w:val="00D336C6"/>
    <w:rsid w:val="00D33ED2"/>
    <w:rsid w:val="00D3411E"/>
    <w:rsid w:val="00D343C4"/>
    <w:rsid w:val="00D3477E"/>
    <w:rsid w:val="00D347E3"/>
    <w:rsid w:val="00D34EE2"/>
    <w:rsid w:val="00D352C2"/>
    <w:rsid w:val="00D35686"/>
    <w:rsid w:val="00D35738"/>
    <w:rsid w:val="00D357BD"/>
    <w:rsid w:val="00D35B35"/>
    <w:rsid w:val="00D35C0F"/>
    <w:rsid w:val="00D35D54"/>
    <w:rsid w:val="00D35EC1"/>
    <w:rsid w:val="00D36343"/>
    <w:rsid w:val="00D365B0"/>
    <w:rsid w:val="00D3693D"/>
    <w:rsid w:val="00D36A78"/>
    <w:rsid w:val="00D36C34"/>
    <w:rsid w:val="00D36E58"/>
    <w:rsid w:val="00D37523"/>
    <w:rsid w:val="00D37C2A"/>
    <w:rsid w:val="00D37C3E"/>
    <w:rsid w:val="00D37CB1"/>
    <w:rsid w:val="00D37F5B"/>
    <w:rsid w:val="00D400CD"/>
    <w:rsid w:val="00D404A9"/>
    <w:rsid w:val="00D405F7"/>
    <w:rsid w:val="00D4086B"/>
    <w:rsid w:val="00D40BD6"/>
    <w:rsid w:val="00D40C6D"/>
    <w:rsid w:val="00D4146C"/>
    <w:rsid w:val="00D414B3"/>
    <w:rsid w:val="00D414B5"/>
    <w:rsid w:val="00D416B7"/>
    <w:rsid w:val="00D41897"/>
    <w:rsid w:val="00D41AD1"/>
    <w:rsid w:val="00D41C04"/>
    <w:rsid w:val="00D41DB1"/>
    <w:rsid w:val="00D41F2C"/>
    <w:rsid w:val="00D420CE"/>
    <w:rsid w:val="00D422FD"/>
    <w:rsid w:val="00D424E8"/>
    <w:rsid w:val="00D42B64"/>
    <w:rsid w:val="00D42DCF"/>
    <w:rsid w:val="00D43104"/>
    <w:rsid w:val="00D431AD"/>
    <w:rsid w:val="00D431C2"/>
    <w:rsid w:val="00D4329D"/>
    <w:rsid w:val="00D434BE"/>
    <w:rsid w:val="00D4377A"/>
    <w:rsid w:val="00D43B75"/>
    <w:rsid w:val="00D44322"/>
    <w:rsid w:val="00D4444D"/>
    <w:rsid w:val="00D445D6"/>
    <w:rsid w:val="00D44678"/>
    <w:rsid w:val="00D4485A"/>
    <w:rsid w:val="00D44E31"/>
    <w:rsid w:val="00D44E41"/>
    <w:rsid w:val="00D4528B"/>
    <w:rsid w:val="00D45290"/>
    <w:rsid w:val="00D453E6"/>
    <w:rsid w:val="00D45495"/>
    <w:rsid w:val="00D45584"/>
    <w:rsid w:val="00D4559A"/>
    <w:rsid w:val="00D45690"/>
    <w:rsid w:val="00D459DC"/>
    <w:rsid w:val="00D4600E"/>
    <w:rsid w:val="00D462E1"/>
    <w:rsid w:val="00D46553"/>
    <w:rsid w:val="00D4681A"/>
    <w:rsid w:val="00D468B7"/>
    <w:rsid w:val="00D46A11"/>
    <w:rsid w:val="00D46C82"/>
    <w:rsid w:val="00D46E40"/>
    <w:rsid w:val="00D46F60"/>
    <w:rsid w:val="00D471E9"/>
    <w:rsid w:val="00D472E6"/>
    <w:rsid w:val="00D47341"/>
    <w:rsid w:val="00D473DC"/>
    <w:rsid w:val="00D47548"/>
    <w:rsid w:val="00D47A13"/>
    <w:rsid w:val="00D47AD4"/>
    <w:rsid w:val="00D47EA2"/>
    <w:rsid w:val="00D5001F"/>
    <w:rsid w:val="00D5063F"/>
    <w:rsid w:val="00D508CC"/>
    <w:rsid w:val="00D5097B"/>
    <w:rsid w:val="00D50D50"/>
    <w:rsid w:val="00D50E45"/>
    <w:rsid w:val="00D5102D"/>
    <w:rsid w:val="00D51D47"/>
    <w:rsid w:val="00D51E2A"/>
    <w:rsid w:val="00D5206A"/>
    <w:rsid w:val="00D520A2"/>
    <w:rsid w:val="00D520B9"/>
    <w:rsid w:val="00D521AF"/>
    <w:rsid w:val="00D5226E"/>
    <w:rsid w:val="00D5229C"/>
    <w:rsid w:val="00D52585"/>
    <w:rsid w:val="00D525D2"/>
    <w:rsid w:val="00D526D3"/>
    <w:rsid w:val="00D52A30"/>
    <w:rsid w:val="00D52AE8"/>
    <w:rsid w:val="00D52BF1"/>
    <w:rsid w:val="00D52C0D"/>
    <w:rsid w:val="00D52DEA"/>
    <w:rsid w:val="00D52E6C"/>
    <w:rsid w:val="00D533F5"/>
    <w:rsid w:val="00D5359F"/>
    <w:rsid w:val="00D53607"/>
    <w:rsid w:val="00D53A1B"/>
    <w:rsid w:val="00D54066"/>
    <w:rsid w:val="00D545CA"/>
    <w:rsid w:val="00D54777"/>
    <w:rsid w:val="00D547CA"/>
    <w:rsid w:val="00D54ACE"/>
    <w:rsid w:val="00D54D41"/>
    <w:rsid w:val="00D55079"/>
    <w:rsid w:val="00D55129"/>
    <w:rsid w:val="00D552EB"/>
    <w:rsid w:val="00D552ED"/>
    <w:rsid w:val="00D5550D"/>
    <w:rsid w:val="00D555BD"/>
    <w:rsid w:val="00D5562C"/>
    <w:rsid w:val="00D5568E"/>
    <w:rsid w:val="00D5586E"/>
    <w:rsid w:val="00D5591A"/>
    <w:rsid w:val="00D5622C"/>
    <w:rsid w:val="00D56431"/>
    <w:rsid w:val="00D56584"/>
    <w:rsid w:val="00D5677F"/>
    <w:rsid w:val="00D56F1A"/>
    <w:rsid w:val="00D57039"/>
    <w:rsid w:val="00D57109"/>
    <w:rsid w:val="00D573C8"/>
    <w:rsid w:val="00D57605"/>
    <w:rsid w:val="00D57934"/>
    <w:rsid w:val="00D57CB6"/>
    <w:rsid w:val="00D57CF6"/>
    <w:rsid w:val="00D6001B"/>
    <w:rsid w:val="00D6046D"/>
    <w:rsid w:val="00D610FA"/>
    <w:rsid w:val="00D615E2"/>
    <w:rsid w:val="00D6197A"/>
    <w:rsid w:val="00D61CE4"/>
    <w:rsid w:val="00D624B5"/>
    <w:rsid w:val="00D626E5"/>
    <w:rsid w:val="00D627EA"/>
    <w:rsid w:val="00D628B0"/>
    <w:rsid w:val="00D62C42"/>
    <w:rsid w:val="00D62D8A"/>
    <w:rsid w:val="00D63137"/>
    <w:rsid w:val="00D63B33"/>
    <w:rsid w:val="00D63B5E"/>
    <w:rsid w:val="00D63BAD"/>
    <w:rsid w:val="00D63CA7"/>
    <w:rsid w:val="00D63EA9"/>
    <w:rsid w:val="00D63FA6"/>
    <w:rsid w:val="00D641A5"/>
    <w:rsid w:val="00D64215"/>
    <w:rsid w:val="00D6480C"/>
    <w:rsid w:val="00D64A99"/>
    <w:rsid w:val="00D64B59"/>
    <w:rsid w:val="00D64C78"/>
    <w:rsid w:val="00D64ED8"/>
    <w:rsid w:val="00D64F5B"/>
    <w:rsid w:val="00D6502D"/>
    <w:rsid w:val="00D65358"/>
    <w:rsid w:val="00D656D7"/>
    <w:rsid w:val="00D65781"/>
    <w:rsid w:val="00D65B20"/>
    <w:rsid w:val="00D66355"/>
    <w:rsid w:val="00D663F0"/>
    <w:rsid w:val="00D66AB9"/>
    <w:rsid w:val="00D67032"/>
    <w:rsid w:val="00D67131"/>
    <w:rsid w:val="00D6729D"/>
    <w:rsid w:val="00D673E7"/>
    <w:rsid w:val="00D6748B"/>
    <w:rsid w:val="00D676AB"/>
    <w:rsid w:val="00D700A0"/>
    <w:rsid w:val="00D7059F"/>
    <w:rsid w:val="00D70638"/>
    <w:rsid w:val="00D7072B"/>
    <w:rsid w:val="00D70A6E"/>
    <w:rsid w:val="00D71243"/>
    <w:rsid w:val="00D71555"/>
    <w:rsid w:val="00D720B8"/>
    <w:rsid w:val="00D721D3"/>
    <w:rsid w:val="00D72367"/>
    <w:rsid w:val="00D72710"/>
    <w:rsid w:val="00D72781"/>
    <w:rsid w:val="00D72A6F"/>
    <w:rsid w:val="00D72B37"/>
    <w:rsid w:val="00D731C8"/>
    <w:rsid w:val="00D7379D"/>
    <w:rsid w:val="00D738DE"/>
    <w:rsid w:val="00D73A1F"/>
    <w:rsid w:val="00D73C61"/>
    <w:rsid w:val="00D74361"/>
    <w:rsid w:val="00D74451"/>
    <w:rsid w:val="00D744F3"/>
    <w:rsid w:val="00D74516"/>
    <w:rsid w:val="00D74565"/>
    <w:rsid w:val="00D74936"/>
    <w:rsid w:val="00D74A5F"/>
    <w:rsid w:val="00D74A77"/>
    <w:rsid w:val="00D74AF5"/>
    <w:rsid w:val="00D74D4A"/>
    <w:rsid w:val="00D751F0"/>
    <w:rsid w:val="00D754FA"/>
    <w:rsid w:val="00D75527"/>
    <w:rsid w:val="00D757FC"/>
    <w:rsid w:val="00D75AAA"/>
    <w:rsid w:val="00D75BC7"/>
    <w:rsid w:val="00D75E5B"/>
    <w:rsid w:val="00D76259"/>
    <w:rsid w:val="00D76DAD"/>
    <w:rsid w:val="00D76FAB"/>
    <w:rsid w:val="00D7730B"/>
    <w:rsid w:val="00D775D5"/>
    <w:rsid w:val="00D7773B"/>
    <w:rsid w:val="00D778AD"/>
    <w:rsid w:val="00D7794B"/>
    <w:rsid w:val="00D77CC8"/>
    <w:rsid w:val="00D80411"/>
    <w:rsid w:val="00D80A66"/>
    <w:rsid w:val="00D80D37"/>
    <w:rsid w:val="00D81120"/>
    <w:rsid w:val="00D811F9"/>
    <w:rsid w:val="00D81259"/>
    <w:rsid w:val="00D81573"/>
    <w:rsid w:val="00D818B0"/>
    <w:rsid w:val="00D819A7"/>
    <w:rsid w:val="00D8211C"/>
    <w:rsid w:val="00D82772"/>
    <w:rsid w:val="00D82975"/>
    <w:rsid w:val="00D82B90"/>
    <w:rsid w:val="00D830F1"/>
    <w:rsid w:val="00D83315"/>
    <w:rsid w:val="00D833B0"/>
    <w:rsid w:val="00D8345D"/>
    <w:rsid w:val="00D834EA"/>
    <w:rsid w:val="00D839AA"/>
    <w:rsid w:val="00D83C2E"/>
    <w:rsid w:val="00D83D19"/>
    <w:rsid w:val="00D83DE5"/>
    <w:rsid w:val="00D83EE7"/>
    <w:rsid w:val="00D840BD"/>
    <w:rsid w:val="00D841C3"/>
    <w:rsid w:val="00D847E7"/>
    <w:rsid w:val="00D8488D"/>
    <w:rsid w:val="00D853A8"/>
    <w:rsid w:val="00D856A8"/>
    <w:rsid w:val="00D8591E"/>
    <w:rsid w:val="00D8592E"/>
    <w:rsid w:val="00D85D82"/>
    <w:rsid w:val="00D85E50"/>
    <w:rsid w:val="00D85E95"/>
    <w:rsid w:val="00D85E9E"/>
    <w:rsid w:val="00D862B7"/>
    <w:rsid w:val="00D863DD"/>
    <w:rsid w:val="00D864E9"/>
    <w:rsid w:val="00D865E6"/>
    <w:rsid w:val="00D86602"/>
    <w:rsid w:val="00D86982"/>
    <w:rsid w:val="00D86AB9"/>
    <w:rsid w:val="00D86CD1"/>
    <w:rsid w:val="00D87002"/>
    <w:rsid w:val="00D873C0"/>
    <w:rsid w:val="00D87C16"/>
    <w:rsid w:val="00D87CF1"/>
    <w:rsid w:val="00D90216"/>
    <w:rsid w:val="00D9025C"/>
    <w:rsid w:val="00D9041F"/>
    <w:rsid w:val="00D90490"/>
    <w:rsid w:val="00D904E0"/>
    <w:rsid w:val="00D905F0"/>
    <w:rsid w:val="00D90620"/>
    <w:rsid w:val="00D911C7"/>
    <w:rsid w:val="00D9125B"/>
    <w:rsid w:val="00D9151A"/>
    <w:rsid w:val="00D91539"/>
    <w:rsid w:val="00D91CC0"/>
    <w:rsid w:val="00D9229E"/>
    <w:rsid w:val="00D923E3"/>
    <w:rsid w:val="00D92595"/>
    <w:rsid w:val="00D92F84"/>
    <w:rsid w:val="00D93218"/>
    <w:rsid w:val="00D938BC"/>
    <w:rsid w:val="00D93A68"/>
    <w:rsid w:val="00D93C81"/>
    <w:rsid w:val="00D9410B"/>
    <w:rsid w:val="00D9417F"/>
    <w:rsid w:val="00D94D67"/>
    <w:rsid w:val="00D94E04"/>
    <w:rsid w:val="00D95026"/>
    <w:rsid w:val="00D95267"/>
    <w:rsid w:val="00D95326"/>
    <w:rsid w:val="00D95395"/>
    <w:rsid w:val="00D956E5"/>
    <w:rsid w:val="00D95E5C"/>
    <w:rsid w:val="00D960B4"/>
    <w:rsid w:val="00D96153"/>
    <w:rsid w:val="00D9645C"/>
    <w:rsid w:val="00D9674C"/>
    <w:rsid w:val="00D96BD2"/>
    <w:rsid w:val="00D96F77"/>
    <w:rsid w:val="00D972B4"/>
    <w:rsid w:val="00D97819"/>
    <w:rsid w:val="00DA0027"/>
    <w:rsid w:val="00DA0073"/>
    <w:rsid w:val="00DA0663"/>
    <w:rsid w:val="00DA08AD"/>
    <w:rsid w:val="00DA0CDE"/>
    <w:rsid w:val="00DA1252"/>
    <w:rsid w:val="00DA15D1"/>
    <w:rsid w:val="00DA19E6"/>
    <w:rsid w:val="00DA1B18"/>
    <w:rsid w:val="00DA1B42"/>
    <w:rsid w:val="00DA1C1B"/>
    <w:rsid w:val="00DA1DEC"/>
    <w:rsid w:val="00DA2500"/>
    <w:rsid w:val="00DA2613"/>
    <w:rsid w:val="00DA264C"/>
    <w:rsid w:val="00DA26D7"/>
    <w:rsid w:val="00DA2A6D"/>
    <w:rsid w:val="00DA2A85"/>
    <w:rsid w:val="00DA2F5E"/>
    <w:rsid w:val="00DA3664"/>
    <w:rsid w:val="00DA36D6"/>
    <w:rsid w:val="00DA399B"/>
    <w:rsid w:val="00DA3AEC"/>
    <w:rsid w:val="00DA3B27"/>
    <w:rsid w:val="00DA3EBE"/>
    <w:rsid w:val="00DA3F56"/>
    <w:rsid w:val="00DA40CC"/>
    <w:rsid w:val="00DA4177"/>
    <w:rsid w:val="00DA43E8"/>
    <w:rsid w:val="00DA4886"/>
    <w:rsid w:val="00DA4EA2"/>
    <w:rsid w:val="00DA52D7"/>
    <w:rsid w:val="00DA5328"/>
    <w:rsid w:val="00DA5F4A"/>
    <w:rsid w:val="00DA62D8"/>
    <w:rsid w:val="00DA6306"/>
    <w:rsid w:val="00DA647D"/>
    <w:rsid w:val="00DA68F2"/>
    <w:rsid w:val="00DA6AE1"/>
    <w:rsid w:val="00DA6F2E"/>
    <w:rsid w:val="00DA72E0"/>
    <w:rsid w:val="00DA747C"/>
    <w:rsid w:val="00DA7555"/>
    <w:rsid w:val="00DA763D"/>
    <w:rsid w:val="00DA78B0"/>
    <w:rsid w:val="00DA7C0A"/>
    <w:rsid w:val="00DB00C7"/>
    <w:rsid w:val="00DB0120"/>
    <w:rsid w:val="00DB0202"/>
    <w:rsid w:val="00DB07F9"/>
    <w:rsid w:val="00DB0A22"/>
    <w:rsid w:val="00DB1649"/>
    <w:rsid w:val="00DB1653"/>
    <w:rsid w:val="00DB18B0"/>
    <w:rsid w:val="00DB18BE"/>
    <w:rsid w:val="00DB1BB0"/>
    <w:rsid w:val="00DB1CD2"/>
    <w:rsid w:val="00DB1D4A"/>
    <w:rsid w:val="00DB1DA4"/>
    <w:rsid w:val="00DB1FAB"/>
    <w:rsid w:val="00DB2043"/>
    <w:rsid w:val="00DB2312"/>
    <w:rsid w:val="00DB2B89"/>
    <w:rsid w:val="00DB2D4C"/>
    <w:rsid w:val="00DB2DEA"/>
    <w:rsid w:val="00DB2E33"/>
    <w:rsid w:val="00DB33C6"/>
    <w:rsid w:val="00DB33DB"/>
    <w:rsid w:val="00DB3862"/>
    <w:rsid w:val="00DB3A92"/>
    <w:rsid w:val="00DB3E3D"/>
    <w:rsid w:val="00DB3E58"/>
    <w:rsid w:val="00DB3E6B"/>
    <w:rsid w:val="00DB4227"/>
    <w:rsid w:val="00DB451F"/>
    <w:rsid w:val="00DB498E"/>
    <w:rsid w:val="00DB4CB2"/>
    <w:rsid w:val="00DB4D2E"/>
    <w:rsid w:val="00DB4EE1"/>
    <w:rsid w:val="00DB52F9"/>
    <w:rsid w:val="00DB59B9"/>
    <w:rsid w:val="00DB5A2C"/>
    <w:rsid w:val="00DB5A5A"/>
    <w:rsid w:val="00DB5BA9"/>
    <w:rsid w:val="00DB6221"/>
    <w:rsid w:val="00DB68F2"/>
    <w:rsid w:val="00DB6BF0"/>
    <w:rsid w:val="00DB6E3A"/>
    <w:rsid w:val="00DB6EE1"/>
    <w:rsid w:val="00DB7143"/>
    <w:rsid w:val="00DB737A"/>
    <w:rsid w:val="00DB7613"/>
    <w:rsid w:val="00DB7651"/>
    <w:rsid w:val="00DB7759"/>
    <w:rsid w:val="00DB7BE9"/>
    <w:rsid w:val="00DB7D5C"/>
    <w:rsid w:val="00DB7DAE"/>
    <w:rsid w:val="00DC018E"/>
    <w:rsid w:val="00DC01F4"/>
    <w:rsid w:val="00DC0849"/>
    <w:rsid w:val="00DC09C7"/>
    <w:rsid w:val="00DC0AEF"/>
    <w:rsid w:val="00DC0B2A"/>
    <w:rsid w:val="00DC0C9A"/>
    <w:rsid w:val="00DC0E10"/>
    <w:rsid w:val="00DC1073"/>
    <w:rsid w:val="00DC137C"/>
    <w:rsid w:val="00DC16B2"/>
    <w:rsid w:val="00DC18B6"/>
    <w:rsid w:val="00DC1EED"/>
    <w:rsid w:val="00DC1FC6"/>
    <w:rsid w:val="00DC202D"/>
    <w:rsid w:val="00DC2055"/>
    <w:rsid w:val="00DC2483"/>
    <w:rsid w:val="00DC25BD"/>
    <w:rsid w:val="00DC2E7A"/>
    <w:rsid w:val="00DC3001"/>
    <w:rsid w:val="00DC304A"/>
    <w:rsid w:val="00DC3752"/>
    <w:rsid w:val="00DC3A7D"/>
    <w:rsid w:val="00DC3BB9"/>
    <w:rsid w:val="00DC3CF3"/>
    <w:rsid w:val="00DC3DC2"/>
    <w:rsid w:val="00DC3EE6"/>
    <w:rsid w:val="00DC4168"/>
    <w:rsid w:val="00DC42C5"/>
    <w:rsid w:val="00DC4A1E"/>
    <w:rsid w:val="00DC4B54"/>
    <w:rsid w:val="00DC50F6"/>
    <w:rsid w:val="00DC5887"/>
    <w:rsid w:val="00DC59D4"/>
    <w:rsid w:val="00DC5B78"/>
    <w:rsid w:val="00DC60E2"/>
    <w:rsid w:val="00DC63D3"/>
    <w:rsid w:val="00DC65C0"/>
    <w:rsid w:val="00DC65E4"/>
    <w:rsid w:val="00DC67C8"/>
    <w:rsid w:val="00DC75DA"/>
    <w:rsid w:val="00DC762C"/>
    <w:rsid w:val="00DC7CE1"/>
    <w:rsid w:val="00DD0172"/>
    <w:rsid w:val="00DD02F6"/>
    <w:rsid w:val="00DD08F4"/>
    <w:rsid w:val="00DD0AEA"/>
    <w:rsid w:val="00DD0BFD"/>
    <w:rsid w:val="00DD1270"/>
    <w:rsid w:val="00DD12B0"/>
    <w:rsid w:val="00DD156A"/>
    <w:rsid w:val="00DD2145"/>
    <w:rsid w:val="00DD2BCD"/>
    <w:rsid w:val="00DD2CED"/>
    <w:rsid w:val="00DD3216"/>
    <w:rsid w:val="00DD325D"/>
    <w:rsid w:val="00DD3652"/>
    <w:rsid w:val="00DD37CA"/>
    <w:rsid w:val="00DD3898"/>
    <w:rsid w:val="00DD3949"/>
    <w:rsid w:val="00DD399A"/>
    <w:rsid w:val="00DD4097"/>
    <w:rsid w:val="00DD43B7"/>
    <w:rsid w:val="00DD45AE"/>
    <w:rsid w:val="00DD4649"/>
    <w:rsid w:val="00DD46A8"/>
    <w:rsid w:val="00DD46E8"/>
    <w:rsid w:val="00DD48AD"/>
    <w:rsid w:val="00DD48DD"/>
    <w:rsid w:val="00DD491F"/>
    <w:rsid w:val="00DD492B"/>
    <w:rsid w:val="00DD50DD"/>
    <w:rsid w:val="00DD5249"/>
    <w:rsid w:val="00DD5B13"/>
    <w:rsid w:val="00DD5CE7"/>
    <w:rsid w:val="00DD5CF7"/>
    <w:rsid w:val="00DD5E84"/>
    <w:rsid w:val="00DD61F3"/>
    <w:rsid w:val="00DD638A"/>
    <w:rsid w:val="00DD6505"/>
    <w:rsid w:val="00DD66B1"/>
    <w:rsid w:val="00DD6767"/>
    <w:rsid w:val="00DD6AC8"/>
    <w:rsid w:val="00DD6C6C"/>
    <w:rsid w:val="00DD6D76"/>
    <w:rsid w:val="00DD6E4A"/>
    <w:rsid w:val="00DD756C"/>
    <w:rsid w:val="00DD7584"/>
    <w:rsid w:val="00DD7A31"/>
    <w:rsid w:val="00DD7A88"/>
    <w:rsid w:val="00DD7C16"/>
    <w:rsid w:val="00DE05F0"/>
    <w:rsid w:val="00DE0732"/>
    <w:rsid w:val="00DE0793"/>
    <w:rsid w:val="00DE08D2"/>
    <w:rsid w:val="00DE0C97"/>
    <w:rsid w:val="00DE1026"/>
    <w:rsid w:val="00DE107C"/>
    <w:rsid w:val="00DE12E1"/>
    <w:rsid w:val="00DE1916"/>
    <w:rsid w:val="00DE1CD2"/>
    <w:rsid w:val="00DE1DAC"/>
    <w:rsid w:val="00DE1ED2"/>
    <w:rsid w:val="00DE1F05"/>
    <w:rsid w:val="00DE2076"/>
    <w:rsid w:val="00DE2617"/>
    <w:rsid w:val="00DE27E7"/>
    <w:rsid w:val="00DE2A88"/>
    <w:rsid w:val="00DE2AFF"/>
    <w:rsid w:val="00DE2E96"/>
    <w:rsid w:val="00DE3436"/>
    <w:rsid w:val="00DE34FC"/>
    <w:rsid w:val="00DE3925"/>
    <w:rsid w:val="00DE3A66"/>
    <w:rsid w:val="00DE3AA1"/>
    <w:rsid w:val="00DE4537"/>
    <w:rsid w:val="00DE480B"/>
    <w:rsid w:val="00DE488C"/>
    <w:rsid w:val="00DE4A69"/>
    <w:rsid w:val="00DE4C3D"/>
    <w:rsid w:val="00DE5000"/>
    <w:rsid w:val="00DE52F5"/>
    <w:rsid w:val="00DE54DA"/>
    <w:rsid w:val="00DE586F"/>
    <w:rsid w:val="00DE5FD1"/>
    <w:rsid w:val="00DE61B8"/>
    <w:rsid w:val="00DE655F"/>
    <w:rsid w:val="00DE6746"/>
    <w:rsid w:val="00DE68E3"/>
    <w:rsid w:val="00DE6A52"/>
    <w:rsid w:val="00DE6A6F"/>
    <w:rsid w:val="00DE6B36"/>
    <w:rsid w:val="00DE6C56"/>
    <w:rsid w:val="00DE6EFB"/>
    <w:rsid w:val="00DE74ED"/>
    <w:rsid w:val="00DE7514"/>
    <w:rsid w:val="00DE7857"/>
    <w:rsid w:val="00DE7A2D"/>
    <w:rsid w:val="00DE7A86"/>
    <w:rsid w:val="00DE7C57"/>
    <w:rsid w:val="00DE7D57"/>
    <w:rsid w:val="00DF058A"/>
    <w:rsid w:val="00DF089A"/>
    <w:rsid w:val="00DF0984"/>
    <w:rsid w:val="00DF09C1"/>
    <w:rsid w:val="00DF0AC7"/>
    <w:rsid w:val="00DF0BA9"/>
    <w:rsid w:val="00DF0C5E"/>
    <w:rsid w:val="00DF0F54"/>
    <w:rsid w:val="00DF113E"/>
    <w:rsid w:val="00DF1230"/>
    <w:rsid w:val="00DF1804"/>
    <w:rsid w:val="00DF1A9B"/>
    <w:rsid w:val="00DF1D3E"/>
    <w:rsid w:val="00DF1D54"/>
    <w:rsid w:val="00DF1E1B"/>
    <w:rsid w:val="00DF22BA"/>
    <w:rsid w:val="00DF26C6"/>
    <w:rsid w:val="00DF27D7"/>
    <w:rsid w:val="00DF2899"/>
    <w:rsid w:val="00DF2981"/>
    <w:rsid w:val="00DF2C32"/>
    <w:rsid w:val="00DF2DF6"/>
    <w:rsid w:val="00DF30BB"/>
    <w:rsid w:val="00DF314B"/>
    <w:rsid w:val="00DF31EC"/>
    <w:rsid w:val="00DF32B2"/>
    <w:rsid w:val="00DF34D0"/>
    <w:rsid w:val="00DF36B9"/>
    <w:rsid w:val="00DF37BF"/>
    <w:rsid w:val="00DF39D0"/>
    <w:rsid w:val="00DF3F99"/>
    <w:rsid w:val="00DF422F"/>
    <w:rsid w:val="00DF447C"/>
    <w:rsid w:val="00DF4598"/>
    <w:rsid w:val="00DF4878"/>
    <w:rsid w:val="00DF49C0"/>
    <w:rsid w:val="00DF49EE"/>
    <w:rsid w:val="00DF4AA6"/>
    <w:rsid w:val="00DF4D23"/>
    <w:rsid w:val="00DF4D4D"/>
    <w:rsid w:val="00DF4E0F"/>
    <w:rsid w:val="00DF4F7F"/>
    <w:rsid w:val="00DF4FFE"/>
    <w:rsid w:val="00DF539E"/>
    <w:rsid w:val="00DF5479"/>
    <w:rsid w:val="00DF5C58"/>
    <w:rsid w:val="00DF6360"/>
    <w:rsid w:val="00DF679B"/>
    <w:rsid w:val="00DF682D"/>
    <w:rsid w:val="00DF691B"/>
    <w:rsid w:val="00DF69D9"/>
    <w:rsid w:val="00DF6A94"/>
    <w:rsid w:val="00DF6B35"/>
    <w:rsid w:val="00DF6D34"/>
    <w:rsid w:val="00DF7032"/>
    <w:rsid w:val="00DF70ED"/>
    <w:rsid w:val="00DF71E2"/>
    <w:rsid w:val="00DF7373"/>
    <w:rsid w:val="00DF768E"/>
    <w:rsid w:val="00DF7798"/>
    <w:rsid w:val="00DF7B44"/>
    <w:rsid w:val="00DF7E38"/>
    <w:rsid w:val="00E000DB"/>
    <w:rsid w:val="00E0052F"/>
    <w:rsid w:val="00E008C1"/>
    <w:rsid w:val="00E00AFD"/>
    <w:rsid w:val="00E00CAA"/>
    <w:rsid w:val="00E00D18"/>
    <w:rsid w:val="00E0100E"/>
    <w:rsid w:val="00E01018"/>
    <w:rsid w:val="00E013DF"/>
    <w:rsid w:val="00E01727"/>
    <w:rsid w:val="00E01760"/>
    <w:rsid w:val="00E01C6F"/>
    <w:rsid w:val="00E02A51"/>
    <w:rsid w:val="00E02B42"/>
    <w:rsid w:val="00E02B86"/>
    <w:rsid w:val="00E02BDE"/>
    <w:rsid w:val="00E02E4F"/>
    <w:rsid w:val="00E03206"/>
    <w:rsid w:val="00E0375C"/>
    <w:rsid w:val="00E038BD"/>
    <w:rsid w:val="00E03B0C"/>
    <w:rsid w:val="00E03CCC"/>
    <w:rsid w:val="00E03FB8"/>
    <w:rsid w:val="00E04170"/>
    <w:rsid w:val="00E04366"/>
    <w:rsid w:val="00E04415"/>
    <w:rsid w:val="00E04725"/>
    <w:rsid w:val="00E04926"/>
    <w:rsid w:val="00E04C67"/>
    <w:rsid w:val="00E04F0E"/>
    <w:rsid w:val="00E04FBA"/>
    <w:rsid w:val="00E0527F"/>
    <w:rsid w:val="00E0529A"/>
    <w:rsid w:val="00E0547C"/>
    <w:rsid w:val="00E057BF"/>
    <w:rsid w:val="00E05F32"/>
    <w:rsid w:val="00E060CE"/>
    <w:rsid w:val="00E064E3"/>
    <w:rsid w:val="00E06508"/>
    <w:rsid w:val="00E06A01"/>
    <w:rsid w:val="00E06A4E"/>
    <w:rsid w:val="00E06AC2"/>
    <w:rsid w:val="00E06BFF"/>
    <w:rsid w:val="00E06E31"/>
    <w:rsid w:val="00E0709C"/>
    <w:rsid w:val="00E07404"/>
    <w:rsid w:val="00E07760"/>
    <w:rsid w:val="00E079C8"/>
    <w:rsid w:val="00E07AEF"/>
    <w:rsid w:val="00E07B82"/>
    <w:rsid w:val="00E07C4C"/>
    <w:rsid w:val="00E10319"/>
    <w:rsid w:val="00E105AD"/>
    <w:rsid w:val="00E10C2C"/>
    <w:rsid w:val="00E10FA2"/>
    <w:rsid w:val="00E10FB9"/>
    <w:rsid w:val="00E10FF7"/>
    <w:rsid w:val="00E11028"/>
    <w:rsid w:val="00E115C5"/>
    <w:rsid w:val="00E11C39"/>
    <w:rsid w:val="00E11C76"/>
    <w:rsid w:val="00E11D64"/>
    <w:rsid w:val="00E11D6D"/>
    <w:rsid w:val="00E11D6F"/>
    <w:rsid w:val="00E120ED"/>
    <w:rsid w:val="00E120F1"/>
    <w:rsid w:val="00E121CA"/>
    <w:rsid w:val="00E125C1"/>
    <w:rsid w:val="00E126CB"/>
    <w:rsid w:val="00E12C54"/>
    <w:rsid w:val="00E13626"/>
    <w:rsid w:val="00E13B47"/>
    <w:rsid w:val="00E14165"/>
    <w:rsid w:val="00E142F8"/>
    <w:rsid w:val="00E14333"/>
    <w:rsid w:val="00E1441F"/>
    <w:rsid w:val="00E14B48"/>
    <w:rsid w:val="00E14CF0"/>
    <w:rsid w:val="00E14D56"/>
    <w:rsid w:val="00E14D80"/>
    <w:rsid w:val="00E15186"/>
    <w:rsid w:val="00E15580"/>
    <w:rsid w:val="00E1576B"/>
    <w:rsid w:val="00E15AC9"/>
    <w:rsid w:val="00E15FBC"/>
    <w:rsid w:val="00E161F8"/>
    <w:rsid w:val="00E1632E"/>
    <w:rsid w:val="00E166DC"/>
    <w:rsid w:val="00E171D5"/>
    <w:rsid w:val="00E172C8"/>
    <w:rsid w:val="00E1770C"/>
    <w:rsid w:val="00E17992"/>
    <w:rsid w:val="00E17D07"/>
    <w:rsid w:val="00E2006A"/>
    <w:rsid w:val="00E2021B"/>
    <w:rsid w:val="00E202EC"/>
    <w:rsid w:val="00E20671"/>
    <w:rsid w:val="00E207B7"/>
    <w:rsid w:val="00E20934"/>
    <w:rsid w:val="00E20A88"/>
    <w:rsid w:val="00E20D1B"/>
    <w:rsid w:val="00E20E95"/>
    <w:rsid w:val="00E2109A"/>
    <w:rsid w:val="00E21157"/>
    <w:rsid w:val="00E2182F"/>
    <w:rsid w:val="00E21996"/>
    <w:rsid w:val="00E21AEC"/>
    <w:rsid w:val="00E21D92"/>
    <w:rsid w:val="00E21DF6"/>
    <w:rsid w:val="00E2233A"/>
    <w:rsid w:val="00E22916"/>
    <w:rsid w:val="00E2316B"/>
    <w:rsid w:val="00E231FE"/>
    <w:rsid w:val="00E232A7"/>
    <w:rsid w:val="00E23652"/>
    <w:rsid w:val="00E2372F"/>
    <w:rsid w:val="00E23849"/>
    <w:rsid w:val="00E23A24"/>
    <w:rsid w:val="00E23D24"/>
    <w:rsid w:val="00E2418D"/>
    <w:rsid w:val="00E241EA"/>
    <w:rsid w:val="00E2449A"/>
    <w:rsid w:val="00E24654"/>
    <w:rsid w:val="00E248A6"/>
    <w:rsid w:val="00E24AD2"/>
    <w:rsid w:val="00E24BEB"/>
    <w:rsid w:val="00E24C2C"/>
    <w:rsid w:val="00E250D7"/>
    <w:rsid w:val="00E25171"/>
    <w:rsid w:val="00E254D5"/>
    <w:rsid w:val="00E257FA"/>
    <w:rsid w:val="00E25875"/>
    <w:rsid w:val="00E25E14"/>
    <w:rsid w:val="00E25E75"/>
    <w:rsid w:val="00E25F5D"/>
    <w:rsid w:val="00E25F70"/>
    <w:rsid w:val="00E2665D"/>
    <w:rsid w:val="00E26AF9"/>
    <w:rsid w:val="00E26D72"/>
    <w:rsid w:val="00E271D6"/>
    <w:rsid w:val="00E27461"/>
    <w:rsid w:val="00E275F7"/>
    <w:rsid w:val="00E27A07"/>
    <w:rsid w:val="00E27A72"/>
    <w:rsid w:val="00E27C2B"/>
    <w:rsid w:val="00E30279"/>
    <w:rsid w:val="00E302B1"/>
    <w:rsid w:val="00E3093E"/>
    <w:rsid w:val="00E31040"/>
    <w:rsid w:val="00E310D0"/>
    <w:rsid w:val="00E3116C"/>
    <w:rsid w:val="00E311CE"/>
    <w:rsid w:val="00E31360"/>
    <w:rsid w:val="00E31464"/>
    <w:rsid w:val="00E31661"/>
    <w:rsid w:val="00E3177C"/>
    <w:rsid w:val="00E318EF"/>
    <w:rsid w:val="00E3195C"/>
    <w:rsid w:val="00E3195D"/>
    <w:rsid w:val="00E319A1"/>
    <w:rsid w:val="00E31DD9"/>
    <w:rsid w:val="00E31F2A"/>
    <w:rsid w:val="00E3202B"/>
    <w:rsid w:val="00E32251"/>
    <w:rsid w:val="00E327FE"/>
    <w:rsid w:val="00E32A18"/>
    <w:rsid w:val="00E32B07"/>
    <w:rsid w:val="00E32C3A"/>
    <w:rsid w:val="00E333AE"/>
    <w:rsid w:val="00E3359F"/>
    <w:rsid w:val="00E33A90"/>
    <w:rsid w:val="00E33CC3"/>
    <w:rsid w:val="00E340BB"/>
    <w:rsid w:val="00E34410"/>
    <w:rsid w:val="00E347A5"/>
    <w:rsid w:val="00E349B1"/>
    <w:rsid w:val="00E349D1"/>
    <w:rsid w:val="00E34A3A"/>
    <w:rsid w:val="00E34A84"/>
    <w:rsid w:val="00E34AA3"/>
    <w:rsid w:val="00E34DB5"/>
    <w:rsid w:val="00E34E15"/>
    <w:rsid w:val="00E3531B"/>
    <w:rsid w:val="00E35321"/>
    <w:rsid w:val="00E35325"/>
    <w:rsid w:val="00E35581"/>
    <w:rsid w:val="00E3562E"/>
    <w:rsid w:val="00E35BE9"/>
    <w:rsid w:val="00E35DCC"/>
    <w:rsid w:val="00E35E25"/>
    <w:rsid w:val="00E35E4B"/>
    <w:rsid w:val="00E36227"/>
    <w:rsid w:val="00E362A5"/>
    <w:rsid w:val="00E36349"/>
    <w:rsid w:val="00E367E2"/>
    <w:rsid w:val="00E36887"/>
    <w:rsid w:val="00E368CC"/>
    <w:rsid w:val="00E36AB7"/>
    <w:rsid w:val="00E36D41"/>
    <w:rsid w:val="00E36D8E"/>
    <w:rsid w:val="00E36E38"/>
    <w:rsid w:val="00E3713C"/>
    <w:rsid w:val="00E371A1"/>
    <w:rsid w:val="00E37235"/>
    <w:rsid w:val="00E37360"/>
    <w:rsid w:val="00E37424"/>
    <w:rsid w:val="00E37992"/>
    <w:rsid w:val="00E37C29"/>
    <w:rsid w:val="00E37CB8"/>
    <w:rsid w:val="00E37CD2"/>
    <w:rsid w:val="00E37D15"/>
    <w:rsid w:val="00E37D71"/>
    <w:rsid w:val="00E37FA3"/>
    <w:rsid w:val="00E40062"/>
    <w:rsid w:val="00E40187"/>
    <w:rsid w:val="00E402D9"/>
    <w:rsid w:val="00E4073F"/>
    <w:rsid w:val="00E40A58"/>
    <w:rsid w:val="00E40C40"/>
    <w:rsid w:val="00E41478"/>
    <w:rsid w:val="00E416C3"/>
    <w:rsid w:val="00E417B6"/>
    <w:rsid w:val="00E42200"/>
    <w:rsid w:val="00E4240E"/>
    <w:rsid w:val="00E42511"/>
    <w:rsid w:val="00E4254B"/>
    <w:rsid w:val="00E42660"/>
    <w:rsid w:val="00E42A1C"/>
    <w:rsid w:val="00E42C1A"/>
    <w:rsid w:val="00E42EC8"/>
    <w:rsid w:val="00E42EFA"/>
    <w:rsid w:val="00E43095"/>
    <w:rsid w:val="00E430AD"/>
    <w:rsid w:val="00E43290"/>
    <w:rsid w:val="00E43403"/>
    <w:rsid w:val="00E439C3"/>
    <w:rsid w:val="00E43D81"/>
    <w:rsid w:val="00E43F6E"/>
    <w:rsid w:val="00E4440A"/>
    <w:rsid w:val="00E4441C"/>
    <w:rsid w:val="00E447A0"/>
    <w:rsid w:val="00E448B6"/>
    <w:rsid w:val="00E4496B"/>
    <w:rsid w:val="00E44DA8"/>
    <w:rsid w:val="00E44DB4"/>
    <w:rsid w:val="00E44E0E"/>
    <w:rsid w:val="00E4536C"/>
    <w:rsid w:val="00E45394"/>
    <w:rsid w:val="00E4542C"/>
    <w:rsid w:val="00E4551C"/>
    <w:rsid w:val="00E45593"/>
    <w:rsid w:val="00E45A24"/>
    <w:rsid w:val="00E45CD7"/>
    <w:rsid w:val="00E45D0D"/>
    <w:rsid w:val="00E45EA1"/>
    <w:rsid w:val="00E4628F"/>
    <w:rsid w:val="00E46371"/>
    <w:rsid w:val="00E46553"/>
    <w:rsid w:val="00E4667B"/>
    <w:rsid w:val="00E4677A"/>
    <w:rsid w:val="00E467FE"/>
    <w:rsid w:val="00E46C1F"/>
    <w:rsid w:val="00E46CF1"/>
    <w:rsid w:val="00E4720E"/>
    <w:rsid w:val="00E47EF4"/>
    <w:rsid w:val="00E501CB"/>
    <w:rsid w:val="00E503DE"/>
    <w:rsid w:val="00E5054F"/>
    <w:rsid w:val="00E50754"/>
    <w:rsid w:val="00E508EE"/>
    <w:rsid w:val="00E5096E"/>
    <w:rsid w:val="00E50CB9"/>
    <w:rsid w:val="00E50CD8"/>
    <w:rsid w:val="00E5122F"/>
    <w:rsid w:val="00E512F2"/>
    <w:rsid w:val="00E518B3"/>
    <w:rsid w:val="00E519BC"/>
    <w:rsid w:val="00E51D8E"/>
    <w:rsid w:val="00E51DA0"/>
    <w:rsid w:val="00E51DE0"/>
    <w:rsid w:val="00E51E7B"/>
    <w:rsid w:val="00E5205A"/>
    <w:rsid w:val="00E5271F"/>
    <w:rsid w:val="00E52D01"/>
    <w:rsid w:val="00E52E00"/>
    <w:rsid w:val="00E52E1D"/>
    <w:rsid w:val="00E52EEC"/>
    <w:rsid w:val="00E53478"/>
    <w:rsid w:val="00E535B3"/>
    <w:rsid w:val="00E53711"/>
    <w:rsid w:val="00E53763"/>
    <w:rsid w:val="00E5397E"/>
    <w:rsid w:val="00E53F95"/>
    <w:rsid w:val="00E54473"/>
    <w:rsid w:val="00E544A6"/>
    <w:rsid w:val="00E54560"/>
    <w:rsid w:val="00E54BE1"/>
    <w:rsid w:val="00E54CA3"/>
    <w:rsid w:val="00E54D16"/>
    <w:rsid w:val="00E5508A"/>
    <w:rsid w:val="00E550A8"/>
    <w:rsid w:val="00E550F2"/>
    <w:rsid w:val="00E55176"/>
    <w:rsid w:val="00E552C3"/>
    <w:rsid w:val="00E55AE9"/>
    <w:rsid w:val="00E55B6C"/>
    <w:rsid w:val="00E55B70"/>
    <w:rsid w:val="00E55D17"/>
    <w:rsid w:val="00E56059"/>
    <w:rsid w:val="00E56218"/>
    <w:rsid w:val="00E56266"/>
    <w:rsid w:val="00E563CE"/>
    <w:rsid w:val="00E564E9"/>
    <w:rsid w:val="00E565D1"/>
    <w:rsid w:val="00E56654"/>
    <w:rsid w:val="00E577FD"/>
    <w:rsid w:val="00E57B78"/>
    <w:rsid w:val="00E57BAE"/>
    <w:rsid w:val="00E57BD4"/>
    <w:rsid w:val="00E57CEE"/>
    <w:rsid w:val="00E57D02"/>
    <w:rsid w:val="00E57D3F"/>
    <w:rsid w:val="00E57EAE"/>
    <w:rsid w:val="00E57FCD"/>
    <w:rsid w:val="00E6013E"/>
    <w:rsid w:val="00E602D1"/>
    <w:rsid w:val="00E60560"/>
    <w:rsid w:val="00E6079A"/>
    <w:rsid w:val="00E6095A"/>
    <w:rsid w:val="00E60973"/>
    <w:rsid w:val="00E60B5D"/>
    <w:rsid w:val="00E60C09"/>
    <w:rsid w:val="00E60C45"/>
    <w:rsid w:val="00E60D95"/>
    <w:rsid w:val="00E60DEF"/>
    <w:rsid w:val="00E60FF6"/>
    <w:rsid w:val="00E61426"/>
    <w:rsid w:val="00E617F3"/>
    <w:rsid w:val="00E61878"/>
    <w:rsid w:val="00E61AD5"/>
    <w:rsid w:val="00E61B47"/>
    <w:rsid w:val="00E61C42"/>
    <w:rsid w:val="00E61E7B"/>
    <w:rsid w:val="00E61F0F"/>
    <w:rsid w:val="00E625CA"/>
    <w:rsid w:val="00E62683"/>
    <w:rsid w:val="00E62890"/>
    <w:rsid w:val="00E62A46"/>
    <w:rsid w:val="00E63399"/>
    <w:rsid w:val="00E63706"/>
    <w:rsid w:val="00E63C84"/>
    <w:rsid w:val="00E63E17"/>
    <w:rsid w:val="00E63E41"/>
    <w:rsid w:val="00E640EC"/>
    <w:rsid w:val="00E643A4"/>
    <w:rsid w:val="00E6475C"/>
    <w:rsid w:val="00E64985"/>
    <w:rsid w:val="00E64AC6"/>
    <w:rsid w:val="00E6523B"/>
    <w:rsid w:val="00E6554E"/>
    <w:rsid w:val="00E655D3"/>
    <w:rsid w:val="00E656D4"/>
    <w:rsid w:val="00E65738"/>
    <w:rsid w:val="00E658A9"/>
    <w:rsid w:val="00E65CB6"/>
    <w:rsid w:val="00E6633F"/>
    <w:rsid w:val="00E66487"/>
    <w:rsid w:val="00E665FB"/>
    <w:rsid w:val="00E66608"/>
    <w:rsid w:val="00E668FD"/>
    <w:rsid w:val="00E67615"/>
    <w:rsid w:val="00E677B0"/>
    <w:rsid w:val="00E677F7"/>
    <w:rsid w:val="00E67AC7"/>
    <w:rsid w:val="00E67B08"/>
    <w:rsid w:val="00E67CCA"/>
    <w:rsid w:val="00E67E04"/>
    <w:rsid w:val="00E67F83"/>
    <w:rsid w:val="00E70039"/>
    <w:rsid w:val="00E7009B"/>
    <w:rsid w:val="00E70923"/>
    <w:rsid w:val="00E70F0D"/>
    <w:rsid w:val="00E70F94"/>
    <w:rsid w:val="00E71002"/>
    <w:rsid w:val="00E713FC"/>
    <w:rsid w:val="00E7149C"/>
    <w:rsid w:val="00E7168F"/>
    <w:rsid w:val="00E7175B"/>
    <w:rsid w:val="00E71D55"/>
    <w:rsid w:val="00E72321"/>
    <w:rsid w:val="00E72580"/>
    <w:rsid w:val="00E7288F"/>
    <w:rsid w:val="00E72CFC"/>
    <w:rsid w:val="00E73538"/>
    <w:rsid w:val="00E737C2"/>
    <w:rsid w:val="00E737C6"/>
    <w:rsid w:val="00E737E6"/>
    <w:rsid w:val="00E7381F"/>
    <w:rsid w:val="00E739A7"/>
    <w:rsid w:val="00E73BE8"/>
    <w:rsid w:val="00E73D08"/>
    <w:rsid w:val="00E73DF8"/>
    <w:rsid w:val="00E73FED"/>
    <w:rsid w:val="00E74079"/>
    <w:rsid w:val="00E740B6"/>
    <w:rsid w:val="00E7414F"/>
    <w:rsid w:val="00E748A0"/>
    <w:rsid w:val="00E7492F"/>
    <w:rsid w:val="00E74AB3"/>
    <w:rsid w:val="00E74C99"/>
    <w:rsid w:val="00E74D7C"/>
    <w:rsid w:val="00E75028"/>
    <w:rsid w:val="00E750AE"/>
    <w:rsid w:val="00E753AA"/>
    <w:rsid w:val="00E755CD"/>
    <w:rsid w:val="00E7566C"/>
    <w:rsid w:val="00E75ACA"/>
    <w:rsid w:val="00E75CDF"/>
    <w:rsid w:val="00E75FB4"/>
    <w:rsid w:val="00E7601F"/>
    <w:rsid w:val="00E762C2"/>
    <w:rsid w:val="00E76339"/>
    <w:rsid w:val="00E76816"/>
    <w:rsid w:val="00E76BA4"/>
    <w:rsid w:val="00E76E13"/>
    <w:rsid w:val="00E77307"/>
    <w:rsid w:val="00E7737F"/>
    <w:rsid w:val="00E773C1"/>
    <w:rsid w:val="00E773E5"/>
    <w:rsid w:val="00E77415"/>
    <w:rsid w:val="00E77741"/>
    <w:rsid w:val="00E77900"/>
    <w:rsid w:val="00E77941"/>
    <w:rsid w:val="00E77DA2"/>
    <w:rsid w:val="00E8033D"/>
    <w:rsid w:val="00E80418"/>
    <w:rsid w:val="00E805DB"/>
    <w:rsid w:val="00E808B1"/>
    <w:rsid w:val="00E809FE"/>
    <w:rsid w:val="00E80A02"/>
    <w:rsid w:val="00E80D8D"/>
    <w:rsid w:val="00E81287"/>
    <w:rsid w:val="00E81580"/>
    <w:rsid w:val="00E81863"/>
    <w:rsid w:val="00E81A6E"/>
    <w:rsid w:val="00E81DA3"/>
    <w:rsid w:val="00E81E15"/>
    <w:rsid w:val="00E81EBE"/>
    <w:rsid w:val="00E82098"/>
    <w:rsid w:val="00E820BE"/>
    <w:rsid w:val="00E8256E"/>
    <w:rsid w:val="00E8267F"/>
    <w:rsid w:val="00E826C3"/>
    <w:rsid w:val="00E82A5C"/>
    <w:rsid w:val="00E82B2D"/>
    <w:rsid w:val="00E82B57"/>
    <w:rsid w:val="00E82EA8"/>
    <w:rsid w:val="00E82F16"/>
    <w:rsid w:val="00E8335A"/>
    <w:rsid w:val="00E83475"/>
    <w:rsid w:val="00E83530"/>
    <w:rsid w:val="00E83576"/>
    <w:rsid w:val="00E83813"/>
    <w:rsid w:val="00E838D4"/>
    <w:rsid w:val="00E83990"/>
    <w:rsid w:val="00E839EE"/>
    <w:rsid w:val="00E83E2B"/>
    <w:rsid w:val="00E8425D"/>
    <w:rsid w:val="00E8494B"/>
    <w:rsid w:val="00E84A04"/>
    <w:rsid w:val="00E84BA5"/>
    <w:rsid w:val="00E8562E"/>
    <w:rsid w:val="00E85897"/>
    <w:rsid w:val="00E858E1"/>
    <w:rsid w:val="00E85E99"/>
    <w:rsid w:val="00E861AD"/>
    <w:rsid w:val="00E86284"/>
    <w:rsid w:val="00E862A0"/>
    <w:rsid w:val="00E86902"/>
    <w:rsid w:val="00E87322"/>
    <w:rsid w:val="00E876AA"/>
    <w:rsid w:val="00E87CDC"/>
    <w:rsid w:val="00E87EA4"/>
    <w:rsid w:val="00E90238"/>
    <w:rsid w:val="00E90564"/>
    <w:rsid w:val="00E90920"/>
    <w:rsid w:val="00E90B40"/>
    <w:rsid w:val="00E90BE5"/>
    <w:rsid w:val="00E90FF5"/>
    <w:rsid w:val="00E91092"/>
    <w:rsid w:val="00E913FC"/>
    <w:rsid w:val="00E9151A"/>
    <w:rsid w:val="00E9164C"/>
    <w:rsid w:val="00E91672"/>
    <w:rsid w:val="00E91978"/>
    <w:rsid w:val="00E91A0A"/>
    <w:rsid w:val="00E91A55"/>
    <w:rsid w:val="00E9231D"/>
    <w:rsid w:val="00E924A4"/>
    <w:rsid w:val="00E92549"/>
    <w:rsid w:val="00E928CD"/>
    <w:rsid w:val="00E929F3"/>
    <w:rsid w:val="00E92B73"/>
    <w:rsid w:val="00E92CCE"/>
    <w:rsid w:val="00E92D8F"/>
    <w:rsid w:val="00E92DC0"/>
    <w:rsid w:val="00E935E5"/>
    <w:rsid w:val="00E93991"/>
    <w:rsid w:val="00E939F9"/>
    <w:rsid w:val="00E942A2"/>
    <w:rsid w:val="00E94887"/>
    <w:rsid w:val="00E948B6"/>
    <w:rsid w:val="00E94958"/>
    <w:rsid w:val="00E94A20"/>
    <w:rsid w:val="00E94DD5"/>
    <w:rsid w:val="00E9549A"/>
    <w:rsid w:val="00E95745"/>
    <w:rsid w:val="00E9576C"/>
    <w:rsid w:val="00E95BB5"/>
    <w:rsid w:val="00E95C68"/>
    <w:rsid w:val="00E96195"/>
    <w:rsid w:val="00E964A6"/>
    <w:rsid w:val="00E965D6"/>
    <w:rsid w:val="00E96602"/>
    <w:rsid w:val="00E9660E"/>
    <w:rsid w:val="00E96B1C"/>
    <w:rsid w:val="00E97013"/>
    <w:rsid w:val="00E97096"/>
    <w:rsid w:val="00E97341"/>
    <w:rsid w:val="00E974EB"/>
    <w:rsid w:val="00E97A38"/>
    <w:rsid w:val="00E97A99"/>
    <w:rsid w:val="00E97E9A"/>
    <w:rsid w:val="00EA0439"/>
    <w:rsid w:val="00EA05A9"/>
    <w:rsid w:val="00EA07A0"/>
    <w:rsid w:val="00EA0C86"/>
    <w:rsid w:val="00EA0EC7"/>
    <w:rsid w:val="00EA0FEF"/>
    <w:rsid w:val="00EA100C"/>
    <w:rsid w:val="00EA1019"/>
    <w:rsid w:val="00EA10DC"/>
    <w:rsid w:val="00EA189F"/>
    <w:rsid w:val="00EA1B33"/>
    <w:rsid w:val="00EA1BAF"/>
    <w:rsid w:val="00EA1F53"/>
    <w:rsid w:val="00EA239E"/>
    <w:rsid w:val="00EA2AD8"/>
    <w:rsid w:val="00EA3272"/>
    <w:rsid w:val="00EA335B"/>
    <w:rsid w:val="00EA35FD"/>
    <w:rsid w:val="00EA380D"/>
    <w:rsid w:val="00EA39BB"/>
    <w:rsid w:val="00EA3C23"/>
    <w:rsid w:val="00EA3F4C"/>
    <w:rsid w:val="00EA42FD"/>
    <w:rsid w:val="00EA436E"/>
    <w:rsid w:val="00EA4AC6"/>
    <w:rsid w:val="00EA4C5A"/>
    <w:rsid w:val="00EA4C75"/>
    <w:rsid w:val="00EA4D9E"/>
    <w:rsid w:val="00EA4EE2"/>
    <w:rsid w:val="00EA559E"/>
    <w:rsid w:val="00EA56C8"/>
    <w:rsid w:val="00EA5723"/>
    <w:rsid w:val="00EA5849"/>
    <w:rsid w:val="00EA58FC"/>
    <w:rsid w:val="00EA60A0"/>
    <w:rsid w:val="00EA6130"/>
    <w:rsid w:val="00EA6318"/>
    <w:rsid w:val="00EA640F"/>
    <w:rsid w:val="00EA64FD"/>
    <w:rsid w:val="00EA678B"/>
    <w:rsid w:val="00EA6950"/>
    <w:rsid w:val="00EA6ACA"/>
    <w:rsid w:val="00EA7368"/>
    <w:rsid w:val="00EA7370"/>
    <w:rsid w:val="00EA778D"/>
    <w:rsid w:val="00EA77D2"/>
    <w:rsid w:val="00EA7A8F"/>
    <w:rsid w:val="00EA7D38"/>
    <w:rsid w:val="00EA7DF8"/>
    <w:rsid w:val="00EA7F00"/>
    <w:rsid w:val="00EA7FBC"/>
    <w:rsid w:val="00EB036E"/>
    <w:rsid w:val="00EB0637"/>
    <w:rsid w:val="00EB0CCB"/>
    <w:rsid w:val="00EB1580"/>
    <w:rsid w:val="00EB163B"/>
    <w:rsid w:val="00EB19FA"/>
    <w:rsid w:val="00EB1CDF"/>
    <w:rsid w:val="00EB1D68"/>
    <w:rsid w:val="00EB1E3F"/>
    <w:rsid w:val="00EB1FF5"/>
    <w:rsid w:val="00EB21A8"/>
    <w:rsid w:val="00EB224C"/>
    <w:rsid w:val="00EB2549"/>
    <w:rsid w:val="00EB25B0"/>
    <w:rsid w:val="00EB25C4"/>
    <w:rsid w:val="00EB27F3"/>
    <w:rsid w:val="00EB2830"/>
    <w:rsid w:val="00EB2FDB"/>
    <w:rsid w:val="00EB3122"/>
    <w:rsid w:val="00EB32B8"/>
    <w:rsid w:val="00EB345D"/>
    <w:rsid w:val="00EB35C6"/>
    <w:rsid w:val="00EB3910"/>
    <w:rsid w:val="00EB396A"/>
    <w:rsid w:val="00EB3E94"/>
    <w:rsid w:val="00EB40A6"/>
    <w:rsid w:val="00EB4127"/>
    <w:rsid w:val="00EB440E"/>
    <w:rsid w:val="00EB44F9"/>
    <w:rsid w:val="00EB47BF"/>
    <w:rsid w:val="00EB4832"/>
    <w:rsid w:val="00EB4CEB"/>
    <w:rsid w:val="00EB4E0F"/>
    <w:rsid w:val="00EB50BA"/>
    <w:rsid w:val="00EB50D9"/>
    <w:rsid w:val="00EB522B"/>
    <w:rsid w:val="00EB5312"/>
    <w:rsid w:val="00EB53E4"/>
    <w:rsid w:val="00EB567A"/>
    <w:rsid w:val="00EB5E64"/>
    <w:rsid w:val="00EB5EA7"/>
    <w:rsid w:val="00EB60CA"/>
    <w:rsid w:val="00EB620B"/>
    <w:rsid w:val="00EB6519"/>
    <w:rsid w:val="00EB684A"/>
    <w:rsid w:val="00EB6BA2"/>
    <w:rsid w:val="00EB6CAA"/>
    <w:rsid w:val="00EB6CF9"/>
    <w:rsid w:val="00EB7000"/>
    <w:rsid w:val="00EB7095"/>
    <w:rsid w:val="00EB71FC"/>
    <w:rsid w:val="00EB7A1A"/>
    <w:rsid w:val="00EB7B18"/>
    <w:rsid w:val="00EB7DAA"/>
    <w:rsid w:val="00EC00A1"/>
    <w:rsid w:val="00EC03B8"/>
    <w:rsid w:val="00EC063C"/>
    <w:rsid w:val="00EC079C"/>
    <w:rsid w:val="00EC07C9"/>
    <w:rsid w:val="00EC0818"/>
    <w:rsid w:val="00EC08C2"/>
    <w:rsid w:val="00EC09C3"/>
    <w:rsid w:val="00EC09CC"/>
    <w:rsid w:val="00EC0B56"/>
    <w:rsid w:val="00EC0E27"/>
    <w:rsid w:val="00EC0FE4"/>
    <w:rsid w:val="00EC1055"/>
    <w:rsid w:val="00EC12F5"/>
    <w:rsid w:val="00EC1658"/>
    <w:rsid w:val="00EC16BA"/>
    <w:rsid w:val="00EC1719"/>
    <w:rsid w:val="00EC19CB"/>
    <w:rsid w:val="00EC1C73"/>
    <w:rsid w:val="00EC1CB0"/>
    <w:rsid w:val="00EC1F88"/>
    <w:rsid w:val="00EC2477"/>
    <w:rsid w:val="00EC253C"/>
    <w:rsid w:val="00EC2610"/>
    <w:rsid w:val="00EC2646"/>
    <w:rsid w:val="00EC267D"/>
    <w:rsid w:val="00EC282E"/>
    <w:rsid w:val="00EC2AFB"/>
    <w:rsid w:val="00EC2C83"/>
    <w:rsid w:val="00EC3182"/>
    <w:rsid w:val="00EC321E"/>
    <w:rsid w:val="00EC38AD"/>
    <w:rsid w:val="00EC3C8C"/>
    <w:rsid w:val="00EC3F10"/>
    <w:rsid w:val="00EC3FF2"/>
    <w:rsid w:val="00EC42A8"/>
    <w:rsid w:val="00EC4372"/>
    <w:rsid w:val="00EC4475"/>
    <w:rsid w:val="00EC474D"/>
    <w:rsid w:val="00EC4A48"/>
    <w:rsid w:val="00EC4B5C"/>
    <w:rsid w:val="00EC4E38"/>
    <w:rsid w:val="00EC4EEA"/>
    <w:rsid w:val="00EC4F8A"/>
    <w:rsid w:val="00EC51ED"/>
    <w:rsid w:val="00EC5587"/>
    <w:rsid w:val="00EC5A51"/>
    <w:rsid w:val="00EC5D7E"/>
    <w:rsid w:val="00EC5EEA"/>
    <w:rsid w:val="00EC67B7"/>
    <w:rsid w:val="00EC6C91"/>
    <w:rsid w:val="00EC7169"/>
    <w:rsid w:val="00EC7236"/>
    <w:rsid w:val="00EC76D0"/>
    <w:rsid w:val="00ED017F"/>
    <w:rsid w:val="00ED01F2"/>
    <w:rsid w:val="00ED0360"/>
    <w:rsid w:val="00ED04F1"/>
    <w:rsid w:val="00ED05C2"/>
    <w:rsid w:val="00ED09EC"/>
    <w:rsid w:val="00ED0B21"/>
    <w:rsid w:val="00ED0C9F"/>
    <w:rsid w:val="00ED0D7E"/>
    <w:rsid w:val="00ED1823"/>
    <w:rsid w:val="00ED1ACA"/>
    <w:rsid w:val="00ED1C45"/>
    <w:rsid w:val="00ED2450"/>
    <w:rsid w:val="00ED246B"/>
    <w:rsid w:val="00ED2D1C"/>
    <w:rsid w:val="00ED2DA6"/>
    <w:rsid w:val="00ED2E49"/>
    <w:rsid w:val="00ED33AE"/>
    <w:rsid w:val="00ED3717"/>
    <w:rsid w:val="00ED39EF"/>
    <w:rsid w:val="00ED3A1A"/>
    <w:rsid w:val="00ED3D34"/>
    <w:rsid w:val="00ED3DDF"/>
    <w:rsid w:val="00ED3E1C"/>
    <w:rsid w:val="00ED4098"/>
    <w:rsid w:val="00ED4119"/>
    <w:rsid w:val="00ED413D"/>
    <w:rsid w:val="00ED42C8"/>
    <w:rsid w:val="00ED4405"/>
    <w:rsid w:val="00ED44FE"/>
    <w:rsid w:val="00ED45B0"/>
    <w:rsid w:val="00ED5020"/>
    <w:rsid w:val="00ED5036"/>
    <w:rsid w:val="00ED5150"/>
    <w:rsid w:val="00ED637C"/>
    <w:rsid w:val="00ED65E4"/>
    <w:rsid w:val="00ED66D9"/>
    <w:rsid w:val="00ED670F"/>
    <w:rsid w:val="00ED6CBA"/>
    <w:rsid w:val="00ED6CD2"/>
    <w:rsid w:val="00ED6E08"/>
    <w:rsid w:val="00ED6FE6"/>
    <w:rsid w:val="00ED73B8"/>
    <w:rsid w:val="00ED74A6"/>
    <w:rsid w:val="00ED74CB"/>
    <w:rsid w:val="00ED7739"/>
    <w:rsid w:val="00ED7F06"/>
    <w:rsid w:val="00EE05EF"/>
    <w:rsid w:val="00EE0A8B"/>
    <w:rsid w:val="00EE0D36"/>
    <w:rsid w:val="00EE1109"/>
    <w:rsid w:val="00EE1194"/>
    <w:rsid w:val="00EE1214"/>
    <w:rsid w:val="00EE124D"/>
    <w:rsid w:val="00EE12CD"/>
    <w:rsid w:val="00EE12D0"/>
    <w:rsid w:val="00EE1309"/>
    <w:rsid w:val="00EE15C3"/>
    <w:rsid w:val="00EE15D7"/>
    <w:rsid w:val="00EE18B0"/>
    <w:rsid w:val="00EE194D"/>
    <w:rsid w:val="00EE1A7A"/>
    <w:rsid w:val="00EE1C87"/>
    <w:rsid w:val="00EE1E54"/>
    <w:rsid w:val="00EE2073"/>
    <w:rsid w:val="00EE2091"/>
    <w:rsid w:val="00EE22D3"/>
    <w:rsid w:val="00EE23F0"/>
    <w:rsid w:val="00EE260C"/>
    <w:rsid w:val="00EE27E0"/>
    <w:rsid w:val="00EE28B1"/>
    <w:rsid w:val="00EE2AD5"/>
    <w:rsid w:val="00EE2BE2"/>
    <w:rsid w:val="00EE3005"/>
    <w:rsid w:val="00EE3426"/>
    <w:rsid w:val="00EE3570"/>
    <w:rsid w:val="00EE36F2"/>
    <w:rsid w:val="00EE3C6D"/>
    <w:rsid w:val="00EE41BC"/>
    <w:rsid w:val="00EE4257"/>
    <w:rsid w:val="00EE4781"/>
    <w:rsid w:val="00EE48CA"/>
    <w:rsid w:val="00EE48DE"/>
    <w:rsid w:val="00EE5039"/>
    <w:rsid w:val="00EE530E"/>
    <w:rsid w:val="00EE5311"/>
    <w:rsid w:val="00EE53DA"/>
    <w:rsid w:val="00EE55A4"/>
    <w:rsid w:val="00EE5930"/>
    <w:rsid w:val="00EE6007"/>
    <w:rsid w:val="00EE6149"/>
    <w:rsid w:val="00EE650C"/>
    <w:rsid w:val="00EE6606"/>
    <w:rsid w:val="00EE684E"/>
    <w:rsid w:val="00EE6A7C"/>
    <w:rsid w:val="00EE6B6F"/>
    <w:rsid w:val="00EE6DAE"/>
    <w:rsid w:val="00EE6EE3"/>
    <w:rsid w:val="00EE70E7"/>
    <w:rsid w:val="00EE7292"/>
    <w:rsid w:val="00EE738E"/>
    <w:rsid w:val="00EE7801"/>
    <w:rsid w:val="00EE7DA2"/>
    <w:rsid w:val="00EF016D"/>
    <w:rsid w:val="00EF0378"/>
    <w:rsid w:val="00EF0457"/>
    <w:rsid w:val="00EF0553"/>
    <w:rsid w:val="00EF0687"/>
    <w:rsid w:val="00EF0BD3"/>
    <w:rsid w:val="00EF0C37"/>
    <w:rsid w:val="00EF0F89"/>
    <w:rsid w:val="00EF159F"/>
    <w:rsid w:val="00EF1C3C"/>
    <w:rsid w:val="00EF1F89"/>
    <w:rsid w:val="00EF2489"/>
    <w:rsid w:val="00EF267D"/>
    <w:rsid w:val="00EF27AC"/>
    <w:rsid w:val="00EF27D4"/>
    <w:rsid w:val="00EF286B"/>
    <w:rsid w:val="00EF2A55"/>
    <w:rsid w:val="00EF2C65"/>
    <w:rsid w:val="00EF2E7E"/>
    <w:rsid w:val="00EF3004"/>
    <w:rsid w:val="00EF30ED"/>
    <w:rsid w:val="00EF3462"/>
    <w:rsid w:val="00EF3B3C"/>
    <w:rsid w:val="00EF3DAD"/>
    <w:rsid w:val="00EF3DAE"/>
    <w:rsid w:val="00EF41F7"/>
    <w:rsid w:val="00EF4266"/>
    <w:rsid w:val="00EF450A"/>
    <w:rsid w:val="00EF48E9"/>
    <w:rsid w:val="00EF4A6A"/>
    <w:rsid w:val="00EF51C4"/>
    <w:rsid w:val="00EF54AD"/>
    <w:rsid w:val="00EF560B"/>
    <w:rsid w:val="00EF5A50"/>
    <w:rsid w:val="00EF5D9D"/>
    <w:rsid w:val="00EF63F9"/>
    <w:rsid w:val="00EF64B9"/>
    <w:rsid w:val="00EF655A"/>
    <w:rsid w:val="00EF65FA"/>
    <w:rsid w:val="00EF65FB"/>
    <w:rsid w:val="00EF67F2"/>
    <w:rsid w:val="00EF690F"/>
    <w:rsid w:val="00EF6D27"/>
    <w:rsid w:val="00EF6E82"/>
    <w:rsid w:val="00EF6EAA"/>
    <w:rsid w:val="00EF6FD8"/>
    <w:rsid w:val="00EF73FD"/>
    <w:rsid w:val="00EF7827"/>
    <w:rsid w:val="00EF7DEE"/>
    <w:rsid w:val="00EF7E14"/>
    <w:rsid w:val="00F001B9"/>
    <w:rsid w:val="00F00247"/>
    <w:rsid w:val="00F00318"/>
    <w:rsid w:val="00F00880"/>
    <w:rsid w:val="00F008CE"/>
    <w:rsid w:val="00F009B3"/>
    <w:rsid w:val="00F00B96"/>
    <w:rsid w:val="00F00D7D"/>
    <w:rsid w:val="00F017A8"/>
    <w:rsid w:val="00F01C57"/>
    <w:rsid w:val="00F01DE1"/>
    <w:rsid w:val="00F01EB6"/>
    <w:rsid w:val="00F02BF7"/>
    <w:rsid w:val="00F02F7A"/>
    <w:rsid w:val="00F0310D"/>
    <w:rsid w:val="00F03371"/>
    <w:rsid w:val="00F034E4"/>
    <w:rsid w:val="00F034EA"/>
    <w:rsid w:val="00F035F0"/>
    <w:rsid w:val="00F038F2"/>
    <w:rsid w:val="00F03A15"/>
    <w:rsid w:val="00F03A80"/>
    <w:rsid w:val="00F03D98"/>
    <w:rsid w:val="00F03E9B"/>
    <w:rsid w:val="00F03F9D"/>
    <w:rsid w:val="00F048D6"/>
    <w:rsid w:val="00F04CC6"/>
    <w:rsid w:val="00F04D39"/>
    <w:rsid w:val="00F05177"/>
    <w:rsid w:val="00F053CA"/>
    <w:rsid w:val="00F05506"/>
    <w:rsid w:val="00F0579A"/>
    <w:rsid w:val="00F05A22"/>
    <w:rsid w:val="00F05BC6"/>
    <w:rsid w:val="00F06272"/>
    <w:rsid w:val="00F06313"/>
    <w:rsid w:val="00F0655A"/>
    <w:rsid w:val="00F066A3"/>
    <w:rsid w:val="00F0676F"/>
    <w:rsid w:val="00F067AC"/>
    <w:rsid w:val="00F067EC"/>
    <w:rsid w:val="00F06908"/>
    <w:rsid w:val="00F069C9"/>
    <w:rsid w:val="00F06D17"/>
    <w:rsid w:val="00F06D8C"/>
    <w:rsid w:val="00F06EC3"/>
    <w:rsid w:val="00F06F7B"/>
    <w:rsid w:val="00F072D3"/>
    <w:rsid w:val="00F07422"/>
    <w:rsid w:val="00F0755B"/>
    <w:rsid w:val="00F0795A"/>
    <w:rsid w:val="00F07DFF"/>
    <w:rsid w:val="00F100F2"/>
    <w:rsid w:val="00F1018A"/>
    <w:rsid w:val="00F10251"/>
    <w:rsid w:val="00F1097C"/>
    <w:rsid w:val="00F10E49"/>
    <w:rsid w:val="00F10EFE"/>
    <w:rsid w:val="00F11007"/>
    <w:rsid w:val="00F11113"/>
    <w:rsid w:val="00F111CA"/>
    <w:rsid w:val="00F112FB"/>
    <w:rsid w:val="00F117F3"/>
    <w:rsid w:val="00F11827"/>
    <w:rsid w:val="00F11C73"/>
    <w:rsid w:val="00F11D55"/>
    <w:rsid w:val="00F12131"/>
    <w:rsid w:val="00F122B6"/>
    <w:rsid w:val="00F12506"/>
    <w:rsid w:val="00F12577"/>
    <w:rsid w:val="00F12DD9"/>
    <w:rsid w:val="00F12E1A"/>
    <w:rsid w:val="00F12F3C"/>
    <w:rsid w:val="00F1313C"/>
    <w:rsid w:val="00F131E8"/>
    <w:rsid w:val="00F132C4"/>
    <w:rsid w:val="00F13783"/>
    <w:rsid w:val="00F13836"/>
    <w:rsid w:val="00F13854"/>
    <w:rsid w:val="00F13CEF"/>
    <w:rsid w:val="00F1406B"/>
    <w:rsid w:val="00F14134"/>
    <w:rsid w:val="00F142AC"/>
    <w:rsid w:val="00F14427"/>
    <w:rsid w:val="00F1490E"/>
    <w:rsid w:val="00F15136"/>
    <w:rsid w:val="00F15607"/>
    <w:rsid w:val="00F159A4"/>
    <w:rsid w:val="00F159C2"/>
    <w:rsid w:val="00F15E85"/>
    <w:rsid w:val="00F15E87"/>
    <w:rsid w:val="00F15FE0"/>
    <w:rsid w:val="00F1607F"/>
    <w:rsid w:val="00F16290"/>
    <w:rsid w:val="00F1694B"/>
    <w:rsid w:val="00F16A60"/>
    <w:rsid w:val="00F16B36"/>
    <w:rsid w:val="00F16F32"/>
    <w:rsid w:val="00F1720F"/>
    <w:rsid w:val="00F17681"/>
    <w:rsid w:val="00F17CF4"/>
    <w:rsid w:val="00F17EFB"/>
    <w:rsid w:val="00F17F5A"/>
    <w:rsid w:val="00F17FC8"/>
    <w:rsid w:val="00F2045F"/>
    <w:rsid w:val="00F20898"/>
    <w:rsid w:val="00F20AA2"/>
    <w:rsid w:val="00F20B47"/>
    <w:rsid w:val="00F2116A"/>
    <w:rsid w:val="00F2124F"/>
    <w:rsid w:val="00F216A9"/>
    <w:rsid w:val="00F218D8"/>
    <w:rsid w:val="00F21A4B"/>
    <w:rsid w:val="00F21C3D"/>
    <w:rsid w:val="00F21DE6"/>
    <w:rsid w:val="00F21FA5"/>
    <w:rsid w:val="00F2209B"/>
    <w:rsid w:val="00F220A1"/>
    <w:rsid w:val="00F220B2"/>
    <w:rsid w:val="00F221EE"/>
    <w:rsid w:val="00F2221B"/>
    <w:rsid w:val="00F22611"/>
    <w:rsid w:val="00F22D18"/>
    <w:rsid w:val="00F22E14"/>
    <w:rsid w:val="00F2305B"/>
    <w:rsid w:val="00F231F4"/>
    <w:rsid w:val="00F23380"/>
    <w:rsid w:val="00F233CE"/>
    <w:rsid w:val="00F235C7"/>
    <w:rsid w:val="00F236C0"/>
    <w:rsid w:val="00F237D0"/>
    <w:rsid w:val="00F23C2B"/>
    <w:rsid w:val="00F23D2A"/>
    <w:rsid w:val="00F24187"/>
    <w:rsid w:val="00F241DD"/>
    <w:rsid w:val="00F2422A"/>
    <w:rsid w:val="00F2469B"/>
    <w:rsid w:val="00F249C2"/>
    <w:rsid w:val="00F24C88"/>
    <w:rsid w:val="00F24D31"/>
    <w:rsid w:val="00F24F8C"/>
    <w:rsid w:val="00F2505C"/>
    <w:rsid w:val="00F251DF"/>
    <w:rsid w:val="00F25207"/>
    <w:rsid w:val="00F259D8"/>
    <w:rsid w:val="00F25BF6"/>
    <w:rsid w:val="00F25EFF"/>
    <w:rsid w:val="00F26243"/>
    <w:rsid w:val="00F268CD"/>
    <w:rsid w:val="00F2691E"/>
    <w:rsid w:val="00F26CEE"/>
    <w:rsid w:val="00F26E11"/>
    <w:rsid w:val="00F26F5E"/>
    <w:rsid w:val="00F27824"/>
    <w:rsid w:val="00F27A55"/>
    <w:rsid w:val="00F27DE4"/>
    <w:rsid w:val="00F27E46"/>
    <w:rsid w:val="00F27EBB"/>
    <w:rsid w:val="00F30287"/>
    <w:rsid w:val="00F304F5"/>
    <w:rsid w:val="00F30774"/>
    <w:rsid w:val="00F30986"/>
    <w:rsid w:val="00F309DD"/>
    <w:rsid w:val="00F30A45"/>
    <w:rsid w:val="00F30ACF"/>
    <w:rsid w:val="00F30C8B"/>
    <w:rsid w:val="00F311D9"/>
    <w:rsid w:val="00F3132A"/>
    <w:rsid w:val="00F314F4"/>
    <w:rsid w:val="00F315D3"/>
    <w:rsid w:val="00F316EB"/>
    <w:rsid w:val="00F317D8"/>
    <w:rsid w:val="00F31962"/>
    <w:rsid w:val="00F31DF5"/>
    <w:rsid w:val="00F31F01"/>
    <w:rsid w:val="00F31F3C"/>
    <w:rsid w:val="00F320ED"/>
    <w:rsid w:val="00F322C2"/>
    <w:rsid w:val="00F324C0"/>
    <w:rsid w:val="00F325B7"/>
    <w:rsid w:val="00F3262A"/>
    <w:rsid w:val="00F3270B"/>
    <w:rsid w:val="00F327DF"/>
    <w:rsid w:val="00F329D6"/>
    <w:rsid w:val="00F32E3E"/>
    <w:rsid w:val="00F32E55"/>
    <w:rsid w:val="00F332F1"/>
    <w:rsid w:val="00F3336F"/>
    <w:rsid w:val="00F334E5"/>
    <w:rsid w:val="00F33C44"/>
    <w:rsid w:val="00F33E0B"/>
    <w:rsid w:val="00F33F2B"/>
    <w:rsid w:val="00F33F64"/>
    <w:rsid w:val="00F340DB"/>
    <w:rsid w:val="00F342B1"/>
    <w:rsid w:val="00F3494B"/>
    <w:rsid w:val="00F34AC5"/>
    <w:rsid w:val="00F34AF8"/>
    <w:rsid w:val="00F34C02"/>
    <w:rsid w:val="00F34E40"/>
    <w:rsid w:val="00F34FF3"/>
    <w:rsid w:val="00F353B2"/>
    <w:rsid w:val="00F355F2"/>
    <w:rsid w:val="00F35AEF"/>
    <w:rsid w:val="00F35EF9"/>
    <w:rsid w:val="00F35F0B"/>
    <w:rsid w:val="00F3626B"/>
    <w:rsid w:val="00F3665F"/>
    <w:rsid w:val="00F36B32"/>
    <w:rsid w:val="00F36DA5"/>
    <w:rsid w:val="00F37012"/>
    <w:rsid w:val="00F37A81"/>
    <w:rsid w:val="00F37AAD"/>
    <w:rsid w:val="00F37B35"/>
    <w:rsid w:val="00F37C60"/>
    <w:rsid w:val="00F37D7E"/>
    <w:rsid w:val="00F40065"/>
    <w:rsid w:val="00F404B0"/>
    <w:rsid w:val="00F404F0"/>
    <w:rsid w:val="00F40834"/>
    <w:rsid w:val="00F40A87"/>
    <w:rsid w:val="00F40B0F"/>
    <w:rsid w:val="00F40EF1"/>
    <w:rsid w:val="00F41293"/>
    <w:rsid w:val="00F413EE"/>
    <w:rsid w:val="00F414D0"/>
    <w:rsid w:val="00F41CA7"/>
    <w:rsid w:val="00F41EC5"/>
    <w:rsid w:val="00F422C4"/>
    <w:rsid w:val="00F424BE"/>
    <w:rsid w:val="00F42DED"/>
    <w:rsid w:val="00F42EFB"/>
    <w:rsid w:val="00F4312E"/>
    <w:rsid w:val="00F43441"/>
    <w:rsid w:val="00F4380B"/>
    <w:rsid w:val="00F43874"/>
    <w:rsid w:val="00F43A7B"/>
    <w:rsid w:val="00F43A88"/>
    <w:rsid w:val="00F44219"/>
    <w:rsid w:val="00F44705"/>
    <w:rsid w:val="00F44907"/>
    <w:rsid w:val="00F44B8D"/>
    <w:rsid w:val="00F44C6A"/>
    <w:rsid w:val="00F4500A"/>
    <w:rsid w:val="00F45125"/>
    <w:rsid w:val="00F4516C"/>
    <w:rsid w:val="00F45803"/>
    <w:rsid w:val="00F458E6"/>
    <w:rsid w:val="00F45CBF"/>
    <w:rsid w:val="00F45E66"/>
    <w:rsid w:val="00F45FCD"/>
    <w:rsid w:val="00F464C4"/>
    <w:rsid w:val="00F46507"/>
    <w:rsid w:val="00F46C81"/>
    <w:rsid w:val="00F47072"/>
    <w:rsid w:val="00F4723A"/>
    <w:rsid w:val="00F475D1"/>
    <w:rsid w:val="00F476E4"/>
    <w:rsid w:val="00F47963"/>
    <w:rsid w:val="00F47CCD"/>
    <w:rsid w:val="00F47E07"/>
    <w:rsid w:val="00F47EFC"/>
    <w:rsid w:val="00F501EA"/>
    <w:rsid w:val="00F505EF"/>
    <w:rsid w:val="00F506E1"/>
    <w:rsid w:val="00F50BE6"/>
    <w:rsid w:val="00F50D38"/>
    <w:rsid w:val="00F50D4D"/>
    <w:rsid w:val="00F5176C"/>
    <w:rsid w:val="00F51C15"/>
    <w:rsid w:val="00F51CBE"/>
    <w:rsid w:val="00F52443"/>
    <w:rsid w:val="00F52613"/>
    <w:rsid w:val="00F529AC"/>
    <w:rsid w:val="00F52B40"/>
    <w:rsid w:val="00F52C92"/>
    <w:rsid w:val="00F52D2F"/>
    <w:rsid w:val="00F52EE7"/>
    <w:rsid w:val="00F53037"/>
    <w:rsid w:val="00F53262"/>
    <w:rsid w:val="00F532A2"/>
    <w:rsid w:val="00F534A1"/>
    <w:rsid w:val="00F5351B"/>
    <w:rsid w:val="00F53C1F"/>
    <w:rsid w:val="00F53D1A"/>
    <w:rsid w:val="00F53D73"/>
    <w:rsid w:val="00F53DD7"/>
    <w:rsid w:val="00F53E66"/>
    <w:rsid w:val="00F54447"/>
    <w:rsid w:val="00F545E8"/>
    <w:rsid w:val="00F54AD8"/>
    <w:rsid w:val="00F54C4B"/>
    <w:rsid w:val="00F54C89"/>
    <w:rsid w:val="00F54ECA"/>
    <w:rsid w:val="00F554D1"/>
    <w:rsid w:val="00F5551D"/>
    <w:rsid w:val="00F5573C"/>
    <w:rsid w:val="00F5580E"/>
    <w:rsid w:val="00F55815"/>
    <w:rsid w:val="00F55962"/>
    <w:rsid w:val="00F55A00"/>
    <w:rsid w:val="00F55EB1"/>
    <w:rsid w:val="00F56313"/>
    <w:rsid w:val="00F56583"/>
    <w:rsid w:val="00F568DC"/>
    <w:rsid w:val="00F56BCD"/>
    <w:rsid w:val="00F56CC6"/>
    <w:rsid w:val="00F56EB2"/>
    <w:rsid w:val="00F56FDE"/>
    <w:rsid w:val="00F57236"/>
    <w:rsid w:val="00F57362"/>
    <w:rsid w:val="00F574C2"/>
    <w:rsid w:val="00F576A3"/>
    <w:rsid w:val="00F57D37"/>
    <w:rsid w:val="00F57F15"/>
    <w:rsid w:val="00F60335"/>
    <w:rsid w:val="00F605BE"/>
    <w:rsid w:val="00F60716"/>
    <w:rsid w:val="00F60841"/>
    <w:rsid w:val="00F60A15"/>
    <w:rsid w:val="00F60FDA"/>
    <w:rsid w:val="00F613B7"/>
    <w:rsid w:val="00F61A07"/>
    <w:rsid w:val="00F61BBC"/>
    <w:rsid w:val="00F61F73"/>
    <w:rsid w:val="00F62865"/>
    <w:rsid w:val="00F62BED"/>
    <w:rsid w:val="00F62C27"/>
    <w:rsid w:val="00F63235"/>
    <w:rsid w:val="00F63236"/>
    <w:rsid w:val="00F63A1C"/>
    <w:rsid w:val="00F63B40"/>
    <w:rsid w:val="00F63E32"/>
    <w:rsid w:val="00F64448"/>
    <w:rsid w:val="00F64606"/>
    <w:rsid w:val="00F64700"/>
    <w:rsid w:val="00F64D90"/>
    <w:rsid w:val="00F6504E"/>
    <w:rsid w:val="00F654D0"/>
    <w:rsid w:val="00F6594A"/>
    <w:rsid w:val="00F66488"/>
    <w:rsid w:val="00F6655E"/>
    <w:rsid w:val="00F667D3"/>
    <w:rsid w:val="00F66A20"/>
    <w:rsid w:val="00F66A57"/>
    <w:rsid w:val="00F66AA5"/>
    <w:rsid w:val="00F66E1B"/>
    <w:rsid w:val="00F66E36"/>
    <w:rsid w:val="00F66EF0"/>
    <w:rsid w:val="00F671E7"/>
    <w:rsid w:val="00F6726F"/>
    <w:rsid w:val="00F673CE"/>
    <w:rsid w:val="00F676C0"/>
    <w:rsid w:val="00F67787"/>
    <w:rsid w:val="00F67B68"/>
    <w:rsid w:val="00F67BFB"/>
    <w:rsid w:val="00F67C5B"/>
    <w:rsid w:val="00F67E64"/>
    <w:rsid w:val="00F7001F"/>
    <w:rsid w:val="00F706F9"/>
    <w:rsid w:val="00F70705"/>
    <w:rsid w:val="00F70D23"/>
    <w:rsid w:val="00F70F3D"/>
    <w:rsid w:val="00F710F8"/>
    <w:rsid w:val="00F71228"/>
    <w:rsid w:val="00F71454"/>
    <w:rsid w:val="00F71593"/>
    <w:rsid w:val="00F7175D"/>
    <w:rsid w:val="00F717AD"/>
    <w:rsid w:val="00F71819"/>
    <w:rsid w:val="00F719DA"/>
    <w:rsid w:val="00F71C3D"/>
    <w:rsid w:val="00F71E06"/>
    <w:rsid w:val="00F72067"/>
    <w:rsid w:val="00F72278"/>
    <w:rsid w:val="00F72E76"/>
    <w:rsid w:val="00F7314A"/>
    <w:rsid w:val="00F73433"/>
    <w:rsid w:val="00F738AE"/>
    <w:rsid w:val="00F73BA4"/>
    <w:rsid w:val="00F7415A"/>
    <w:rsid w:val="00F74276"/>
    <w:rsid w:val="00F74498"/>
    <w:rsid w:val="00F74823"/>
    <w:rsid w:val="00F7482A"/>
    <w:rsid w:val="00F7495D"/>
    <w:rsid w:val="00F749F9"/>
    <w:rsid w:val="00F74E1C"/>
    <w:rsid w:val="00F75315"/>
    <w:rsid w:val="00F753D6"/>
    <w:rsid w:val="00F756EE"/>
    <w:rsid w:val="00F75725"/>
    <w:rsid w:val="00F759BA"/>
    <w:rsid w:val="00F75BBA"/>
    <w:rsid w:val="00F75C9B"/>
    <w:rsid w:val="00F75DEF"/>
    <w:rsid w:val="00F764A2"/>
    <w:rsid w:val="00F76582"/>
    <w:rsid w:val="00F767CF"/>
    <w:rsid w:val="00F769A5"/>
    <w:rsid w:val="00F76BBA"/>
    <w:rsid w:val="00F76D8A"/>
    <w:rsid w:val="00F76EF0"/>
    <w:rsid w:val="00F7706C"/>
    <w:rsid w:val="00F77468"/>
    <w:rsid w:val="00F779B8"/>
    <w:rsid w:val="00F77B3B"/>
    <w:rsid w:val="00F77EC4"/>
    <w:rsid w:val="00F77EEA"/>
    <w:rsid w:val="00F8001F"/>
    <w:rsid w:val="00F802E1"/>
    <w:rsid w:val="00F803A8"/>
    <w:rsid w:val="00F80AC1"/>
    <w:rsid w:val="00F80F78"/>
    <w:rsid w:val="00F80FA8"/>
    <w:rsid w:val="00F817CF"/>
    <w:rsid w:val="00F81B47"/>
    <w:rsid w:val="00F81E48"/>
    <w:rsid w:val="00F81FFB"/>
    <w:rsid w:val="00F823E7"/>
    <w:rsid w:val="00F824ED"/>
    <w:rsid w:val="00F82A62"/>
    <w:rsid w:val="00F82A74"/>
    <w:rsid w:val="00F82A7D"/>
    <w:rsid w:val="00F82ABC"/>
    <w:rsid w:val="00F830DB"/>
    <w:rsid w:val="00F83208"/>
    <w:rsid w:val="00F834BF"/>
    <w:rsid w:val="00F839BF"/>
    <w:rsid w:val="00F83D98"/>
    <w:rsid w:val="00F83E8D"/>
    <w:rsid w:val="00F83EBE"/>
    <w:rsid w:val="00F83F01"/>
    <w:rsid w:val="00F84461"/>
    <w:rsid w:val="00F8467B"/>
    <w:rsid w:val="00F846FB"/>
    <w:rsid w:val="00F8485F"/>
    <w:rsid w:val="00F848CD"/>
    <w:rsid w:val="00F84976"/>
    <w:rsid w:val="00F84CB6"/>
    <w:rsid w:val="00F84F38"/>
    <w:rsid w:val="00F8508C"/>
    <w:rsid w:val="00F852E2"/>
    <w:rsid w:val="00F85AC6"/>
    <w:rsid w:val="00F85C97"/>
    <w:rsid w:val="00F85CCF"/>
    <w:rsid w:val="00F85F96"/>
    <w:rsid w:val="00F85F9A"/>
    <w:rsid w:val="00F8620C"/>
    <w:rsid w:val="00F866A2"/>
    <w:rsid w:val="00F867EC"/>
    <w:rsid w:val="00F86901"/>
    <w:rsid w:val="00F86A1C"/>
    <w:rsid w:val="00F86D1F"/>
    <w:rsid w:val="00F875DE"/>
    <w:rsid w:val="00F87D96"/>
    <w:rsid w:val="00F87F07"/>
    <w:rsid w:val="00F87F65"/>
    <w:rsid w:val="00F908DE"/>
    <w:rsid w:val="00F90BE7"/>
    <w:rsid w:val="00F90CF9"/>
    <w:rsid w:val="00F90E53"/>
    <w:rsid w:val="00F90E85"/>
    <w:rsid w:val="00F91068"/>
    <w:rsid w:val="00F9152A"/>
    <w:rsid w:val="00F91543"/>
    <w:rsid w:val="00F91A16"/>
    <w:rsid w:val="00F91A90"/>
    <w:rsid w:val="00F923CA"/>
    <w:rsid w:val="00F924F9"/>
    <w:rsid w:val="00F92A49"/>
    <w:rsid w:val="00F92BCC"/>
    <w:rsid w:val="00F92C01"/>
    <w:rsid w:val="00F92EA6"/>
    <w:rsid w:val="00F9301F"/>
    <w:rsid w:val="00F93075"/>
    <w:rsid w:val="00F939A1"/>
    <w:rsid w:val="00F93C1F"/>
    <w:rsid w:val="00F9405F"/>
    <w:rsid w:val="00F944AD"/>
    <w:rsid w:val="00F9473D"/>
    <w:rsid w:val="00F947FD"/>
    <w:rsid w:val="00F94C1E"/>
    <w:rsid w:val="00F94C7C"/>
    <w:rsid w:val="00F94D8B"/>
    <w:rsid w:val="00F94EC5"/>
    <w:rsid w:val="00F950E5"/>
    <w:rsid w:val="00F95425"/>
    <w:rsid w:val="00F956DD"/>
    <w:rsid w:val="00F95944"/>
    <w:rsid w:val="00F95BFA"/>
    <w:rsid w:val="00F95CEB"/>
    <w:rsid w:val="00F95CFF"/>
    <w:rsid w:val="00F95F30"/>
    <w:rsid w:val="00F9631D"/>
    <w:rsid w:val="00F963C7"/>
    <w:rsid w:val="00F96453"/>
    <w:rsid w:val="00F96462"/>
    <w:rsid w:val="00F9654B"/>
    <w:rsid w:val="00F96808"/>
    <w:rsid w:val="00F96815"/>
    <w:rsid w:val="00F96B94"/>
    <w:rsid w:val="00F96C7F"/>
    <w:rsid w:val="00F96CC8"/>
    <w:rsid w:val="00F9760A"/>
    <w:rsid w:val="00F978EF"/>
    <w:rsid w:val="00F97A73"/>
    <w:rsid w:val="00F97C26"/>
    <w:rsid w:val="00F97D1A"/>
    <w:rsid w:val="00F97E6C"/>
    <w:rsid w:val="00F97F16"/>
    <w:rsid w:val="00F97FF0"/>
    <w:rsid w:val="00FA01B7"/>
    <w:rsid w:val="00FA01E7"/>
    <w:rsid w:val="00FA03BF"/>
    <w:rsid w:val="00FA047C"/>
    <w:rsid w:val="00FA0700"/>
    <w:rsid w:val="00FA070C"/>
    <w:rsid w:val="00FA0A68"/>
    <w:rsid w:val="00FA1029"/>
    <w:rsid w:val="00FA105A"/>
    <w:rsid w:val="00FA114E"/>
    <w:rsid w:val="00FA11A0"/>
    <w:rsid w:val="00FA1373"/>
    <w:rsid w:val="00FA14F0"/>
    <w:rsid w:val="00FA1CEE"/>
    <w:rsid w:val="00FA1D04"/>
    <w:rsid w:val="00FA209E"/>
    <w:rsid w:val="00FA2398"/>
    <w:rsid w:val="00FA2464"/>
    <w:rsid w:val="00FA25C4"/>
    <w:rsid w:val="00FA2AE5"/>
    <w:rsid w:val="00FA2C19"/>
    <w:rsid w:val="00FA2F44"/>
    <w:rsid w:val="00FA30C5"/>
    <w:rsid w:val="00FA3160"/>
    <w:rsid w:val="00FA32C1"/>
    <w:rsid w:val="00FA3406"/>
    <w:rsid w:val="00FA3C29"/>
    <w:rsid w:val="00FA3CE2"/>
    <w:rsid w:val="00FA3DAD"/>
    <w:rsid w:val="00FA3F25"/>
    <w:rsid w:val="00FA4026"/>
    <w:rsid w:val="00FA4286"/>
    <w:rsid w:val="00FA453C"/>
    <w:rsid w:val="00FA46A5"/>
    <w:rsid w:val="00FA49A9"/>
    <w:rsid w:val="00FA4A37"/>
    <w:rsid w:val="00FA552D"/>
    <w:rsid w:val="00FA56DA"/>
    <w:rsid w:val="00FA5B5F"/>
    <w:rsid w:val="00FA5E5E"/>
    <w:rsid w:val="00FA5F5C"/>
    <w:rsid w:val="00FA625B"/>
    <w:rsid w:val="00FA634A"/>
    <w:rsid w:val="00FA645D"/>
    <w:rsid w:val="00FA65B9"/>
    <w:rsid w:val="00FA6616"/>
    <w:rsid w:val="00FA6692"/>
    <w:rsid w:val="00FA66A0"/>
    <w:rsid w:val="00FA6710"/>
    <w:rsid w:val="00FA69D3"/>
    <w:rsid w:val="00FA7384"/>
    <w:rsid w:val="00FA74C3"/>
    <w:rsid w:val="00FA7575"/>
    <w:rsid w:val="00FA75DF"/>
    <w:rsid w:val="00FA7FAA"/>
    <w:rsid w:val="00FB013D"/>
    <w:rsid w:val="00FB07EA"/>
    <w:rsid w:val="00FB0A5F"/>
    <w:rsid w:val="00FB0B16"/>
    <w:rsid w:val="00FB0CCF"/>
    <w:rsid w:val="00FB159D"/>
    <w:rsid w:val="00FB1664"/>
    <w:rsid w:val="00FB16E6"/>
    <w:rsid w:val="00FB183F"/>
    <w:rsid w:val="00FB1E0D"/>
    <w:rsid w:val="00FB1EBD"/>
    <w:rsid w:val="00FB1F7F"/>
    <w:rsid w:val="00FB1F85"/>
    <w:rsid w:val="00FB265B"/>
    <w:rsid w:val="00FB2AF6"/>
    <w:rsid w:val="00FB2B0E"/>
    <w:rsid w:val="00FB2F1D"/>
    <w:rsid w:val="00FB2FA6"/>
    <w:rsid w:val="00FB341A"/>
    <w:rsid w:val="00FB34A5"/>
    <w:rsid w:val="00FB35E5"/>
    <w:rsid w:val="00FB363D"/>
    <w:rsid w:val="00FB3886"/>
    <w:rsid w:val="00FB39C6"/>
    <w:rsid w:val="00FB3B4E"/>
    <w:rsid w:val="00FB3BCA"/>
    <w:rsid w:val="00FB4216"/>
    <w:rsid w:val="00FB4709"/>
    <w:rsid w:val="00FB532F"/>
    <w:rsid w:val="00FB5734"/>
    <w:rsid w:val="00FB5929"/>
    <w:rsid w:val="00FB5979"/>
    <w:rsid w:val="00FB5C85"/>
    <w:rsid w:val="00FB5E2B"/>
    <w:rsid w:val="00FB6345"/>
    <w:rsid w:val="00FB64CB"/>
    <w:rsid w:val="00FB697D"/>
    <w:rsid w:val="00FB7083"/>
    <w:rsid w:val="00FB7596"/>
    <w:rsid w:val="00FB7784"/>
    <w:rsid w:val="00FB79FE"/>
    <w:rsid w:val="00FB7B84"/>
    <w:rsid w:val="00FB7C4C"/>
    <w:rsid w:val="00FB7CDC"/>
    <w:rsid w:val="00FB7CF3"/>
    <w:rsid w:val="00FB7FA5"/>
    <w:rsid w:val="00FC0322"/>
    <w:rsid w:val="00FC0533"/>
    <w:rsid w:val="00FC064F"/>
    <w:rsid w:val="00FC109E"/>
    <w:rsid w:val="00FC12C9"/>
    <w:rsid w:val="00FC15CC"/>
    <w:rsid w:val="00FC16EA"/>
    <w:rsid w:val="00FC16FB"/>
    <w:rsid w:val="00FC17C7"/>
    <w:rsid w:val="00FC1A4C"/>
    <w:rsid w:val="00FC1ADC"/>
    <w:rsid w:val="00FC20D6"/>
    <w:rsid w:val="00FC231A"/>
    <w:rsid w:val="00FC234F"/>
    <w:rsid w:val="00FC278D"/>
    <w:rsid w:val="00FC2BF5"/>
    <w:rsid w:val="00FC2E72"/>
    <w:rsid w:val="00FC30CE"/>
    <w:rsid w:val="00FC316E"/>
    <w:rsid w:val="00FC32D0"/>
    <w:rsid w:val="00FC3398"/>
    <w:rsid w:val="00FC3487"/>
    <w:rsid w:val="00FC351C"/>
    <w:rsid w:val="00FC3637"/>
    <w:rsid w:val="00FC41AE"/>
    <w:rsid w:val="00FC4728"/>
    <w:rsid w:val="00FC4CFE"/>
    <w:rsid w:val="00FC5510"/>
    <w:rsid w:val="00FC5C0B"/>
    <w:rsid w:val="00FC5D25"/>
    <w:rsid w:val="00FC5EFC"/>
    <w:rsid w:val="00FC62E3"/>
    <w:rsid w:val="00FC63F1"/>
    <w:rsid w:val="00FC66BF"/>
    <w:rsid w:val="00FC6C56"/>
    <w:rsid w:val="00FC6D87"/>
    <w:rsid w:val="00FC6D97"/>
    <w:rsid w:val="00FC6EED"/>
    <w:rsid w:val="00FC75D6"/>
    <w:rsid w:val="00FC7670"/>
    <w:rsid w:val="00FC7678"/>
    <w:rsid w:val="00FC79F3"/>
    <w:rsid w:val="00FD00E8"/>
    <w:rsid w:val="00FD023B"/>
    <w:rsid w:val="00FD0397"/>
    <w:rsid w:val="00FD0537"/>
    <w:rsid w:val="00FD0826"/>
    <w:rsid w:val="00FD0BE6"/>
    <w:rsid w:val="00FD1324"/>
    <w:rsid w:val="00FD1379"/>
    <w:rsid w:val="00FD13B9"/>
    <w:rsid w:val="00FD161C"/>
    <w:rsid w:val="00FD1784"/>
    <w:rsid w:val="00FD1D5A"/>
    <w:rsid w:val="00FD1D90"/>
    <w:rsid w:val="00FD20BB"/>
    <w:rsid w:val="00FD2113"/>
    <w:rsid w:val="00FD2B5C"/>
    <w:rsid w:val="00FD2BEE"/>
    <w:rsid w:val="00FD2D75"/>
    <w:rsid w:val="00FD2ECF"/>
    <w:rsid w:val="00FD3194"/>
    <w:rsid w:val="00FD363E"/>
    <w:rsid w:val="00FD37A6"/>
    <w:rsid w:val="00FD3AD8"/>
    <w:rsid w:val="00FD3E05"/>
    <w:rsid w:val="00FD41E0"/>
    <w:rsid w:val="00FD42A5"/>
    <w:rsid w:val="00FD443E"/>
    <w:rsid w:val="00FD452D"/>
    <w:rsid w:val="00FD463A"/>
    <w:rsid w:val="00FD4877"/>
    <w:rsid w:val="00FD48BF"/>
    <w:rsid w:val="00FD4AB7"/>
    <w:rsid w:val="00FD4D4F"/>
    <w:rsid w:val="00FD4E22"/>
    <w:rsid w:val="00FD54A4"/>
    <w:rsid w:val="00FD583B"/>
    <w:rsid w:val="00FD596E"/>
    <w:rsid w:val="00FD5E3A"/>
    <w:rsid w:val="00FD60CA"/>
    <w:rsid w:val="00FD6120"/>
    <w:rsid w:val="00FD644D"/>
    <w:rsid w:val="00FD6AC0"/>
    <w:rsid w:val="00FD6FD4"/>
    <w:rsid w:val="00FD796A"/>
    <w:rsid w:val="00FD799C"/>
    <w:rsid w:val="00FD7A87"/>
    <w:rsid w:val="00FD7CF9"/>
    <w:rsid w:val="00FD7D3B"/>
    <w:rsid w:val="00FD7F63"/>
    <w:rsid w:val="00FE0095"/>
    <w:rsid w:val="00FE0185"/>
    <w:rsid w:val="00FE022E"/>
    <w:rsid w:val="00FE0449"/>
    <w:rsid w:val="00FE076D"/>
    <w:rsid w:val="00FE08FD"/>
    <w:rsid w:val="00FE0B7F"/>
    <w:rsid w:val="00FE0F35"/>
    <w:rsid w:val="00FE0FFD"/>
    <w:rsid w:val="00FE1082"/>
    <w:rsid w:val="00FE13A8"/>
    <w:rsid w:val="00FE16B6"/>
    <w:rsid w:val="00FE1823"/>
    <w:rsid w:val="00FE1B7F"/>
    <w:rsid w:val="00FE2043"/>
    <w:rsid w:val="00FE2091"/>
    <w:rsid w:val="00FE2147"/>
    <w:rsid w:val="00FE21C9"/>
    <w:rsid w:val="00FE225D"/>
    <w:rsid w:val="00FE25BA"/>
    <w:rsid w:val="00FE2B54"/>
    <w:rsid w:val="00FE2C8B"/>
    <w:rsid w:val="00FE2D09"/>
    <w:rsid w:val="00FE2F8B"/>
    <w:rsid w:val="00FE30BC"/>
    <w:rsid w:val="00FE33F0"/>
    <w:rsid w:val="00FE3913"/>
    <w:rsid w:val="00FE3B45"/>
    <w:rsid w:val="00FE3D57"/>
    <w:rsid w:val="00FE4A6A"/>
    <w:rsid w:val="00FE4E16"/>
    <w:rsid w:val="00FE5699"/>
    <w:rsid w:val="00FE57F8"/>
    <w:rsid w:val="00FE5B13"/>
    <w:rsid w:val="00FE5BEF"/>
    <w:rsid w:val="00FE5D15"/>
    <w:rsid w:val="00FE5D16"/>
    <w:rsid w:val="00FE6061"/>
    <w:rsid w:val="00FE6143"/>
    <w:rsid w:val="00FE6253"/>
    <w:rsid w:val="00FE6527"/>
    <w:rsid w:val="00FE6815"/>
    <w:rsid w:val="00FE69E2"/>
    <w:rsid w:val="00FE72BF"/>
    <w:rsid w:val="00FE7742"/>
    <w:rsid w:val="00FE7912"/>
    <w:rsid w:val="00FE7AC2"/>
    <w:rsid w:val="00FE7CD0"/>
    <w:rsid w:val="00FE7E5A"/>
    <w:rsid w:val="00FF0113"/>
    <w:rsid w:val="00FF0454"/>
    <w:rsid w:val="00FF104E"/>
    <w:rsid w:val="00FF1877"/>
    <w:rsid w:val="00FF18E1"/>
    <w:rsid w:val="00FF1E7F"/>
    <w:rsid w:val="00FF1F8C"/>
    <w:rsid w:val="00FF2003"/>
    <w:rsid w:val="00FF21AE"/>
    <w:rsid w:val="00FF21E4"/>
    <w:rsid w:val="00FF227F"/>
    <w:rsid w:val="00FF233A"/>
    <w:rsid w:val="00FF24E3"/>
    <w:rsid w:val="00FF261A"/>
    <w:rsid w:val="00FF2938"/>
    <w:rsid w:val="00FF29DC"/>
    <w:rsid w:val="00FF2D47"/>
    <w:rsid w:val="00FF32A2"/>
    <w:rsid w:val="00FF331B"/>
    <w:rsid w:val="00FF3B13"/>
    <w:rsid w:val="00FF3BA0"/>
    <w:rsid w:val="00FF3BA9"/>
    <w:rsid w:val="00FF3C87"/>
    <w:rsid w:val="00FF4070"/>
    <w:rsid w:val="00FF40D0"/>
    <w:rsid w:val="00FF474F"/>
    <w:rsid w:val="00FF489D"/>
    <w:rsid w:val="00FF4939"/>
    <w:rsid w:val="00FF5097"/>
    <w:rsid w:val="00FF54AD"/>
    <w:rsid w:val="00FF5966"/>
    <w:rsid w:val="00FF5E7B"/>
    <w:rsid w:val="00FF5F70"/>
    <w:rsid w:val="00FF5F73"/>
    <w:rsid w:val="00FF5FDC"/>
    <w:rsid w:val="00FF6098"/>
    <w:rsid w:val="00FF6133"/>
    <w:rsid w:val="00FF61B6"/>
    <w:rsid w:val="00FF69CB"/>
    <w:rsid w:val="00FF6BFB"/>
    <w:rsid w:val="00FF73C8"/>
    <w:rsid w:val="00FF78B6"/>
    <w:rsid w:val="00FF7983"/>
    <w:rsid w:val="00FF7CF6"/>
    <w:rsid w:val="143A7DDE"/>
    <w:rsid w:val="2AEB5EB7"/>
    <w:rsid w:val="2C2D33C4"/>
    <w:rsid w:val="2D776529"/>
    <w:rsid w:val="42EC4B8F"/>
    <w:rsid w:val="473470DA"/>
    <w:rsid w:val="4BF20702"/>
    <w:rsid w:val="4E395AFB"/>
    <w:rsid w:val="51DB0ADC"/>
    <w:rsid w:val="5BFB7D6F"/>
    <w:rsid w:val="635B421B"/>
    <w:rsid w:val="6AA216E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endarrow="block"/>
    </o:shapedefaults>
    <o:shapelayout v:ext="edit">
      <o:idmap v:ext="edit" data="1,3,4,5,6"/>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qFormat="1" w:unhideWhenUsed="0"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spacing w:line="580" w:lineRule="exact"/>
      <w:ind w:firstLine="560" w:firstLineChars="200"/>
      <w:outlineLvl w:val="1"/>
    </w:pPr>
    <w:rPr>
      <w:color w:val="FF0000"/>
      <w:sz w:val="28"/>
    </w:rPr>
  </w:style>
  <w:style w:type="paragraph" w:styleId="4">
    <w:name w:val="heading 3"/>
    <w:basedOn w:val="1"/>
    <w:next w:val="1"/>
    <w:link w:val="90"/>
    <w:qFormat/>
    <w:uiPriority w:val="0"/>
    <w:pPr>
      <w:keepNext/>
      <w:keepLines/>
      <w:spacing w:before="260" w:after="260" w:line="416" w:lineRule="auto"/>
      <w:outlineLvl w:val="2"/>
    </w:pPr>
    <w:rPr>
      <w:b/>
      <w:bCs/>
      <w:sz w:val="32"/>
      <w:szCs w:val="32"/>
    </w:rPr>
  </w:style>
  <w:style w:type="paragraph" w:styleId="5">
    <w:name w:val="heading 4"/>
    <w:basedOn w:val="1"/>
    <w:next w:val="1"/>
    <w:link w:val="97"/>
    <w:qFormat/>
    <w:uiPriority w:val="0"/>
    <w:pPr>
      <w:widowControl/>
      <w:spacing w:before="100" w:beforeAutospacing="1" w:after="100" w:afterAutospacing="1"/>
      <w:jc w:val="left"/>
      <w:outlineLvl w:val="3"/>
    </w:pPr>
    <w:rPr>
      <w:rFonts w:ascii="宋体" w:hAnsi="宋体"/>
      <w:b/>
      <w:bCs/>
      <w:color w:val="000000"/>
      <w:kern w:val="0"/>
      <w:sz w:val="24"/>
    </w:rPr>
  </w:style>
  <w:style w:type="paragraph" w:styleId="6">
    <w:name w:val="heading 5"/>
    <w:basedOn w:val="1"/>
    <w:next w:val="1"/>
    <w:link w:val="49"/>
    <w:qFormat/>
    <w:uiPriority w:val="0"/>
    <w:pPr>
      <w:keepNext/>
      <w:jc w:val="center"/>
      <w:outlineLvl w:val="4"/>
    </w:pPr>
    <w:rPr>
      <w:i/>
      <w:iCs/>
    </w:rPr>
  </w:style>
  <w:style w:type="paragraph" w:styleId="7">
    <w:name w:val="heading 6"/>
    <w:basedOn w:val="1"/>
    <w:next w:val="1"/>
    <w:link w:val="52"/>
    <w:qFormat/>
    <w:uiPriority w:val="0"/>
    <w:pPr>
      <w:keepNext/>
      <w:keepLines/>
      <w:adjustRightInd w:val="0"/>
      <w:spacing w:before="240" w:after="64" w:line="320" w:lineRule="atLeast"/>
      <w:ind w:firstLine="200" w:firstLineChars="200"/>
      <w:textAlignment w:val="baseline"/>
      <w:outlineLvl w:val="5"/>
    </w:pPr>
    <w:rPr>
      <w:rFonts w:ascii="Arial" w:hAnsi="Arial" w:eastAsia="黑体"/>
      <w:b/>
      <w:kern w:val="0"/>
      <w:sz w:val="24"/>
    </w:rPr>
  </w:style>
  <w:style w:type="paragraph" w:styleId="8">
    <w:name w:val="heading 7"/>
    <w:basedOn w:val="1"/>
    <w:next w:val="1"/>
    <w:link w:val="48"/>
    <w:qFormat/>
    <w:uiPriority w:val="0"/>
    <w:pPr>
      <w:keepNext/>
      <w:keepLines/>
      <w:adjustRightInd w:val="0"/>
      <w:spacing w:before="240" w:after="64" w:line="320" w:lineRule="atLeast"/>
      <w:ind w:firstLine="200" w:firstLineChars="200"/>
      <w:textAlignment w:val="baseline"/>
      <w:outlineLvl w:val="6"/>
    </w:pPr>
    <w:rPr>
      <w:rFonts w:eastAsia="仿宋_GB2312"/>
      <w:b/>
      <w:kern w:val="0"/>
      <w:sz w:val="24"/>
    </w:rPr>
  </w:style>
  <w:style w:type="paragraph" w:styleId="9">
    <w:name w:val="heading 8"/>
    <w:basedOn w:val="1"/>
    <w:next w:val="1"/>
    <w:link w:val="53"/>
    <w:qFormat/>
    <w:uiPriority w:val="0"/>
    <w:pPr>
      <w:keepNext/>
      <w:keepLines/>
      <w:adjustRightInd w:val="0"/>
      <w:spacing w:before="240" w:after="64" w:line="320" w:lineRule="atLeast"/>
      <w:ind w:firstLine="200" w:firstLineChars="200"/>
      <w:textAlignment w:val="baseline"/>
      <w:outlineLvl w:val="7"/>
    </w:pPr>
    <w:rPr>
      <w:rFonts w:ascii="Arial" w:hAnsi="Arial" w:eastAsia="黑体"/>
      <w:bCs/>
      <w:kern w:val="0"/>
      <w:sz w:val="24"/>
    </w:rPr>
  </w:style>
  <w:style w:type="paragraph" w:styleId="10">
    <w:name w:val="heading 9"/>
    <w:basedOn w:val="1"/>
    <w:next w:val="1"/>
    <w:link w:val="55"/>
    <w:qFormat/>
    <w:uiPriority w:val="0"/>
    <w:pPr>
      <w:keepNext/>
      <w:keepLines/>
      <w:adjustRightInd w:val="0"/>
      <w:spacing w:before="240" w:after="64" w:line="320" w:lineRule="atLeast"/>
      <w:ind w:firstLine="200" w:firstLineChars="200"/>
      <w:textAlignment w:val="baseline"/>
      <w:outlineLvl w:val="8"/>
    </w:pPr>
    <w:rPr>
      <w:rFonts w:ascii="Arial" w:hAnsi="Arial" w:eastAsia="黑体"/>
      <w:bCs/>
      <w:kern w:val="0"/>
      <w:sz w:val="24"/>
    </w:rPr>
  </w:style>
  <w:style w:type="character" w:default="1" w:styleId="41">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11">
    <w:name w:val="Note Heading"/>
    <w:basedOn w:val="1"/>
    <w:next w:val="1"/>
    <w:link w:val="102"/>
    <w:qFormat/>
    <w:uiPriority w:val="0"/>
    <w:pPr>
      <w:jc w:val="center"/>
    </w:pPr>
    <w:rPr>
      <w:rFonts w:ascii="宋体"/>
      <w:szCs w:val="20"/>
    </w:rPr>
  </w:style>
  <w:style w:type="paragraph" w:styleId="12">
    <w:name w:val="Normal Indent"/>
    <w:basedOn w:val="1"/>
    <w:link w:val="60"/>
    <w:qFormat/>
    <w:uiPriority w:val="0"/>
    <w:pPr>
      <w:spacing w:line="360" w:lineRule="auto"/>
      <w:ind w:firstLine="420"/>
    </w:pPr>
    <w:rPr>
      <w:rFonts w:ascii="宋体"/>
      <w:sz w:val="24"/>
    </w:rPr>
  </w:style>
  <w:style w:type="paragraph" w:styleId="13">
    <w:name w:val="Document Map"/>
    <w:basedOn w:val="1"/>
    <w:semiHidden/>
    <w:qFormat/>
    <w:uiPriority w:val="0"/>
    <w:pPr>
      <w:shd w:val="clear" w:color="auto" w:fill="000080"/>
    </w:pPr>
  </w:style>
  <w:style w:type="paragraph" w:styleId="14">
    <w:name w:val="annotation text"/>
    <w:basedOn w:val="1"/>
    <w:link w:val="65"/>
    <w:qFormat/>
    <w:uiPriority w:val="0"/>
    <w:pPr>
      <w:jc w:val="left"/>
    </w:pPr>
  </w:style>
  <w:style w:type="paragraph" w:styleId="15">
    <w:name w:val="Body Text 3"/>
    <w:basedOn w:val="1"/>
    <w:link w:val="105"/>
    <w:qFormat/>
    <w:uiPriority w:val="0"/>
    <w:pPr>
      <w:spacing w:after="120"/>
    </w:pPr>
    <w:rPr>
      <w:sz w:val="16"/>
      <w:szCs w:val="16"/>
    </w:rPr>
  </w:style>
  <w:style w:type="paragraph" w:styleId="16">
    <w:name w:val="Body Text"/>
    <w:basedOn w:val="1"/>
    <w:link w:val="54"/>
    <w:qFormat/>
    <w:uiPriority w:val="0"/>
    <w:rPr>
      <w:b/>
      <w:bCs/>
      <w:sz w:val="28"/>
    </w:rPr>
  </w:style>
  <w:style w:type="paragraph" w:styleId="17">
    <w:name w:val="Body Text Indent"/>
    <w:basedOn w:val="1"/>
    <w:link w:val="79"/>
    <w:qFormat/>
    <w:uiPriority w:val="0"/>
    <w:pPr>
      <w:ind w:firstLine="538" w:firstLineChars="192"/>
    </w:pPr>
    <w:rPr>
      <w:sz w:val="28"/>
      <w:szCs w:val="20"/>
    </w:rPr>
  </w:style>
  <w:style w:type="paragraph" w:styleId="18">
    <w:name w:val="List 2"/>
    <w:basedOn w:val="1"/>
    <w:qFormat/>
    <w:uiPriority w:val="0"/>
    <w:pPr>
      <w:ind w:left="840" w:hanging="420"/>
    </w:pPr>
    <w:rPr>
      <w:sz w:val="24"/>
      <w:szCs w:val="20"/>
    </w:rPr>
  </w:style>
  <w:style w:type="paragraph" w:styleId="19">
    <w:name w:val="Plain Text"/>
    <w:basedOn w:val="1"/>
    <w:link w:val="103"/>
    <w:qFormat/>
    <w:uiPriority w:val="0"/>
    <w:rPr>
      <w:rFonts w:ascii="宋体" w:hAnsi="Courier New" w:cs="Courier New"/>
      <w:szCs w:val="21"/>
    </w:rPr>
  </w:style>
  <w:style w:type="paragraph" w:styleId="20">
    <w:name w:val="Date"/>
    <w:basedOn w:val="1"/>
    <w:next w:val="1"/>
    <w:qFormat/>
    <w:uiPriority w:val="0"/>
    <w:pPr>
      <w:ind w:left="100" w:leftChars="2500"/>
    </w:pPr>
    <w:rPr>
      <w:sz w:val="28"/>
    </w:rPr>
  </w:style>
  <w:style w:type="paragraph" w:styleId="21">
    <w:name w:val="Body Text Indent 2"/>
    <w:basedOn w:val="1"/>
    <w:qFormat/>
    <w:uiPriority w:val="0"/>
    <w:pPr>
      <w:spacing w:line="360" w:lineRule="auto"/>
      <w:ind w:firstLine="573"/>
    </w:pPr>
    <w:rPr>
      <w:sz w:val="28"/>
      <w:szCs w:val="20"/>
    </w:rPr>
  </w:style>
  <w:style w:type="paragraph" w:styleId="22">
    <w:name w:val="Balloon Text"/>
    <w:basedOn w:val="1"/>
    <w:semiHidden/>
    <w:qFormat/>
    <w:uiPriority w:val="0"/>
    <w:rPr>
      <w:sz w:val="18"/>
      <w:szCs w:val="18"/>
    </w:rPr>
  </w:style>
  <w:style w:type="paragraph" w:styleId="23">
    <w:name w:val="footer"/>
    <w:basedOn w:val="1"/>
    <w:link w:val="58"/>
    <w:qFormat/>
    <w:uiPriority w:val="99"/>
    <w:pPr>
      <w:tabs>
        <w:tab w:val="center" w:pos="4153"/>
        <w:tab w:val="right" w:pos="8306"/>
      </w:tabs>
      <w:snapToGrid w:val="0"/>
      <w:jc w:val="left"/>
    </w:pPr>
    <w:rPr>
      <w:sz w:val="18"/>
      <w:szCs w:val="18"/>
    </w:rPr>
  </w:style>
  <w:style w:type="paragraph" w:styleId="24">
    <w:name w:val="header"/>
    <w:basedOn w:val="1"/>
    <w:link w:val="106"/>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semiHidden/>
    <w:qFormat/>
    <w:uiPriority w:val="0"/>
    <w:pPr>
      <w:tabs>
        <w:tab w:val="right" w:leader="dot" w:pos="9061"/>
      </w:tabs>
      <w:spacing w:line="360" w:lineRule="auto"/>
    </w:pPr>
    <w:rPr>
      <w:rFonts w:ascii="黑体" w:eastAsia="黑体"/>
      <w:sz w:val="24"/>
    </w:rPr>
  </w:style>
  <w:style w:type="paragraph" w:styleId="26">
    <w:name w:val="List"/>
    <w:basedOn w:val="1"/>
    <w:qFormat/>
    <w:uiPriority w:val="0"/>
    <w:pPr>
      <w:ind w:left="420" w:hanging="420"/>
    </w:pPr>
    <w:rPr>
      <w:sz w:val="24"/>
      <w:szCs w:val="20"/>
    </w:rPr>
  </w:style>
  <w:style w:type="paragraph" w:styleId="27">
    <w:name w:val="Body Text Indent 3"/>
    <w:basedOn w:val="1"/>
    <w:link w:val="76"/>
    <w:qFormat/>
    <w:uiPriority w:val="0"/>
    <w:pPr>
      <w:spacing w:line="360" w:lineRule="auto"/>
      <w:ind w:firstLine="560" w:firstLineChars="200"/>
    </w:pPr>
    <w:rPr>
      <w:sz w:val="28"/>
    </w:rPr>
  </w:style>
  <w:style w:type="paragraph" w:styleId="28">
    <w:name w:val="toc 2"/>
    <w:basedOn w:val="1"/>
    <w:next w:val="1"/>
    <w:semiHidden/>
    <w:qFormat/>
    <w:uiPriority w:val="0"/>
    <w:pPr>
      <w:ind w:left="420" w:leftChars="200"/>
    </w:pPr>
  </w:style>
  <w:style w:type="paragraph" w:styleId="29">
    <w:name w:val="Body Text 2"/>
    <w:basedOn w:val="1"/>
    <w:qFormat/>
    <w:uiPriority w:val="0"/>
    <w:rPr>
      <w:sz w:val="28"/>
    </w:rPr>
  </w:style>
  <w:style w:type="paragraph" w:styleId="30">
    <w:name w:val="List Continue 2"/>
    <w:basedOn w:val="1"/>
    <w:qFormat/>
    <w:uiPriority w:val="0"/>
    <w:pPr>
      <w:spacing w:after="120"/>
      <w:ind w:left="840" w:leftChars="400"/>
    </w:pPr>
  </w:style>
  <w:style w:type="paragraph" w:styleId="31">
    <w:name w:val="HTML Preformatted"/>
    <w:basedOn w:val="1"/>
    <w:link w:val="6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2">
    <w:name w:val="Normal (Web)"/>
    <w:basedOn w:val="1"/>
    <w:qFormat/>
    <w:uiPriority w:val="0"/>
    <w:pPr>
      <w:widowControl/>
      <w:spacing w:before="100" w:beforeAutospacing="1" w:after="100" w:afterAutospacing="1"/>
      <w:jc w:val="left"/>
    </w:pPr>
    <w:rPr>
      <w:rFonts w:ascii="宋体" w:hAnsi="宋体"/>
      <w:color w:val="000000"/>
      <w:kern w:val="0"/>
      <w:sz w:val="24"/>
    </w:rPr>
  </w:style>
  <w:style w:type="paragraph" w:styleId="33">
    <w:name w:val="index 1"/>
    <w:basedOn w:val="1"/>
    <w:next w:val="1"/>
    <w:qFormat/>
    <w:uiPriority w:val="0"/>
    <w:pPr>
      <w:snapToGrid w:val="0"/>
      <w:spacing w:line="520" w:lineRule="exact"/>
      <w:ind w:firstLine="560" w:firstLineChars="200"/>
    </w:pPr>
    <w:rPr>
      <w:rFonts w:eastAsia="黑体"/>
      <w:bCs/>
      <w:color w:val="FF0000"/>
      <w:sz w:val="28"/>
      <w:szCs w:val="28"/>
    </w:rPr>
  </w:style>
  <w:style w:type="paragraph" w:styleId="34">
    <w:name w:val="Title"/>
    <w:basedOn w:val="1"/>
    <w:link w:val="88"/>
    <w:qFormat/>
    <w:uiPriority w:val="0"/>
    <w:pPr>
      <w:widowControl/>
      <w:spacing w:before="100" w:beforeAutospacing="1" w:after="100" w:afterAutospacing="1"/>
      <w:jc w:val="left"/>
    </w:pPr>
    <w:rPr>
      <w:rFonts w:ascii="宋体" w:hAnsi="宋体" w:cs="宋体"/>
      <w:kern w:val="0"/>
      <w:sz w:val="24"/>
    </w:rPr>
  </w:style>
  <w:style w:type="paragraph" w:styleId="35">
    <w:name w:val="annotation subject"/>
    <w:basedOn w:val="14"/>
    <w:next w:val="14"/>
    <w:link w:val="80"/>
    <w:semiHidden/>
    <w:qFormat/>
    <w:uiPriority w:val="0"/>
    <w:rPr>
      <w:b/>
      <w:bCs/>
    </w:rPr>
  </w:style>
  <w:style w:type="paragraph" w:styleId="36">
    <w:name w:val="Body Text First Indent"/>
    <w:basedOn w:val="16"/>
    <w:qFormat/>
    <w:uiPriority w:val="0"/>
    <w:pPr>
      <w:autoSpaceDE w:val="0"/>
      <w:autoSpaceDN w:val="0"/>
      <w:adjustRightInd w:val="0"/>
      <w:spacing w:after="120"/>
      <w:ind w:firstLine="420"/>
      <w:jc w:val="left"/>
      <w:textAlignment w:val="baseline"/>
    </w:pPr>
    <w:rPr>
      <w:rFonts w:ascii="宋体"/>
      <w:b w:val="0"/>
      <w:bCs w:val="0"/>
      <w:kern w:val="0"/>
      <w:position w:val="-6"/>
      <w:sz w:val="24"/>
      <w:szCs w:val="20"/>
    </w:rPr>
  </w:style>
  <w:style w:type="paragraph" w:styleId="37">
    <w:name w:val="Body Text First Indent 2"/>
    <w:basedOn w:val="17"/>
    <w:link w:val="159"/>
    <w:qFormat/>
    <w:uiPriority w:val="0"/>
    <w:pPr>
      <w:spacing w:after="120"/>
      <w:ind w:left="420" w:leftChars="200" w:firstLine="420" w:firstLineChars="200"/>
    </w:pPr>
    <w:rPr>
      <w:sz w:val="21"/>
      <w:szCs w:val="24"/>
    </w:rPr>
  </w:style>
  <w:style w:type="table" w:styleId="39">
    <w:name w:val="Table Grid"/>
    <w:basedOn w:val="3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0">
    <w:name w:val="Table Classic 1"/>
    <w:basedOn w:val="38"/>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styleId="42">
    <w:name w:val="Strong"/>
    <w:basedOn w:val="41"/>
    <w:qFormat/>
    <w:uiPriority w:val="22"/>
    <w:rPr>
      <w:b/>
      <w:bCs/>
    </w:rPr>
  </w:style>
  <w:style w:type="character" w:styleId="43">
    <w:name w:val="page number"/>
    <w:basedOn w:val="41"/>
    <w:qFormat/>
    <w:uiPriority w:val="0"/>
  </w:style>
  <w:style w:type="character" w:styleId="44">
    <w:name w:val="FollowedHyperlink"/>
    <w:basedOn w:val="41"/>
    <w:qFormat/>
    <w:uiPriority w:val="0"/>
    <w:rPr>
      <w:color w:val="800080"/>
      <w:u w:val="single"/>
    </w:rPr>
  </w:style>
  <w:style w:type="character" w:styleId="45">
    <w:name w:val="Emphasis"/>
    <w:basedOn w:val="41"/>
    <w:qFormat/>
    <w:uiPriority w:val="0"/>
    <w:rPr>
      <w:color w:val="CC0000"/>
    </w:rPr>
  </w:style>
  <w:style w:type="character" w:styleId="46">
    <w:name w:val="Hyperlink"/>
    <w:basedOn w:val="41"/>
    <w:qFormat/>
    <w:uiPriority w:val="0"/>
    <w:rPr>
      <w:color w:val="3366CC"/>
      <w:u w:val="single"/>
    </w:rPr>
  </w:style>
  <w:style w:type="character" w:styleId="47">
    <w:name w:val="annotation reference"/>
    <w:basedOn w:val="41"/>
    <w:qFormat/>
    <w:uiPriority w:val="0"/>
    <w:rPr>
      <w:sz w:val="21"/>
      <w:szCs w:val="21"/>
    </w:rPr>
  </w:style>
  <w:style w:type="character" w:customStyle="1" w:styleId="48">
    <w:name w:val="标题 7 Char"/>
    <w:basedOn w:val="41"/>
    <w:link w:val="8"/>
    <w:qFormat/>
    <w:uiPriority w:val="0"/>
    <w:rPr>
      <w:rFonts w:eastAsia="仿宋_GB2312"/>
      <w:b/>
      <w:sz w:val="24"/>
      <w:szCs w:val="24"/>
    </w:rPr>
  </w:style>
  <w:style w:type="character" w:customStyle="1" w:styleId="49">
    <w:name w:val="标题 5 Char"/>
    <w:basedOn w:val="41"/>
    <w:link w:val="6"/>
    <w:qFormat/>
    <w:uiPriority w:val="0"/>
    <w:rPr>
      <w:i/>
      <w:iCs/>
      <w:kern w:val="2"/>
      <w:sz w:val="21"/>
      <w:szCs w:val="24"/>
    </w:rPr>
  </w:style>
  <w:style w:type="character" w:customStyle="1" w:styleId="50">
    <w:name w:val="Char Char19"/>
    <w:basedOn w:val="41"/>
    <w:qFormat/>
    <w:uiPriority w:val="0"/>
    <w:rPr>
      <w:rFonts w:eastAsia="宋体"/>
      <w:kern w:val="2"/>
      <w:sz w:val="21"/>
      <w:szCs w:val="21"/>
      <w:lang w:val="en-US" w:eastAsia="zh-CN" w:bidi="ar-SA"/>
    </w:rPr>
  </w:style>
  <w:style w:type="character" w:customStyle="1" w:styleId="51">
    <w:name w:val="fontstyle31"/>
    <w:basedOn w:val="41"/>
    <w:qFormat/>
    <w:uiPriority w:val="0"/>
    <w:rPr>
      <w:rFonts w:hint="default" w:ascii="TimesNewRomanPS-BoldMT" w:hAnsi="TimesNewRomanPS-BoldMT"/>
      <w:b/>
      <w:bCs/>
      <w:color w:val="000000"/>
      <w:sz w:val="22"/>
      <w:szCs w:val="22"/>
    </w:rPr>
  </w:style>
  <w:style w:type="character" w:customStyle="1" w:styleId="52">
    <w:name w:val="标题 6 Char"/>
    <w:basedOn w:val="41"/>
    <w:link w:val="7"/>
    <w:qFormat/>
    <w:uiPriority w:val="0"/>
    <w:rPr>
      <w:rFonts w:ascii="Arial" w:hAnsi="Arial" w:eastAsia="黑体"/>
      <w:b/>
      <w:sz w:val="24"/>
      <w:szCs w:val="24"/>
    </w:rPr>
  </w:style>
  <w:style w:type="character" w:customStyle="1" w:styleId="53">
    <w:name w:val="标题 8 Char"/>
    <w:basedOn w:val="41"/>
    <w:link w:val="9"/>
    <w:qFormat/>
    <w:uiPriority w:val="0"/>
    <w:rPr>
      <w:rFonts w:ascii="Arial" w:hAnsi="Arial" w:eastAsia="黑体"/>
      <w:bCs/>
      <w:sz w:val="24"/>
      <w:szCs w:val="24"/>
    </w:rPr>
  </w:style>
  <w:style w:type="character" w:customStyle="1" w:styleId="54">
    <w:name w:val="正文文本 Char"/>
    <w:basedOn w:val="41"/>
    <w:link w:val="16"/>
    <w:qFormat/>
    <w:uiPriority w:val="0"/>
    <w:rPr>
      <w:b/>
      <w:bCs/>
      <w:kern w:val="2"/>
      <w:sz w:val="28"/>
      <w:szCs w:val="24"/>
    </w:rPr>
  </w:style>
  <w:style w:type="character" w:customStyle="1" w:styleId="55">
    <w:name w:val="标题 9 Char"/>
    <w:basedOn w:val="41"/>
    <w:link w:val="10"/>
    <w:qFormat/>
    <w:uiPriority w:val="0"/>
    <w:rPr>
      <w:rFonts w:ascii="Arial" w:hAnsi="Arial" w:eastAsia="黑体"/>
      <w:bCs/>
      <w:sz w:val="24"/>
      <w:szCs w:val="24"/>
    </w:rPr>
  </w:style>
  <w:style w:type="character" w:customStyle="1" w:styleId="56">
    <w:name w:val="表格 Char"/>
    <w:link w:val="57"/>
    <w:qFormat/>
    <w:uiPriority w:val="0"/>
    <w:rPr>
      <w:rFonts w:ascii="宋体"/>
      <w:kern w:val="2"/>
      <w:sz w:val="24"/>
      <w:szCs w:val="24"/>
    </w:rPr>
  </w:style>
  <w:style w:type="paragraph" w:customStyle="1" w:styleId="57">
    <w:name w:val="表格"/>
    <w:basedOn w:val="1"/>
    <w:link w:val="56"/>
    <w:qFormat/>
    <w:uiPriority w:val="0"/>
    <w:pPr>
      <w:snapToGrid w:val="0"/>
      <w:spacing w:beforeLines="5" w:afterLines="5" w:line="360" w:lineRule="auto"/>
      <w:jc w:val="center"/>
    </w:pPr>
    <w:rPr>
      <w:rFonts w:ascii="宋体"/>
      <w:sz w:val="24"/>
    </w:rPr>
  </w:style>
  <w:style w:type="character" w:customStyle="1" w:styleId="58">
    <w:name w:val="页脚 Char"/>
    <w:basedOn w:val="41"/>
    <w:link w:val="23"/>
    <w:qFormat/>
    <w:uiPriority w:val="99"/>
    <w:rPr>
      <w:kern w:val="2"/>
      <w:sz w:val="18"/>
      <w:szCs w:val="18"/>
    </w:rPr>
  </w:style>
  <w:style w:type="character" w:customStyle="1" w:styleId="59">
    <w:name w:val="fontstyle11"/>
    <w:basedOn w:val="41"/>
    <w:qFormat/>
    <w:uiPriority w:val="0"/>
    <w:rPr>
      <w:rFonts w:hint="eastAsia" w:ascii="宋体" w:hAnsi="宋体" w:eastAsia="宋体"/>
      <w:color w:val="000000"/>
      <w:sz w:val="22"/>
      <w:szCs w:val="22"/>
    </w:rPr>
  </w:style>
  <w:style w:type="character" w:customStyle="1" w:styleId="60">
    <w:name w:val="正文缩进 Char"/>
    <w:basedOn w:val="41"/>
    <w:link w:val="12"/>
    <w:qFormat/>
    <w:uiPriority w:val="0"/>
    <w:rPr>
      <w:rFonts w:ascii="宋体" w:eastAsia="宋体"/>
      <w:kern w:val="2"/>
      <w:sz w:val="24"/>
      <w:szCs w:val="24"/>
      <w:lang w:val="en-US" w:eastAsia="zh-CN" w:bidi="ar-SA"/>
    </w:rPr>
  </w:style>
  <w:style w:type="character" w:customStyle="1" w:styleId="61">
    <w:name w:val="HTML 预设格式 Char"/>
    <w:basedOn w:val="41"/>
    <w:link w:val="31"/>
    <w:qFormat/>
    <w:uiPriority w:val="99"/>
    <w:rPr>
      <w:rFonts w:ascii="宋体" w:hAnsi="宋体" w:cs="宋体"/>
      <w:sz w:val="24"/>
      <w:szCs w:val="24"/>
    </w:rPr>
  </w:style>
  <w:style w:type="character" w:customStyle="1" w:styleId="62">
    <w:name w:val="正文文字缩进 Char1"/>
    <w:basedOn w:val="41"/>
    <w:semiHidden/>
    <w:qFormat/>
    <w:uiPriority w:val="0"/>
  </w:style>
  <w:style w:type="character" w:customStyle="1" w:styleId="63">
    <w:name w:val="表格文字 Char Char"/>
    <w:basedOn w:val="41"/>
    <w:link w:val="64"/>
    <w:qFormat/>
    <w:uiPriority w:val="0"/>
    <w:rPr>
      <w:color w:val="000000"/>
      <w:sz w:val="21"/>
    </w:rPr>
  </w:style>
  <w:style w:type="paragraph" w:customStyle="1" w:styleId="64">
    <w:name w:val="表格文字"/>
    <w:basedOn w:val="1"/>
    <w:link w:val="63"/>
    <w:qFormat/>
    <w:uiPriority w:val="0"/>
    <w:pPr>
      <w:adjustRightInd w:val="0"/>
      <w:snapToGrid w:val="0"/>
      <w:spacing w:line="380" w:lineRule="exact"/>
      <w:jc w:val="center"/>
      <w:outlineLvl w:val="4"/>
    </w:pPr>
    <w:rPr>
      <w:color w:val="000000"/>
      <w:kern w:val="0"/>
      <w:szCs w:val="20"/>
    </w:rPr>
  </w:style>
  <w:style w:type="character" w:customStyle="1" w:styleId="65">
    <w:name w:val="批注文字 Char"/>
    <w:basedOn w:val="41"/>
    <w:link w:val="14"/>
    <w:qFormat/>
    <w:uiPriority w:val="0"/>
    <w:rPr>
      <w:kern w:val="2"/>
      <w:sz w:val="21"/>
      <w:szCs w:val="24"/>
    </w:rPr>
  </w:style>
  <w:style w:type="character" w:customStyle="1" w:styleId="66">
    <w:name w:val="Char Char"/>
    <w:basedOn w:val="41"/>
    <w:link w:val="67"/>
    <w:qFormat/>
    <w:uiPriority w:val="0"/>
    <w:rPr>
      <w:rFonts w:ascii="Verdana" w:hAnsi="Verdana" w:eastAsia="宋体"/>
      <w:lang w:val="en-US" w:eastAsia="en-US" w:bidi="ar-SA"/>
    </w:rPr>
  </w:style>
  <w:style w:type="paragraph" w:customStyle="1" w:styleId="67">
    <w:name w:val="Char2"/>
    <w:basedOn w:val="1"/>
    <w:link w:val="66"/>
    <w:qFormat/>
    <w:uiPriority w:val="0"/>
    <w:pPr>
      <w:widowControl/>
      <w:spacing w:after="160" w:line="240" w:lineRule="exact"/>
      <w:jc w:val="left"/>
    </w:pPr>
    <w:rPr>
      <w:rFonts w:ascii="Verdana" w:hAnsi="Verdana"/>
      <w:kern w:val="0"/>
      <w:sz w:val="20"/>
      <w:szCs w:val="20"/>
      <w:lang w:eastAsia="en-US"/>
    </w:rPr>
  </w:style>
  <w:style w:type="character" w:customStyle="1" w:styleId="68">
    <w:name w:val="正文格式 Char"/>
    <w:basedOn w:val="41"/>
    <w:link w:val="69"/>
    <w:qFormat/>
    <w:locked/>
    <w:uiPriority w:val="0"/>
    <w:rPr>
      <w:rFonts w:ascii="宋体" w:hAnsi="宋体" w:eastAsia="宋体" w:cs="宋体"/>
      <w:kern w:val="2"/>
      <w:sz w:val="24"/>
      <w:szCs w:val="24"/>
      <w:lang w:val="en-US" w:eastAsia="zh-CN" w:bidi="ar-SA"/>
    </w:rPr>
  </w:style>
  <w:style w:type="paragraph" w:customStyle="1" w:styleId="69">
    <w:name w:val="正文格式"/>
    <w:basedOn w:val="1"/>
    <w:link w:val="68"/>
    <w:qFormat/>
    <w:uiPriority w:val="0"/>
    <w:pPr>
      <w:spacing w:line="360" w:lineRule="auto"/>
      <w:ind w:firstLine="544" w:firstLineChars="200"/>
    </w:pPr>
    <w:rPr>
      <w:rFonts w:ascii="宋体" w:hAnsi="宋体" w:cs="宋体"/>
      <w:sz w:val="24"/>
    </w:rPr>
  </w:style>
  <w:style w:type="character" w:customStyle="1" w:styleId="70">
    <w:name w:val="水秦路3 Char"/>
    <w:basedOn w:val="41"/>
    <w:link w:val="71"/>
    <w:qFormat/>
    <w:uiPriority w:val="0"/>
    <w:rPr>
      <w:rFonts w:ascii="宋体" w:hAnsi="宋体"/>
      <w:spacing w:val="6"/>
      <w:kern w:val="2"/>
      <w:sz w:val="28"/>
      <w:szCs w:val="28"/>
    </w:rPr>
  </w:style>
  <w:style w:type="paragraph" w:customStyle="1" w:styleId="71">
    <w:name w:val="水秦路3"/>
    <w:basedOn w:val="1"/>
    <w:link w:val="70"/>
    <w:qFormat/>
    <w:uiPriority w:val="0"/>
    <w:pPr>
      <w:snapToGrid w:val="0"/>
      <w:spacing w:after="60" w:line="300" w:lineRule="auto"/>
      <w:outlineLvl w:val="2"/>
    </w:pPr>
    <w:rPr>
      <w:rFonts w:ascii="宋体" w:hAnsi="宋体"/>
      <w:spacing w:val="6"/>
      <w:sz w:val="28"/>
      <w:szCs w:val="28"/>
    </w:rPr>
  </w:style>
  <w:style w:type="character" w:customStyle="1" w:styleId="72">
    <w:name w:val="表头 Char Char"/>
    <w:qFormat/>
    <w:uiPriority w:val="0"/>
    <w:rPr>
      <w:rFonts w:ascii="黑体" w:eastAsia="黑体"/>
      <w:sz w:val="28"/>
      <w:lang w:val="en-US" w:eastAsia="zh-CN" w:bidi="ar-SA"/>
    </w:rPr>
  </w:style>
  <w:style w:type="character" w:customStyle="1" w:styleId="73">
    <w:name w:val="正文(首行缩进) Char"/>
    <w:basedOn w:val="41"/>
    <w:link w:val="74"/>
    <w:qFormat/>
    <w:uiPriority w:val="0"/>
    <w:rPr>
      <w:snapToGrid w:val="0"/>
      <w:sz w:val="24"/>
      <w:szCs w:val="24"/>
    </w:rPr>
  </w:style>
  <w:style w:type="paragraph" w:customStyle="1" w:styleId="74">
    <w:name w:val="正文(首行缩进)"/>
    <w:basedOn w:val="1"/>
    <w:link w:val="73"/>
    <w:qFormat/>
    <w:uiPriority w:val="0"/>
    <w:pPr>
      <w:spacing w:line="360" w:lineRule="auto"/>
      <w:ind w:firstLine="510"/>
    </w:pPr>
    <w:rPr>
      <w:snapToGrid w:val="0"/>
      <w:kern w:val="0"/>
      <w:sz w:val="24"/>
    </w:rPr>
  </w:style>
  <w:style w:type="character" w:customStyle="1" w:styleId="75">
    <w:name w:val="样式 宋体 四号 两端对齐 行距: 固定值 31 磅"/>
    <w:basedOn w:val="41"/>
    <w:qFormat/>
    <w:uiPriority w:val="0"/>
    <w:rPr>
      <w:rFonts w:ascii="宋体" w:hAnsi="宋体" w:eastAsia="宋体"/>
      <w:sz w:val="28"/>
    </w:rPr>
  </w:style>
  <w:style w:type="character" w:customStyle="1" w:styleId="76">
    <w:name w:val="正文文本缩进 3 Char"/>
    <w:basedOn w:val="41"/>
    <w:link w:val="27"/>
    <w:qFormat/>
    <w:uiPriority w:val="0"/>
    <w:rPr>
      <w:kern w:val="2"/>
      <w:sz w:val="28"/>
      <w:szCs w:val="24"/>
    </w:rPr>
  </w:style>
  <w:style w:type="character" w:customStyle="1" w:styleId="77">
    <w:name w:val="报告 Char"/>
    <w:basedOn w:val="41"/>
    <w:link w:val="78"/>
    <w:qFormat/>
    <w:uiPriority w:val="0"/>
    <w:rPr>
      <w:rFonts w:ascii="TimesNewRoman" w:hAnsi="TimesNewRoman"/>
      <w:sz w:val="24"/>
    </w:rPr>
  </w:style>
  <w:style w:type="paragraph" w:customStyle="1" w:styleId="78">
    <w:name w:val="报告"/>
    <w:basedOn w:val="1"/>
    <w:link w:val="77"/>
    <w:qFormat/>
    <w:uiPriority w:val="0"/>
    <w:pPr>
      <w:adjustRightInd w:val="0"/>
      <w:spacing w:line="360" w:lineRule="auto"/>
      <w:ind w:firstLine="505"/>
      <w:textAlignment w:val="center"/>
    </w:pPr>
    <w:rPr>
      <w:rFonts w:ascii="TimesNewRoman" w:hAnsi="TimesNewRoman"/>
      <w:kern w:val="0"/>
      <w:sz w:val="24"/>
      <w:szCs w:val="20"/>
    </w:rPr>
  </w:style>
  <w:style w:type="character" w:customStyle="1" w:styleId="79">
    <w:name w:val="正文文本缩进 Char"/>
    <w:basedOn w:val="41"/>
    <w:link w:val="17"/>
    <w:qFormat/>
    <w:uiPriority w:val="0"/>
    <w:rPr>
      <w:kern w:val="2"/>
      <w:sz w:val="28"/>
    </w:rPr>
  </w:style>
  <w:style w:type="character" w:customStyle="1" w:styleId="80">
    <w:name w:val="批注主题 Char"/>
    <w:basedOn w:val="65"/>
    <w:link w:val="35"/>
    <w:semiHidden/>
    <w:qFormat/>
    <w:uiPriority w:val="0"/>
    <w:rPr>
      <w:b/>
      <w:bCs/>
      <w:kern w:val="2"/>
      <w:sz w:val="21"/>
      <w:szCs w:val="24"/>
    </w:rPr>
  </w:style>
  <w:style w:type="character" w:customStyle="1" w:styleId="81">
    <w:name w:val="style31"/>
    <w:basedOn w:val="41"/>
    <w:qFormat/>
    <w:uiPriority w:val="0"/>
    <w:rPr>
      <w:sz w:val="21"/>
      <w:szCs w:val="21"/>
    </w:rPr>
  </w:style>
  <w:style w:type="character" w:customStyle="1" w:styleId="82">
    <w:name w:val="样式3 Char"/>
    <w:basedOn w:val="41"/>
    <w:link w:val="83"/>
    <w:qFormat/>
    <w:uiPriority w:val="0"/>
    <w:rPr>
      <w:rFonts w:eastAsia="宋体"/>
      <w:kern w:val="2"/>
      <w:sz w:val="28"/>
      <w:szCs w:val="24"/>
      <w:lang w:val="en-US" w:eastAsia="zh-CN" w:bidi="ar-SA"/>
    </w:rPr>
  </w:style>
  <w:style w:type="paragraph" w:customStyle="1" w:styleId="83">
    <w:name w:val="样式3"/>
    <w:basedOn w:val="16"/>
    <w:link w:val="82"/>
    <w:qFormat/>
    <w:uiPriority w:val="0"/>
    <w:pPr>
      <w:ind w:firstLine="200" w:firstLineChars="200"/>
    </w:pPr>
    <w:rPr>
      <w:b w:val="0"/>
      <w:bCs w:val="0"/>
    </w:rPr>
  </w:style>
  <w:style w:type="character" w:customStyle="1" w:styleId="84">
    <w:name w:val="headline-content"/>
    <w:basedOn w:val="41"/>
    <w:qFormat/>
    <w:uiPriority w:val="0"/>
  </w:style>
  <w:style w:type="character" w:customStyle="1" w:styleId="85">
    <w:name w:val="fontstyle01"/>
    <w:basedOn w:val="41"/>
    <w:qFormat/>
    <w:uiPriority w:val="0"/>
    <w:rPr>
      <w:rFonts w:hint="eastAsia" w:ascii="宋体" w:hAnsi="宋体" w:eastAsia="宋体"/>
      <w:color w:val="000000"/>
      <w:sz w:val="28"/>
      <w:szCs w:val="28"/>
    </w:rPr>
  </w:style>
  <w:style w:type="character" w:customStyle="1" w:styleId="86">
    <w:name w:val="样式1 Char"/>
    <w:basedOn w:val="41"/>
    <w:link w:val="87"/>
    <w:qFormat/>
    <w:uiPriority w:val="0"/>
    <w:rPr>
      <w:rFonts w:eastAsia="宋体"/>
      <w:kern w:val="2"/>
      <w:sz w:val="24"/>
      <w:lang w:val="en-US" w:eastAsia="zh-CN" w:bidi="ar-SA"/>
    </w:rPr>
  </w:style>
  <w:style w:type="paragraph" w:customStyle="1" w:styleId="87">
    <w:name w:val="样式1"/>
    <w:basedOn w:val="1"/>
    <w:link w:val="86"/>
    <w:qFormat/>
    <w:uiPriority w:val="0"/>
    <w:pPr>
      <w:numPr>
        <w:ilvl w:val="0"/>
        <w:numId w:val="1"/>
      </w:numPr>
      <w:spacing w:line="360" w:lineRule="auto"/>
    </w:pPr>
    <w:rPr>
      <w:sz w:val="24"/>
      <w:szCs w:val="20"/>
    </w:rPr>
  </w:style>
  <w:style w:type="character" w:customStyle="1" w:styleId="88">
    <w:name w:val="标题 Char"/>
    <w:basedOn w:val="41"/>
    <w:link w:val="34"/>
    <w:qFormat/>
    <w:uiPriority w:val="0"/>
    <w:rPr>
      <w:rFonts w:ascii="宋体" w:hAnsi="宋体" w:cs="宋体"/>
      <w:sz w:val="24"/>
      <w:szCs w:val="24"/>
    </w:rPr>
  </w:style>
  <w:style w:type="character" w:customStyle="1" w:styleId="89">
    <w:name w:val="hei14"/>
    <w:basedOn w:val="41"/>
    <w:qFormat/>
    <w:uiPriority w:val="0"/>
  </w:style>
  <w:style w:type="character" w:customStyle="1" w:styleId="90">
    <w:name w:val="标题 3 Char"/>
    <w:basedOn w:val="41"/>
    <w:link w:val="4"/>
    <w:qFormat/>
    <w:locked/>
    <w:uiPriority w:val="0"/>
    <w:rPr>
      <w:rFonts w:eastAsia="宋体"/>
      <w:b/>
      <w:bCs/>
      <w:kern w:val="2"/>
      <w:sz w:val="32"/>
      <w:szCs w:val="32"/>
      <w:lang w:val="en-US" w:eastAsia="zh-CN" w:bidi="ar-SA"/>
    </w:rPr>
  </w:style>
  <w:style w:type="character" w:customStyle="1" w:styleId="91">
    <w:name w:val="fontstyle21"/>
    <w:basedOn w:val="41"/>
    <w:qFormat/>
    <w:uiPriority w:val="0"/>
    <w:rPr>
      <w:rFonts w:hint="default" w:ascii="TimesNewRomanPSMT" w:hAnsi="TimesNewRomanPSMT"/>
      <w:color w:val="000000"/>
      <w:sz w:val="28"/>
      <w:szCs w:val="28"/>
    </w:rPr>
  </w:style>
  <w:style w:type="character" w:customStyle="1" w:styleId="92">
    <w:name w:val="pt10hei"/>
    <w:basedOn w:val="41"/>
    <w:qFormat/>
    <w:uiPriority w:val="0"/>
  </w:style>
  <w:style w:type="character" w:customStyle="1" w:styleId="93">
    <w:name w:val="表头 Char"/>
    <w:basedOn w:val="41"/>
    <w:link w:val="94"/>
    <w:qFormat/>
    <w:uiPriority w:val="0"/>
    <w:rPr>
      <w:rFonts w:ascii="黑体" w:eastAsia="黑体"/>
      <w:sz w:val="28"/>
    </w:rPr>
  </w:style>
  <w:style w:type="paragraph" w:customStyle="1" w:styleId="94">
    <w:name w:val="表头"/>
    <w:basedOn w:val="1"/>
    <w:next w:val="1"/>
    <w:link w:val="93"/>
    <w:qFormat/>
    <w:uiPriority w:val="0"/>
    <w:pPr>
      <w:tabs>
        <w:tab w:val="center" w:pos="4060"/>
        <w:tab w:val="right" w:pos="8261"/>
      </w:tabs>
      <w:suppressAutoHyphens/>
      <w:adjustRightInd w:val="0"/>
      <w:spacing w:before="240" w:after="120"/>
    </w:pPr>
    <w:rPr>
      <w:rFonts w:hint="eastAsia" w:ascii="黑体" w:eastAsia="黑体"/>
      <w:kern w:val="0"/>
      <w:sz w:val="28"/>
      <w:szCs w:val="20"/>
    </w:rPr>
  </w:style>
  <w:style w:type="character" w:customStyle="1" w:styleId="95">
    <w:name w:val="段 Char"/>
    <w:basedOn w:val="41"/>
    <w:link w:val="96"/>
    <w:qFormat/>
    <w:locked/>
    <w:uiPriority w:val="0"/>
    <w:rPr>
      <w:rFonts w:ascii="宋体" w:hAnsi="宋体"/>
      <w:sz w:val="21"/>
      <w:lang w:val="en-US" w:eastAsia="zh-CN" w:bidi="ar-SA"/>
    </w:rPr>
  </w:style>
  <w:style w:type="paragraph" w:customStyle="1" w:styleId="96">
    <w:name w:val="段"/>
    <w:link w:val="95"/>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character" w:customStyle="1" w:styleId="97">
    <w:name w:val="标题 4 Char"/>
    <w:basedOn w:val="41"/>
    <w:link w:val="5"/>
    <w:qFormat/>
    <w:uiPriority w:val="0"/>
    <w:rPr>
      <w:rFonts w:ascii="宋体" w:hAnsi="宋体"/>
      <w:b/>
      <w:bCs/>
      <w:color w:val="000000"/>
      <w:sz w:val="24"/>
      <w:szCs w:val="24"/>
    </w:rPr>
  </w:style>
  <w:style w:type="character" w:customStyle="1" w:styleId="98">
    <w:name w:val="正文标准 Char Char"/>
    <w:basedOn w:val="41"/>
    <w:link w:val="99"/>
    <w:qFormat/>
    <w:uiPriority w:val="0"/>
    <w:rPr>
      <w:rFonts w:hAnsi="宋体"/>
      <w:color w:val="000000"/>
      <w:spacing w:val="6"/>
      <w:kern w:val="2"/>
      <w:sz w:val="24"/>
      <w:szCs w:val="24"/>
    </w:rPr>
  </w:style>
  <w:style w:type="paragraph" w:customStyle="1" w:styleId="99">
    <w:name w:val="正文标准 Char"/>
    <w:basedOn w:val="1"/>
    <w:link w:val="98"/>
    <w:qFormat/>
    <w:uiPriority w:val="0"/>
    <w:pPr>
      <w:tabs>
        <w:tab w:val="left" w:pos="336"/>
      </w:tabs>
      <w:adjustRightInd w:val="0"/>
      <w:snapToGrid w:val="0"/>
      <w:spacing w:line="520" w:lineRule="exact"/>
      <w:ind w:left="62" w:firstLine="504" w:firstLineChars="200"/>
    </w:pPr>
    <w:rPr>
      <w:rFonts w:hAnsi="宋体"/>
      <w:color w:val="000000"/>
      <w:spacing w:val="6"/>
      <w:sz w:val="24"/>
    </w:rPr>
  </w:style>
  <w:style w:type="character" w:customStyle="1" w:styleId="100">
    <w:name w:val="样式4 Char"/>
    <w:basedOn w:val="41"/>
    <w:link w:val="101"/>
    <w:qFormat/>
    <w:uiPriority w:val="0"/>
    <w:rPr>
      <w:kern w:val="2"/>
      <w:sz w:val="28"/>
      <w:lang w:val="en-US" w:eastAsia="zh-CN" w:bidi="ar-SA"/>
    </w:rPr>
  </w:style>
  <w:style w:type="paragraph" w:customStyle="1" w:styleId="101">
    <w:name w:val="样式4"/>
    <w:basedOn w:val="16"/>
    <w:link w:val="100"/>
    <w:qFormat/>
    <w:uiPriority w:val="0"/>
    <w:pPr>
      <w:spacing w:line="600" w:lineRule="exact"/>
      <w:ind w:firstLine="200" w:firstLineChars="200"/>
    </w:pPr>
    <w:rPr>
      <w:rFonts w:eastAsia="Times New Roman"/>
      <w:b w:val="0"/>
      <w:bCs w:val="0"/>
      <w:szCs w:val="20"/>
    </w:rPr>
  </w:style>
  <w:style w:type="character" w:customStyle="1" w:styleId="102">
    <w:name w:val="注释标题 Char"/>
    <w:basedOn w:val="41"/>
    <w:link w:val="11"/>
    <w:qFormat/>
    <w:uiPriority w:val="0"/>
    <w:rPr>
      <w:rFonts w:ascii="宋体"/>
      <w:kern w:val="2"/>
      <w:sz w:val="21"/>
    </w:rPr>
  </w:style>
  <w:style w:type="character" w:customStyle="1" w:styleId="103">
    <w:name w:val="纯文本 Char"/>
    <w:basedOn w:val="41"/>
    <w:link w:val="19"/>
    <w:qFormat/>
    <w:uiPriority w:val="0"/>
    <w:rPr>
      <w:rFonts w:ascii="宋体" w:hAnsi="Courier New" w:cs="Courier New"/>
      <w:kern w:val="2"/>
      <w:sz w:val="21"/>
      <w:szCs w:val="21"/>
    </w:rPr>
  </w:style>
  <w:style w:type="character" w:customStyle="1" w:styleId="104">
    <w:name w:val="正文 Char"/>
    <w:basedOn w:val="41"/>
    <w:qFormat/>
    <w:uiPriority w:val="0"/>
    <w:rPr>
      <w:rFonts w:eastAsia="宋体"/>
      <w:kern w:val="2"/>
      <w:sz w:val="28"/>
      <w:szCs w:val="24"/>
      <w:lang w:val="en-US" w:eastAsia="zh-CN" w:bidi="ar-SA"/>
    </w:rPr>
  </w:style>
  <w:style w:type="character" w:customStyle="1" w:styleId="105">
    <w:name w:val="正文文本 3 Char"/>
    <w:basedOn w:val="41"/>
    <w:link w:val="15"/>
    <w:qFormat/>
    <w:uiPriority w:val="0"/>
    <w:rPr>
      <w:kern w:val="2"/>
      <w:sz w:val="16"/>
      <w:szCs w:val="16"/>
    </w:rPr>
  </w:style>
  <w:style w:type="character" w:customStyle="1" w:styleId="106">
    <w:name w:val="页眉 Char"/>
    <w:basedOn w:val="41"/>
    <w:link w:val="24"/>
    <w:qFormat/>
    <w:uiPriority w:val="99"/>
    <w:rPr>
      <w:kern w:val="2"/>
      <w:sz w:val="18"/>
      <w:szCs w:val="18"/>
    </w:rPr>
  </w:style>
  <w:style w:type="paragraph" w:customStyle="1" w:styleId="107">
    <w:name w:val="Char Char1 Char Char Char Char"/>
    <w:basedOn w:val="1"/>
    <w:qFormat/>
    <w:uiPriority w:val="0"/>
    <w:rPr>
      <w:rFonts w:ascii="Tahoma" w:hAnsi="Tahoma"/>
      <w:sz w:val="24"/>
      <w:szCs w:val="20"/>
    </w:rPr>
  </w:style>
  <w:style w:type="paragraph" w:customStyle="1" w:styleId="108">
    <w:name w:val="样式2（标）"/>
    <w:basedOn w:val="1"/>
    <w:qFormat/>
    <w:uiPriority w:val="0"/>
    <w:pPr>
      <w:spacing w:line="540" w:lineRule="exact"/>
      <w:ind w:firstLine="601"/>
      <w:jc w:val="left"/>
      <w:outlineLvl w:val="0"/>
    </w:pPr>
    <w:rPr>
      <w:rFonts w:ascii="黑体" w:hAnsi="Arial" w:eastAsia="黑体" w:cs="Arial"/>
      <w:b/>
      <w:bCs/>
      <w:sz w:val="28"/>
      <w:szCs w:val="30"/>
    </w:rPr>
  </w:style>
  <w:style w:type="paragraph" w:customStyle="1" w:styleId="109">
    <w:name w:val="Char1 Char Char Char"/>
    <w:basedOn w:val="1"/>
    <w:qFormat/>
    <w:uiPriority w:val="0"/>
    <w:pPr>
      <w:widowControl/>
      <w:spacing w:after="160" w:line="240" w:lineRule="exact"/>
      <w:jc w:val="left"/>
    </w:pPr>
  </w:style>
  <w:style w:type="paragraph" w:customStyle="1" w:styleId="110">
    <w:name w:val="Char Char Char2 Char Char Char Char"/>
    <w:basedOn w:val="1"/>
    <w:qFormat/>
    <w:uiPriority w:val="0"/>
    <w:pPr>
      <w:spacing w:line="360" w:lineRule="auto"/>
      <w:ind w:firstLine="200" w:firstLineChars="200"/>
    </w:pPr>
    <w:rPr>
      <w:rFonts w:ascii="宋体" w:hAnsi="宋体" w:eastAsia="仿宋_GB2312" w:cs="宋体"/>
      <w:sz w:val="24"/>
    </w:rPr>
  </w:style>
  <w:style w:type="paragraph" w:customStyle="1" w:styleId="111">
    <w:name w:val="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12">
    <w:name w:val="Char"/>
    <w:basedOn w:val="1"/>
    <w:qFormat/>
    <w:uiPriority w:val="0"/>
    <w:pPr>
      <w:ind w:firstLine="200" w:firstLineChars="200"/>
    </w:pPr>
    <w:rPr>
      <w:rFonts w:cs="宋体"/>
      <w:sz w:val="28"/>
    </w:rPr>
  </w:style>
  <w:style w:type="paragraph" w:customStyle="1" w:styleId="113">
    <w:name w:val="xl5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14">
    <w:name w:val="表字"/>
    <w:basedOn w:val="1"/>
    <w:qFormat/>
    <w:uiPriority w:val="0"/>
    <w:pPr>
      <w:ind w:firstLine="573"/>
      <w:jc w:val="center"/>
    </w:pPr>
    <w:rPr>
      <w:szCs w:val="20"/>
    </w:rPr>
  </w:style>
  <w:style w:type="paragraph" w:customStyle="1" w:styleId="115">
    <w:name w:val="默认段落字体 Para Char"/>
    <w:basedOn w:val="1"/>
    <w:qFormat/>
    <w:uiPriority w:val="0"/>
    <w:rPr>
      <w:sz w:val="24"/>
    </w:rPr>
  </w:style>
  <w:style w:type="paragraph" w:customStyle="1" w:styleId="116">
    <w:name w:val="默认段落字体 Para Char Char Char Char"/>
    <w:basedOn w:val="1"/>
    <w:qFormat/>
    <w:uiPriority w:val="0"/>
    <w:pPr>
      <w:snapToGrid w:val="0"/>
    </w:pPr>
    <w:rPr>
      <w:rFonts w:ascii="Arial" w:hAnsi="Arial"/>
      <w:szCs w:val="21"/>
    </w:rPr>
  </w:style>
  <w:style w:type="paragraph" w:customStyle="1" w:styleId="117">
    <w:name w:val="样式 标题 1 + 宋体 居中"/>
    <w:basedOn w:val="2"/>
    <w:qFormat/>
    <w:uiPriority w:val="0"/>
    <w:pPr>
      <w:keepNext w:val="0"/>
      <w:keepLines w:val="0"/>
      <w:pageBreakBefore/>
      <w:tabs>
        <w:tab w:val="left" w:pos="920"/>
      </w:tabs>
      <w:spacing w:line="240" w:lineRule="auto"/>
      <w:ind w:left="920" w:hanging="360"/>
      <w:jc w:val="center"/>
    </w:pPr>
    <w:rPr>
      <w:rFonts w:ascii="宋体" w:hAnsi="宋体"/>
      <w:sz w:val="30"/>
    </w:rPr>
  </w:style>
  <w:style w:type="paragraph" w:customStyle="1" w:styleId="118">
    <w:name w:val="1正文段落"/>
    <w:basedOn w:val="1"/>
    <w:qFormat/>
    <w:uiPriority w:val="0"/>
    <w:pPr>
      <w:spacing w:line="360" w:lineRule="auto"/>
      <w:ind w:firstLine="480" w:firstLineChars="200"/>
    </w:pPr>
    <w:rPr>
      <w:snapToGrid w:val="0"/>
      <w:kern w:val="0"/>
      <w:sz w:val="24"/>
    </w:rPr>
  </w:style>
  <w:style w:type="paragraph" w:customStyle="1" w:styleId="119">
    <w:name w:val="宋体 首行缩进:  2 字符"/>
    <w:basedOn w:val="1"/>
    <w:qFormat/>
    <w:uiPriority w:val="0"/>
    <w:pPr>
      <w:spacing w:line="360" w:lineRule="auto"/>
      <w:ind w:firstLine="480" w:firstLineChars="200"/>
    </w:pPr>
    <w:rPr>
      <w:rFonts w:hAnsi="宋体" w:cs="宋体"/>
      <w:sz w:val="24"/>
      <w:szCs w:val="20"/>
    </w:rPr>
  </w:style>
  <w:style w:type="paragraph" w:customStyle="1" w:styleId="120">
    <w:name w:val="样式 标题 3 + 宋体 四号 非加粗"/>
    <w:basedOn w:val="4"/>
    <w:qFormat/>
    <w:uiPriority w:val="0"/>
    <w:pPr>
      <w:keepNext w:val="0"/>
      <w:tabs>
        <w:tab w:val="left" w:pos="1820"/>
        <w:tab w:val="left" w:pos="2420"/>
      </w:tabs>
      <w:spacing w:line="360" w:lineRule="exact"/>
      <w:ind w:left="1820" w:hanging="420"/>
    </w:pPr>
    <w:rPr>
      <w:rFonts w:ascii="宋体" w:hAnsi="宋体"/>
      <w:b w:val="0"/>
      <w:bCs w:val="0"/>
      <w:sz w:val="28"/>
      <w:szCs w:val="28"/>
    </w:rPr>
  </w:style>
  <w:style w:type="paragraph" w:customStyle="1" w:styleId="121">
    <w:name w:val="居中正文"/>
    <w:basedOn w:val="36"/>
    <w:qFormat/>
    <w:uiPriority w:val="0"/>
    <w:pPr>
      <w:autoSpaceDE/>
      <w:autoSpaceDN/>
      <w:spacing w:before="120" w:after="0" w:line="360" w:lineRule="auto"/>
      <w:ind w:firstLine="0"/>
      <w:jc w:val="center"/>
    </w:pPr>
    <w:rPr>
      <w:kern w:val="28"/>
      <w:position w:val="0"/>
    </w:rPr>
  </w:style>
  <w:style w:type="paragraph" w:customStyle="1" w:styleId="122">
    <w:name w:val="xl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23">
    <w:name w:val="样式 小四 首行缩进:  0.85 厘米"/>
    <w:basedOn w:val="1"/>
    <w:qFormat/>
    <w:uiPriority w:val="0"/>
    <w:pPr>
      <w:spacing w:line="360" w:lineRule="auto"/>
      <w:ind w:firstLine="560" w:firstLineChars="200"/>
    </w:pPr>
    <w:rPr>
      <w:sz w:val="28"/>
      <w:szCs w:val="28"/>
    </w:rPr>
  </w:style>
  <w:style w:type="paragraph" w:customStyle="1" w:styleId="124">
    <w:name w:val="333"/>
    <w:basedOn w:val="1"/>
    <w:qFormat/>
    <w:uiPriority w:val="0"/>
    <w:pPr>
      <w:adjustRightInd w:val="0"/>
      <w:spacing w:line="480" w:lineRule="exact"/>
      <w:ind w:firstLine="192" w:firstLineChars="192"/>
      <w:textAlignment w:val="baseline"/>
    </w:pPr>
    <w:rPr>
      <w:rFonts w:ascii="宋体" w:hAnsi="宋体"/>
      <w:kern w:val="0"/>
      <w:sz w:val="28"/>
      <w:szCs w:val="28"/>
    </w:rPr>
  </w:style>
  <w:style w:type="paragraph" w:customStyle="1" w:styleId="125">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26">
    <w:name w:val="xl27"/>
    <w:basedOn w:val="1"/>
    <w:qFormat/>
    <w:uiPriority w:val="0"/>
    <w:pPr>
      <w:widowControl/>
      <w:spacing w:before="100" w:beforeAutospacing="1" w:after="100" w:afterAutospacing="1"/>
      <w:jc w:val="center"/>
    </w:pPr>
    <w:rPr>
      <w:rFonts w:hint="eastAsia" w:ascii="宋体" w:hAnsi="宋体"/>
      <w:kern w:val="0"/>
      <w:sz w:val="32"/>
      <w:szCs w:val="32"/>
    </w:rPr>
  </w:style>
  <w:style w:type="paragraph" w:customStyle="1" w:styleId="127">
    <w:name w:val="公式"/>
    <w:basedOn w:val="1"/>
    <w:next w:val="1"/>
    <w:qFormat/>
    <w:uiPriority w:val="0"/>
    <w:pPr>
      <w:snapToGrid w:val="0"/>
      <w:spacing w:before="120" w:after="120"/>
      <w:jc w:val="center"/>
    </w:pPr>
    <w:rPr>
      <w:rFonts w:eastAsia="华文仿宋"/>
      <w:kern w:val="0"/>
      <w:sz w:val="28"/>
      <w:szCs w:val="18"/>
    </w:rPr>
  </w:style>
  <w:style w:type="paragraph" w:customStyle="1" w:styleId="128">
    <w:name w:val="duan"/>
    <w:basedOn w:val="1"/>
    <w:qFormat/>
    <w:uiPriority w:val="0"/>
    <w:pPr>
      <w:widowControl/>
      <w:spacing w:before="100" w:beforeAutospacing="1" w:after="100" w:afterAutospacing="1" w:line="330" w:lineRule="atLeast"/>
      <w:jc w:val="left"/>
    </w:pPr>
    <w:rPr>
      <w:rFonts w:ascii="宋体" w:hAnsi="宋体" w:cs="宋体"/>
      <w:color w:val="423A2D"/>
      <w:kern w:val="0"/>
      <w:sz w:val="24"/>
    </w:rPr>
  </w:style>
  <w:style w:type="paragraph" w:customStyle="1" w:styleId="129">
    <w:name w:val="tt1"/>
    <w:basedOn w:val="1"/>
    <w:qFormat/>
    <w:uiPriority w:val="0"/>
    <w:pPr>
      <w:widowControl/>
      <w:spacing w:before="100" w:beforeAutospacing="1" w:after="100" w:afterAutospacing="1"/>
      <w:jc w:val="left"/>
    </w:pPr>
    <w:rPr>
      <w:rFonts w:ascii="宋体" w:hAnsi="宋体" w:cs="宋体"/>
      <w:kern w:val="0"/>
      <w:sz w:val="24"/>
    </w:rPr>
  </w:style>
  <w:style w:type="paragraph" w:customStyle="1" w:styleId="130">
    <w:name w:val="样式3（标）"/>
    <w:basedOn w:val="108"/>
    <w:qFormat/>
    <w:uiPriority w:val="0"/>
  </w:style>
  <w:style w:type="paragraph" w:customStyle="1" w:styleId="131">
    <w:name w:val="君邦正文"/>
    <w:qFormat/>
    <w:uiPriority w:val="0"/>
    <w:pPr>
      <w:spacing w:line="360" w:lineRule="auto"/>
      <w:ind w:left="-4" w:leftChars="-2" w:firstLine="480" w:firstLineChars="200"/>
      <w:jc w:val="both"/>
    </w:pPr>
    <w:rPr>
      <w:rFonts w:ascii="宋体" w:hAnsi="宋体" w:eastAsia="宋体" w:cs="Times New Roman"/>
      <w:kern w:val="2"/>
      <w:sz w:val="24"/>
      <w:lang w:val="en-US" w:eastAsia="zh-CN" w:bidi="ar-SA"/>
    </w:rPr>
  </w:style>
  <w:style w:type="paragraph" w:customStyle="1" w:styleId="132">
    <w:name w:val="Char1"/>
    <w:basedOn w:val="1"/>
    <w:qFormat/>
    <w:uiPriority w:val="0"/>
    <w:pPr>
      <w:spacing w:line="360" w:lineRule="auto"/>
      <w:ind w:firstLine="200" w:firstLineChars="200"/>
    </w:pPr>
    <w:rPr>
      <w:sz w:val="28"/>
      <w:szCs w:val="20"/>
    </w:rPr>
  </w:style>
  <w:style w:type="paragraph" w:customStyle="1" w:styleId="133">
    <w:name w:val="Char Char Char Char"/>
    <w:basedOn w:val="1"/>
    <w:qFormat/>
    <w:uiPriority w:val="0"/>
    <w:pPr>
      <w:ind w:firstLine="538" w:firstLineChars="192"/>
    </w:pPr>
    <w:rPr>
      <w:rFonts w:ascii="黑体" w:hAnsi="宋体" w:eastAsia="黑体"/>
      <w:b/>
      <w:color w:val="000000"/>
      <w:kern w:val="24"/>
      <w:sz w:val="28"/>
      <w:szCs w:val="28"/>
    </w:rPr>
  </w:style>
  <w:style w:type="paragraph" w:customStyle="1" w:styleId="134">
    <w:name w:val="表1"/>
    <w:next w:val="1"/>
    <w:qFormat/>
    <w:uiPriority w:val="0"/>
    <w:pPr>
      <w:adjustRightInd w:val="0"/>
      <w:snapToGrid w:val="0"/>
      <w:jc w:val="center"/>
    </w:pPr>
    <w:rPr>
      <w:rFonts w:ascii="宋体" w:hAnsi="Times New Roman" w:eastAsia="宋体" w:cs="Times New Roman"/>
      <w:sz w:val="21"/>
      <w:lang w:val="en-US" w:eastAsia="zh-CN" w:bidi="ar-SA"/>
    </w:rPr>
  </w:style>
  <w:style w:type="paragraph" w:customStyle="1" w:styleId="135">
    <w:name w:val="表标"/>
    <w:basedOn w:val="28"/>
    <w:qFormat/>
    <w:uiPriority w:val="0"/>
    <w:pPr>
      <w:widowControl/>
      <w:tabs>
        <w:tab w:val="left" w:pos="8207"/>
      </w:tabs>
      <w:adjustRightInd w:val="0"/>
      <w:snapToGrid w:val="0"/>
      <w:spacing w:beforeLines="50" w:line="360" w:lineRule="auto"/>
      <w:ind w:left="0" w:leftChars="0" w:firstLine="480" w:firstLineChars="200"/>
      <w:textAlignment w:val="baseline"/>
    </w:pPr>
    <w:rPr>
      <w:rFonts w:ascii="黑体" w:hAnsi="宋体" w:eastAsia="黑体"/>
      <w:bCs/>
      <w:sz w:val="24"/>
    </w:rPr>
  </w:style>
  <w:style w:type="paragraph" w:customStyle="1" w:styleId="136">
    <w:name w:val="style12"/>
    <w:basedOn w:val="1"/>
    <w:qFormat/>
    <w:uiPriority w:val="0"/>
    <w:pPr>
      <w:widowControl/>
      <w:spacing w:before="100" w:beforeAutospacing="1" w:after="100" w:afterAutospacing="1"/>
      <w:jc w:val="left"/>
    </w:pPr>
    <w:rPr>
      <w:rFonts w:ascii="黑体" w:hAnsi="宋体" w:eastAsia="黑体" w:cs="宋体"/>
      <w:kern w:val="0"/>
      <w:sz w:val="33"/>
      <w:szCs w:val="33"/>
    </w:rPr>
  </w:style>
  <w:style w:type="paragraph" w:customStyle="1" w:styleId="137">
    <w:name w:val="样式 标题 2 + 宋体"/>
    <w:basedOn w:val="3"/>
    <w:qFormat/>
    <w:uiPriority w:val="0"/>
    <w:pPr>
      <w:keepLines/>
      <w:tabs>
        <w:tab w:val="left" w:pos="1400"/>
      </w:tabs>
      <w:spacing w:before="260" w:after="260" w:line="240" w:lineRule="auto"/>
      <w:ind w:left="1400" w:leftChars="-1" w:hanging="420" w:firstLineChars="0"/>
    </w:pPr>
    <w:rPr>
      <w:rFonts w:ascii="宋体" w:hAnsi="宋体"/>
      <w:b/>
      <w:bCs/>
      <w:color w:val="auto"/>
      <w:szCs w:val="32"/>
    </w:rPr>
  </w:style>
  <w:style w:type="paragraph" w:customStyle="1" w:styleId="138">
    <w:name w:val="1"/>
    <w:basedOn w:val="1"/>
    <w:next w:val="1"/>
    <w:qFormat/>
    <w:uiPriority w:val="0"/>
    <w:pPr>
      <w:widowControl/>
      <w:snapToGrid w:val="0"/>
      <w:spacing w:line="300" w:lineRule="auto"/>
      <w:jc w:val="left"/>
    </w:pPr>
    <w:rPr>
      <w:szCs w:val="20"/>
    </w:rPr>
  </w:style>
  <w:style w:type="paragraph" w:customStyle="1" w:styleId="139">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0">
    <w:name w:val="xl24"/>
    <w:basedOn w:val="1"/>
    <w:qFormat/>
    <w:uiPriority w:val="0"/>
    <w:pPr>
      <w:widowControl/>
      <w:pBdr>
        <w:bottom w:val="single" w:color="auto" w:sz="4" w:space="0"/>
        <w:right w:val="single" w:color="auto" w:sz="4" w:space="0"/>
      </w:pBdr>
      <w:snapToGrid w:val="0"/>
      <w:spacing w:before="100" w:beforeAutospacing="1" w:after="100" w:afterAutospacing="1"/>
      <w:jc w:val="center"/>
    </w:pPr>
    <w:rPr>
      <w:rFonts w:hint="eastAsia" w:ascii="宋体" w:hAnsi="宋体"/>
      <w:kern w:val="0"/>
      <w:sz w:val="28"/>
      <w:szCs w:val="28"/>
    </w:rPr>
  </w:style>
  <w:style w:type="paragraph" w:customStyle="1" w:styleId="141">
    <w:name w:val="样式 标题 3ReHead 3 WSAh3标题 3 Char标题 32标题 311Re11Head 3 WSA1..."/>
    <w:basedOn w:val="4"/>
    <w:qFormat/>
    <w:uiPriority w:val="0"/>
    <w:pPr>
      <w:keepNext w:val="0"/>
      <w:keepLines w:val="0"/>
      <w:widowControl/>
      <w:spacing w:beforeLines="50" w:after="0" w:line="480" w:lineRule="exact"/>
      <w:jc w:val="left"/>
    </w:pPr>
    <w:rPr>
      <w:rFonts w:ascii="宋体" w:hAnsi="宋体" w:cs="宋体"/>
      <w:color w:val="000000"/>
      <w:kern w:val="0"/>
      <w:sz w:val="24"/>
      <w:szCs w:val="20"/>
    </w:rPr>
  </w:style>
  <w:style w:type="paragraph" w:customStyle="1" w:styleId="142">
    <w:name w:val="表中文字"/>
    <w:basedOn w:val="1"/>
    <w:qFormat/>
    <w:uiPriority w:val="0"/>
    <w:pPr>
      <w:jc w:val="center"/>
    </w:pPr>
  </w:style>
  <w:style w:type="paragraph" w:customStyle="1" w:styleId="143">
    <w:name w:val="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44">
    <w:name w:val="样式10"/>
    <w:basedOn w:val="1"/>
    <w:qFormat/>
    <w:uiPriority w:val="0"/>
    <w:pPr>
      <w:spacing w:line="360" w:lineRule="auto"/>
      <w:ind w:firstLine="480" w:firstLineChars="200"/>
    </w:pPr>
    <w:rPr>
      <w:rFonts w:ascii="宋体" w:hAnsi="宋体"/>
      <w:kern w:val="10"/>
      <w:sz w:val="24"/>
      <w:szCs w:val="20"/>
    </w:rPr>
  </w:style>
  <w:style w:type="paragraph" w:customStyle="1" w:styleId="145">
    <w:name w:val="样式2 style9"/>
    <w:basedOn w:val="1"/>
    <w:qFormat/>
    <w:uiPriority w:val="0"/>
    <w:pPr>
      <w:widowControl/>
      <w:spacing w:before="100" w:beforeAutospacing="1" w:after="100" w:afterAutospacing="1"/>
      <w:jc w:val="left"/>
    </w:pPr>
    <w:rPr>
      <w:rFonts w:ascii="宋体" w:hAnsi="宋体" w:cs="宋体"/>
      <w:kern w:val="0"/>
      <w:sz w:val="24"/>
    </w:rPr>
  </w:style>
  <w:style w:type="paragraph" w:customStyle="1" w:styleId="146">
    <w:name w:val="陈正文1"/>
    <w:basedOn w:val="1"/>
    <w:next w:val="8"/>
    <w:qFormat/>
    <w:uiPriority w:val="0"/>
    <w:rPr>
      <w:sz w:val="28"/>
      <w:szCs w:val="20"/>
    </w:rPr>
  </w:style>
  <w:style w:type="paragraph" w:customStyle="1" w:styleId="147">
    <w:name w:val="Char Char Char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表格内容"/>
    <w:basedOn w:val="12"/>
    <w:link w:val="166"/>
    <w:qFormat/>
    <w:uiPriority w:val="0"/>
    <w:pPr>
      <w:spacing w:line="312" w:lineRule="auto"/>
      <w:ind w:firstLine="0"/>
      <w:jc w:val="center"/>
    </w:pPr>
    <w:rPr>
      <w:rFonts w:ascii="Times New Roman"/>
      <w:sz w:val="21"/>
      <w:szCs w:val="20"/>
    </w:rPr>
  </w:style>
  <w:style w:type="paragraph" w:customStyle="1" w:styleId="149">
    <w:name w:val="默认段落字体 Para Char Char Char Char Char Char Char Char Char1 Char Char Char Char"/>
    <w:basedOn w:val="1"/>
    <w:qFormat/>
    <w:uiPriority w:val="0"/>
    <w:pPr>
      <w:spacing w:line="360" w:lineRule="auto"/>
    </w:pPr>
    <w:rPr>
      <w:rFonts w:ascii="Tahoma" w:hAnsi="Tahoma"/>
      <w:sz w:val="24"/>
      <w:szCs w:val="20"/>
    </w:rPr>
  </w:style>
  <w:style w:type="paragraph" w:customStyle="1" w:styleId="150">
    <w:name w:val="表标题"/>
    <w:basedOn w:val="12"/>
    <w:next w:val="1"/>
    <w:qFormat/>
    <w:uiPriority w:val="0"/>
    <w:pPr>
      <w:adjustRightInd w:val="0"/>
      <w:snapToGrid w:val="0"/>
      <w:spacing w:line="540" w:lineRule="exact"/>
      <w:ind w:firstLine="560" w:firstLineChars="200"/>
    </w:pPr>
    <w:rPr>
      <w:rFonts w:hAnsi="宋体"/>
      <w:sz w:val="28"/>
      <w:szCs w:val="28"/>
    </w:rPr>
  </w:style>
  <w:style w:type="paragraph" w:customStyle="1" w:styleId="151">
    <w:name w:val="表序"/>
    <w:basedOn w:val="1"/>
    <w:qFormat/>
    <w:uiPriority w:val="0"/>
    <w:pPr>
      <w:spacing w:line="400" w:lineRule="exact"/>
    </w:pPr>
    <w:rPr>
      <w:rFonts w:ascii="宋体" w:hAnsi="宋体"/>
      <w:snapToGrid w:val="0"/>
      <w:kern w:val="0"/>
      <w:sz w:val="24"/>
      <w:szCs w:val="20"/>
    </w:rPr>
  </w:style>
  <w:style w:type="paragraph" w:customStyle="1" w:styleId="152">
    <w:name w:val="陈样式4"/>
    <w:basedOn w:val="2"/>
    <w:qFormat/>
    <w:uiPriority w:val="0"/>
    <w:pPr>
      <w:tabs>
        <w:tab w:val="left" w:pos="1280"/>
      </w:tabs>
      <w:spacing w:line="240" w:lineRule="auto"/>
      <w:ind w:left="1280" w:hanging="720"/>
    </w:pPr>
    <w:rPr>
      <w:b w:val="0"/>
      <w:bCs w:val="0"/>
      <w:sz w:val="28"/>
      <w:szCs w:val="20"/>
    </w:rPr>
  </w:style>
  <w:style w:type="paragraph" w:customStyle="1" w:styleId="153">
    <w:name w:val="表格格式"/>
    <w:basedOn w:val="1"/>
    <w:qFormat/>
    <w:uiPriority w:val="0"/>
    <w:pPr>
      <w:spacing w:line="300" w:lineRule="auto"/>
      <w:jc w:val="center"/>
    </w:pPr>
    <w:rPr>
      <w:rFonts w:cs="宋体"/>
      <w:szCs w:val="21"/>
    </w:rPr>
  </w:style>
  <w:style w:type="table" w:customStyle="1" w:styleId="154">
    <w:name w:val="表"/>
    <w:basedOn w:val="38"/>
    <w:qFormat/>
    <w:uiPriority w:val="0"/>
    <w:pPr>
      <w:snapToGrid w:val="0"/>
      <w:spacing w:line="360" w:lineRule="atLeast"/>
      <w:jc w:val="center"/>
    </w:pPr>
    <w:rPr>
      <w:sz w:val="21"/>
      <w:szCs w:val="21"/>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cPr>
      <w:shd w:val="clear" w:color="auto" w:fill="FFFFFF"/>
      <w:vAlign w:val="center"/>
    </w:tcPr>
  </w:style>
  <w:style w:type="character" w:customStyle="1" w:styleId="155">
    <w:name w:val="表格正文 Char"/>
    <w:link w:val="156"/>
    <w:qFormat/>
    <w:uiPriority w:val="0"/>
    <w:rPr>
      <w:rFonts w:ascii="仿宋_GB2312" w:hAnsi="仿宋_GB2312" w:eastAsia="仿宋_GB2312"/>
      <w:color w:val="000000"/>
      <w:szCs w:val="21"/>
      <w:u w:color="000000"/>
    </w:rPr>
  </w:style>
  <w:style w:type="paragraph" w:customStyle="1" w:styleId="156">
    <w:name w:val="表格正文"/>
    <w:basedOn w:val="1"/>
    <w:link w:val="155"/>
    <w:qFormat/>
    <w:uiPriority w:val="0"/>
    <w:pPr>
      <w:jc w:val="center"/>
    </w:pPr>
    <w:rPr>
      <w:rFonts w:ascii="仿宋_GB2312" w:hAnsi="仿宋_GB2312" w:eastAsia="仿宋_GB2312"/>
      <w:color w:val="000000"/>
      <w:kern w:val="0"/>
      <w:sz w:val="20"/>
      <w:szCs w:val="21"/>
      <w:u w:color="000000"/>
    </w:rPr>
  </w:style>
  <w:style w:type="character" w:customStyle="1" w:styleId="157">
    <w:name w:val="图形格式 Char"/>
    <w:basedOn w:val="41"/>
    <w:link w:val="158"/>
    <w:qFormat/>
    <w:uiPriority w:val="0"/>
    <w:rPr>
      <w:sz w:val="24"/>
      <w:szCs w:val="24"/>
    </w:rPr>
  </w:style>
  <w:style w:type="paragraph" w:customStyle="1" w:styleId="158">
    <w:name w:val="图形格式"/>
    <w:basedOn w:val="1"/>
    <w:link w:val="157"/>
    <w:qFormat/>
    <w:uiPriority w:val="0"/>
    <w:pPr>
      <w:jc w:val="center"/>
    </w:pPr>
    <w:rPr>
      <w:kern w:val="0"/>
      <w:sz w:val="24"/>
    </w:rPr>
  </w:style>
  <w:style w:type="character" w:customStyle="1" w:styleId="159">
    <w:name w:val="正文首行缩进 2 Char"/>
    <w:basedOn w:val="79"/>
    <w:link w:val="37"/>
    <w:qFormat/>
    <w:uiPriority w:val="0"/>
    <w:rPr>
      <w:kern w:val="2"/>
      <w:sz w:val="21"/>
      <w:szCs w:val="24"/>
    </w:rPr>
  </w:style>
  <w:style w:type="paragraph" w:customStyle="1" w:styleId="160">
    <w:name w:val="_Style 141"/>
    <w:basedOn w:val="1"/>
    <w:qFormat/>
    <w:uiPriority w:val="0"/>
    <w:rPr>
      <w:sz w:val="24"/>
    </w:rPr>
  </w:style>
  <w:style w:type="paragraph" w:customStyle="1" w:styleId="161">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62">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 w:val="24"/>
    </w:rPr>
  </w:style>
  <w:style w:type="character" w:customStyle="1" w:styleId="163">
    <w:name w:val="正文01 Char1"/>
    <w:link w:val="164"/>
    <w:qFormat/>
    <w:uiPriority w:val="0"/>
    <w:rPr>
      <w:rFonts w:ascii="Arial" w:hAnsi="Arial"/>
      <w:kern w:val="2"/>
      <w:sz w:val="24"/>
      <w:szCs w:val="24"/>
    </w:rPr>
  </w:style>
  <w:style w:type="paragraph" w:customStyle="1" w:styleId="164">
    <w:name w:val="正文01"/>
    <w:basedOn w:val="1"/>
    <w:link w:val="163"/>
    <w:qFormat/>
    <w:uiPriority w:val="0"/>
    <w:pPr>
      <w:spacing w:before="60" w:line="460" w:lineRule="exact"/>
      <w:ind w:firstLine="200" w:firstLineChars="200"/>
    </w:pPr>
    <w:rPr>
      <w:rFonts w:ascii="Arial" w:hAnsi="Arial"/>
      <w:sz w:val="24"/>
    </w:rPr>
  </w:style>
  <w:style w:type="paragraph" w:customStyle="1" w:styleId="165">
    <w:name w:val="表 正文"/>
    <w:basedOn w:val="1"/>
    <w:qFormat/>
    <w:uiPriority w:val="0"/>
    <w:pPr>
      <w:spacing w:line="360" w:lineRule="auto"/>
      <w:ind w:firstLine="200" w:firstLineChars="200"/>
    </w:pPr>
    <w:rPr>
      <w:sz w:val="24"/>
      <w:szCs w:val="20"/>
    </w:rPr>
  </w:style>
  <w:style w:type="character" w:customStyle="1" w:styleId="166">
    <w:name w:val="表格内容 Char"/>
    <w:link w:val="148"/>
    <w:qFormat/>
    <w:uiPriority w:val="0"/>
    <w:rPr>
      <w:kern w:val="2"/>
      <w:sz w:val="21"/>
    </w:rPr>
  </w:style>
  <w:style w:type="paragraph" w:customStyle="1" w:styleId="167">
    <w:name w:val="标题 5+表标题"/>
    <w:basedOn w:val="6"/>
    <w:next w:val="168"/>
    <w:link w:val="169"/>
    <w:qFormat/>
    <w:uiPriority w:val="0"/>
    <w:pPr>
      <w:keepLines/>
      <w:widowControl/>
      <w:adjustRightInd w:val="0"/>
      <w:snapToGrid w:val="0"/>
      <w:ind w:firstLine="482" w:firstLineChars="200"/>
      <w:outlineLvl w:val="9"/>
    </w:pPr>
    <w:rPr>
      <w:rFonts w:hAnsi="宋体"/>
      <w:b/>
      <w:bCs/>
      <w:i w:val="0"/>
      <w:iCs w:val="0"/>
      <w:sz w:val="24"/>
    </w:rPr>
  </w:style>
  <w:style w:type="paragraph" w:styleId="168">
    <w:name w:val="List Paragraph"/>
    <w:basedOn w:val="1"/>
    <w:qFormat/>
    <w:uiPriority w:val="34"/>
    <w:pPr>
      <w:ind w:firstLine="420" w:firstLineChars="200"/>
    </w:pPr>
  </w:style>
  <w:style w:type="character" w:customStyle="1" w:styleId="169">
    <w:name w:val="标题 5+表标题 Char"/>
    <w:basedOn w:val="41"/>
    <w:link w:val="167"/>
    <w:qFormat/>
    <w:uiPriority w:val="0"/>
    <w:rPr>
      <w:rFonts w:hAnsi="宋体"/>
      <w:b/>
      <w:bCs/>
      <w:kern w:val="2"/>
      <w:sz w:val="24"/>
      <w:szCs w:val="24"/>
    </w:rPr>
  </w:style>
  <w:style w:type="character" w:customStyle="1" w:styleId="170">
    <w:name w:val="fontstyle41"/>
    <w:basedOn w:val="41"/>
    <w:qFormat/>
    <w:uiPriority w:val="0"/>
    <w:rPr>
      <w:rFonts w:hint="default" w:ascii="SymbolMT" w:hAnsi="SymbolMT"/>
      <w:color w:val="000000"/>
      <w:sz w:val="30"/>
      <w:szCs w:val="30"/>
    </w:rPr>
  </w:style>
  <w:style w:type="character" w:customStyle="1" w:styleId="171">
    <w:name w:val="fontstyle51"/>
    <w:basedOn w:val="41"/>
    <w:qFormat/>
    <w:uiPriority w:val="0"/>
    <w:rPr>
      <w:rFonts w:hint="default" w:ascii="MicrosoftYaHei-Bold" w:hAnsi="MicrosoftYaHei-Bold"/>
      <w:b/>
      <w:bCs/>
      <w:color w:val="000000"/>
      <w:sz w:val="18"/>
      <w:szCs w:val="18"/>
    </w:rPr>
  </w:style>
  <w:style w:type="character" w:customStyle="1" w:styleId="172">
    <w:name w:val="fontstyle61"/>
    <w:basedOn w:val="41"/>
    <w:qFormat/>
    <w:uiPriority w:val="0"/>
    <w:rPr>
      <w:rFonts w:hint="default" w:ascii="TimesNewRomanPS-BoldMT" w:hAnsi="TimesNewRomanPS-BoldMT"/>
      <w:b/>
      <w:bCs/>
      <w:color w:val="000000"/>
      <w:sz w:val="24"/>
      <w:szCs w:val="24"/>
    </w:rPr>
  </w:style>
  <w:style w:type="paragraph" w:customStyle="1" w:styleId="173">
    <w:name w:val="正文文本缩进 31"/>
    <w:basedOn w:val="1"/>
    <w:qFormat/>
    <w:uiPriority w:val="99"/>
    <w:pPr>
      <w:spacing w:line="580" w:lineRule="exact"/>
      <w:ind w:firstLine="573"/>
    </w:pPr>
    <w:rPr>
      <w:sz w:val="28"/>
      <w:szCs w:val="28"/>
    </w:rPr>
  </w:style>
  <w:style w:type="character" w:customStyle="1" w:styleId="174">
    <w:name w:val="apple-converted-space"/>
    <w:basedOn w:val="41"/>
    <w:qFormat/>
    <w:uiPriority w:val="0"/>
  </w:style>
  <w:style w:type="paragraph" w:customStyle="1" w:styleId="175">
    <w:name w:val="表内字"/>
    <w:basedOn w:val="1"/>
    <w:qFormat/>
    <w:uiPriority w:val="0"/>
    <w:pPr>
      <w:spacing w:line="300" w:lineRule="atLeast"/>
      <w:jc w:val="center"/>
    </w:pPr>
  </w:style>
  <w:style w:type="paragraph" w:customStyle="1" w:styleId="176">
    <w:name w:val="表头、图示"/>
    <w:basedOn w:val="1"/>
    <w:qFormat/>
    <w:uiPriority w:val="0"/>
    <w:pPr>
      <w:spacing w:line="0" w:lineRule="atLeast"/>
      <w:jc w:val="center"/>
    </w:pPr>
    <w:rPr>
      <w:rFonts w:eastAsia="黑体"/>
      <w:sz w:val="24"/>
      <w:szCs w:val="22"/>
    </w:rPr>
  </w:style>
  <w:style w:type="character" w:customStyle="1" w:styleId="177">
    <w:name w:val="表格 Char Char"/>
    <w:qFormat/>
    <w:uiPriority w:val="0"/>
    <w:rPr>
      <w:kern w:val="2"/>
      <w:sz w:val="21"/>
      <w:szCs w:val="22"/>
    </w:rPr>
  </w:style>
  <w:style w:type="paragraph" w:customStyle="1" w:styleId="178">
    <w:name w:val="我的样式（正文）"/>
    <w:basedOn w:val="1"/>
    <w:qFormat/>
    <w:uiPriority w:val="0"/>
    <w:pPr>
      <w:spacing w:line="440" w:lineRule="exact"/>
    </w:pPr>
    <w:rPr>
      <w:rFonts w:ascii="宋体"/>
      <w:sz w:val="28"/>
      <w:szCs w:val="20"/>
    </w:rPr>
  </w:style>
  <w:style w:type="character" w:customStyle="1" w:styleId="179">
    <w:name w:val="正文首行缩进-修改 Char"/>
    <w:link w:val="180"/>
    <w:qFormat/>
    <w:uiPriority w:val="0"/>
    <w:rPr>
      <w:kern w:val="2"/>
      <w:sz w:val="24"/>
      <w:szCs w:val="24"/>
    </w:rPr>
  </w:style>
  <w:style w:type="paragraph" w:customStyle="1" w:styleId="180">
    <w:name w:val="正文首行缩进-修改"/>
    <w:basedOn w:val="1"/>
    <w:link w:val="179"/>
    <w:qFormat/>
    <w:uiPriority w:val="0"/>
    <w:pPr>
      <w:spacing w:line="360" w:lineRule="auto"/>
      <w:ind w:firstLine="480" w:firstLineChars="200"/>
    </w:pPr>
    <w:rPr>
      <w:sz w:val="24"/>
    </w:rPr>
  </w:style>
  <w:style w:type="paragraph" w:customStyle="1" w:styleId="181">
    <w:name w:val="样式 正文文本缩进 3 + 12 磅 左侧:  2 字符"/>
    <w:basedOn w:val="27"/>
    <w:qFormat/>
    <w:uiPriority w:val="0"/>
    <w:pPr>
      <w:widowControl/>
      <w:spacing w:after="120"/>
      <w:ind w:firstLine="200"/>
      <w:jc w:val="left"/>
    </w:pPr>
    <w:rPr>
      <w:rFonts w:cs="PMingLiU"/>
      <w:kern w:val="0"/>
      <w:sz w:val="24"/>
      <w:szCs w:val="20"/>
    </w:rPr>
  </w:style>
  <w:style w:type="paragraph" w:customStyle="1" w:styleId="182">
    <w:name w:val="zxz5"/>
    <w:next w:val="1"/>
    <w:qFormat/>
    <w:uiPriority w:val="0"/>
    <w:pPr>
      <w:tabs>
        <w:tab w:val="left" w:pos="0"/>
      </w:tabs>
      <w:jc w:val="center"/>
    </w:pPr>
    <w:rPr>
      <w:rFonts w:ascii="Times New Roman" w:hAnsi="Times New Roman" w:eastAsia="宋体" w:cs="Times New Roman"/>
      <w:lang w:val="en-US" w:eastAsia="zh-CN" w:bidi="ar-SA"/>
    </w:rPr>
  </w:style>
  <w:style w:type="paragraph" w:customStyle="1" w:styleId="183">
    <w:name w:val="表格内文字"/>
    <w:next w:val="1"/>
    <w:qFormat/>
    <w:uiPriority w:val="0"/>
    <w:pPr>
      <w:widowControl w:val="0"/>
      <w:adjustRightInd w:val="0"/>
      <w:snapToGrid w:val="0"/>
      <w:jc w:val="center"/>
    </w:pPr>
    <w:rPr>
      <w:rFonts w:ascii="Times New Roman" w:hAnsi="Times New Roman" w:eastAsia="宋体" w:cs="Times New Roman"/>
      <w:snapToGrid w:val="0"/>
      <w:sz w:val="21"/>
      <w:lang w:val="en-US" w:eastAsia="zh-CN" w:bidi="ar-SA"/>
    </w:rPr>
  </w:style>
  <w:style w:type="character" w:styleId="184">
    <w:name w:val="Placeholder Text"/>
    <w:basedOn w:val="41"/>
    <w:unhideWhenUsed/>
    <w:qFormat/>
    <w:uiPriority w:val="99"/>
    <w:rPr>
      <w:color w:val="808080"/>
    </w:rPr>
  </w:style>
  <w:style w:type="table" w:customStyle="1" w:styleId="185">
    <w:name w:val="样式2"/>
    <w:basedOn w:val="38"/>
    <w:qFormat/>
    <w:uiPriority w:val="99"/>
    <w:pPr>
      <w:jc w:val="center"/>
    </w:pPr>
    <w:rPr>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186">
    <w:name w:val="正文（自定义）"/>
    <w:basedOn w:val="1"/>
    <w:link w:val="187"/>
    <w:qFormat/>
    <w:uiPriority w:val="0"/>
    <w:pPr>
      <w:spacing w:line="360" w:lineRule="auto"/>
      <w:ind w:firstLine="480" w:firstLineChars="200"/>
    </w:pPr>
    <w:rPr>
      <w:rFonts w:cstheme="minorBidi"/>
      <w:sz w:val="24"/>
      <w:szCs w:val="22"/>
    </w:rPr>
  </w:style>
  <w:style w:type="character" w:customStyle="1" w:styleId="187">
    <w:name w:val="正文（自定义） Char"/>
    <w:basedOn w:val="41"/>
    <w:link w:val="186"/>
    <w:qFormat/>
    <w:uiPriority w:val="0"/>
    <w:rPr>
      <w:rFonts w:cstheme="minorBidi"/>
      <w:kern w:val="2"/>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31.png"/><Relationship Id="rId53" Type="http://schemas.openxmlformats.org/officeDocument/2006/relationships/chart" Target="charts/chart2.xml"/><Relationship Id="rId52" Type="http://schemas.openxmlformats.org/officeDocument/2006/relationships/chart" Target="charts/chart1.xml"/><Relationship Id="rId51" Type="http://schemas.openxmlformats.org/officeDocument/2006/relationships/image" Target="media/image30.png"/><Relationship Id="rId50" Type="http://schemas.openxmlformats.org/officeDocument/2006/relationships/image" Target="media/image29.wmf"/><Relationship Id="rId5" Type="http://schemas.openxmlformats.org/officeDocument/2006/relationships/theme" Target="theme/theme1.xml"/><Relationship Id="rId49" Type="http://schemas.openxmlformats.org/officeDocument/2006/relationships/oleObject" Target="embeddings/oleObject15.bin"/><Relationship Id="rId48" Type="http://schemas.openxmlformats.org/officeDocument/2006/relationships/image" Target="media/image28.wmf"/><Relationship Id="rId47" Type="http://schemas.openxmlformats.org/officeDocument/2006/relationships/oleObject" Target="embeddings/oleObject14.bin"/><Relationship Id="rId46" Type="http://schemas.openxmlformats.org/officeDocument/2006/relationships/image" Target="media/image27.wmf"/><Relationship Id="rId45" Type="http://schemas.openxmlformats.org/officeDocument/2006/relationships/oleObject" Target="embeddings/oleObject13.bin"/><Relationship Id="rId44" Type="http://schemas.openxmlformats.org/officeDocument/2006/relationships/image" Target="media/image26.wmf"/><Relationship Id="rId43" Type="http://schemas.openxmlformats.org/officeDocument/2006/relationships/oleObject" Target="embeddings/oleObject12.bin"/><Relationship Id="rId42" Type="http://schemas.openxmlformats.org/officeDocument/2006/relationships/image" Target="media/image25.wmf"/><Relationship Id="rId41" Type="http://schemas.openxmlformats.org/officeDocument/2006/relationships/oleObject" Target="embeddings/oleObject11.bin"/><Relationship Id="rId40" Type="http://schemas.openxmlformats.org/officeDocument/2006/relationships/image" Target="media/image24.wmf"/><Relationship Id="rId4" Type="http://schemas.openxmlformats.org/officeDocument/2006/relationships/footer" Target="footer1.xml"/><Relationship Id="rId39" Type="http://schemas.openxmlformats.org/officeDocument/2006/relationships/oleObject" Target="embeddings/oleObject10.bin"/><Relationship Id="rId38" Type="http://schemas.openxmlformats.org/officeDocument/2006/relationships/image" Target="media/image23.wmf"/><Relationship Id="rId37" Type="http://schemas.openxmlformats.org/officeDocument/2006/relationships/oleObject" Target="embeddings/oleObject9.bin"/><Relationship Id="rId36" Type="http://schemas.openxmlformats.org/officeDocument/2006/relationships/image" Target="media/image22.wmf"/><Relationship Id="rId35" Type="http://schemas.openxmlformats.org/officeDocument/2006/relationships/oleObject" Target="embeddings/oleObject8.bin"/><Relationship Id="rId34" Type="http://schemas.openxmlformats.org/officeDocument/2006/relationships/image" Target="media/image21.wmf"/><Relationship Id="rId33" Type="http://schemas.openxmlformats.org/officeDocument/2006/relationships/oleObject" Target="embeddings/oleObject7.bin"/><Relationship Id="rId32" Type="http://schemas.openxmlformats.org/officeDocument/2006/relationships/image" Target="media/image20.wmf"/><Relationship Id="rId31" Type="http://schemas.openxmlformats.org/officeDocument/2006/relationships/oleObject" Target="embeddings/oleObject6.bin"/><Relationship Id="rId30" Type="http://schemas.openxmlformats.org/officeDocument/2006/relationships/image" Target="media/image19.wmf"/><Relationship Id="rId3" Type="http://schemas.openxmlformats.org/officeDocument/2006/relationships/header" Target="header1.xml"/><Relationship Id="rId29" Type="http://schemas.openxmlformats.org/officeDocument/2006/relationships/image" Target="file:///C:\Users\lenovo\AppData\Local\Temp\ksohtml\wpsA9E6.tmp.png" TargetMode="External"/><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emf"/><Relationship Id="rId17" Type="http://schemas.openxmlformats.org/officeDocument/2006/relationships/oleObject" Target="embeddings/oleObject3.bin"/><Relationship Id="rId16" Type="http://schemas.openxmlformats.org/officeDocument/2006/relationships/image" Target="media/image9.emf"/><Relationship Id="rId15" Type="http://schemas.openxmlformats.org/officeDocument/2006/relationships/oleObject" Target="embeddings/oleObject2.bin"/><Relationship Id="rId14" Type="http://schemas.openxmlformats.org/officeDocument/2006/relationships/image" Target="media/image8.emf"/><Relationship Id="rId13" Type="http://schemas.openxmlformats.org/officeDocument/2006/relationships/oleObject" Target="embeddings/oleObject1.bin"/><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10天         </c:v>
                </c:pt>
              </c:strCache>
            </c:strRef>
          </c:tx>
          <c:dLbls>
            <c:delete val="1"/>
          </c:dLbls>
          <c:cat>
            <c:numRef>
              <c:f>Sheet1!$A$2:$A$17</c:f>
              <c:numCache>
                <c:formatCode>General</c:formatCode>
                <c:ptCount val="16"/>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numCache>
            </c:numRef>
          </c:cat>
          <c:val>
            <c:numRef>
              <c:f>Sheet1!$B$2:$B$17</c:f>
              <c:numCache>
                <c:formatCode>0.00E+00</c:formatCode>
                <c:ptCount val="16"/>
                <c:pt idx="0">
                  <c:v>4.13</c:v>
                </c:pt>
                <c:pt idx="1">
                  <c:v>0.31</c:v>
                </c:pt>
                <c:pt idx="2">
                  <c:v>5.49000000000001e-7</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ser>
          <c:idx val="1"/>
          <c:order val="1"/>
          <c:tx>
            <c:strRef>
              <c:f>Sheet1!$C$1</c:f>
              <c:strCache>
                <c:ptCount val="1"/>
                <c:pt idx="0">
                  <c:v>100天         </c:v>
                </c:pt>
              </c:strCache>
            </c:strRef>
          </c:tx>
          <c:dLbls>
            <c:delete val="1"/>
          </c:dLbls>
          <c:cat>
            <c:numRef>
              <c:f>Sheet1!$A$2:$A$17</c:f>
              <c:numCache>
                <c:formatCode>General</c:formatCode>
                <c:ptCount val="16"/>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numCache>
            </c:numRef>
          </c:cat>
          <c:val>
            <c:numRef>
              <c:f>Sheet1!$C$2:$C$17</c:f>
              <c:numCache>
                <c:formatCode>0.00E+00</c:formatCode>
                <c:ptCount val="16"/>
                <c:pt idx="0">
                  <c:v>0.0611</c:v>
                </c:pt>
                <c:pt idx="1">
                  <c:v>0.627</c:v>
                </c:pt>
                <c:pt idx="2">
                  <c:v>2.08</c:v>
                </c:pt>
                <c:pt idx="3">
                  <c:v>2.33</c:v>
                </c:pt>
                <c:pt idx="4">
                  <c:v>0.896</c:v>
                </c:pt>
                <c:pt idx="5">
                  <c:v>0.12</c:v>
                </c:pt>
                <c:pt idx="6">
                  <c:v>0.00572</c:v>
                </c:pt>
                <c:pt idx="7">
                  <c:v>9.71000000000001e-5</c:v>
                </c:pt>
                <c:pt idx="8">
                  <c:v>5.96000000000001e-7</c:v>
                </c:pt>
                <c:pt idx="9">
                  <c:v>1.33e-9</c:v>
                </c:pt>
                <c:pt idx="10">
                  <c:v>1.17e-12</c:v>
                </c:pt>
                <c:pt idx="11">
                  <c:v>0</c:v>
                </c:pt>
                <c:pt idx="12">
                  <c:v>0</c:v>
                </c:pt>
                <c:pt idx="13">
                  <c:v>0</c:v>
                </c:pt>
                <c:pt idx="14">
                  <c:v>0</c:v>
                </c:pt>
                <c:pt idx="15">
                  <c:v>0</c:v>
                </c:pt>
              </c:numCache>
            </c:numRef>
          </c:val>
          <c:smooth val="0"/>
        </c:ser>
        <c:ser>
          <c:idx val="2"/>
          <c:order val="2"/>
          <c:tx>
            <c:strRef>
              <c:f>Sheet1!$D$1</c:f>
              <c:strCache>
                <c:ptCount val="1"/>
                <c:pt idx="0">
                  <c:v>1000天         </c:v>
                </c:pt>
              </c:strCache>
            </c:strRef>
          </c:tx>
          <c:dLbls>
            <c:delete val="1"/>
          </c:dLbls>
          <c:cat>
            <c:numRef>
              <c:f>Sheet1!$A$2:$A$17</c:f>
              <c:numCache>
                <c:formatCode>General</c:formatCode>
                <c:ptCount val="16"/>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numCache>
            </c:numRef>
          </c:cat>
          <c:val>
            <c:numRef>
              <c:f>Sheet1!$D$2:$D$17</c:f>
              <c:numCache>
                <c:formatCode>0.00E+00</c:formatCode>
                <c:ptCount val="16"/>
                <c:pt idx="0">
                  <c:v>1.17e-14</c:v>
                </c:pt>
                <c:pt idx="1">
                  <c:v>1.48e-13</c:v>
                </c:pt>
                <c:pt idx="2">
                  <c:v>1.65e-12</c:v>
                </c:pt>
                <c:pt idx="3">
                  <c:v>1.5e-11</c:v>
                </c:pt>
                <c:pt idx="4">
                  <c:v>1.33e-10</c:v>
                </c:pt>
                <c:pt idx="5">
                  <c:v>1.07e-9</c:v>
                </c:pt>
                <c:pt idx="6">
                  <c:v>7.75000000000001e-9</c:v>
                </c:pt>
                <c:pt idx="7">
                  <c:v>5.07000000000001e-8</c:v>
                </c:pt>
                <c:pt idx="8">
                  <c:v>3e-7</c:v>
                </c:pt>
                <c:pt idx="9">
                  <c:v>1.6e-6</c:v>
                </c:pt>
                <c:pt idx="10">
                  <c:v>7.75000000000001e-6</c:v>
                </c:pt>
                <c:pt idx="11">
                  <c:v>3.39e-5</c:v>
                </c:pt>
                <c:pt idx="12">
                  <c:v>0.000134</c:v>
                </c:pt>
                <c:pt idx="13">
                  <c:v>0.000477000000000001</c:v>
                </c:pt>
                <c:pt idx="14">
                  <c:v>0.00154</c:v>
                </c:pt>
                <c:pt idx="15">
                  <c:v>0.00448</c:v>
                </c:pt>
              </c:numCache>
            </c:numRef>
          </c:val>
          <c:smooth val="0"/>
        </c:ser>
        <c:dLbls>
          <c:showLegendKey val="0"/>
          <c:showVal val="0"/>
          <c:showCatName val="0"/>
          <c:showSerName val="0"/>
          <c:showPercent val="0"/>
          <c:showBubbleSize val="0"/>
        </c:dLbls>
        <c:marker val="1"/>
        <c:smooth val="0"/>
        <c:axId val="165697792"/>
        <c:axId val="165917056"/>
      </c:lineChart>
      <c:catAx>
        <c:axId val="165697792"/>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距离</a:t>
                </a:r>
                <a:r>
                  <a:rPr lang="zh-CN" altLang="en-US" baseline="0"/>
                  <a:t> （</a:t>
                </a:r>
                <a:r>
                  <a:rPr lang="en-US" altLang="zh-CN" baseline="0"/>
                  <a:t>m</a:t>
                </a:r>
                <a:r>
                  <a:rPr lang="zh-CN" altLang="en-US" baseline="0"/>
                  <a:t>）</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65917056"/>
        <c:crosses val="autoZero"/>
        <c:auto val="1"/>
        <c:lblAlgn val="ctr"/>
        <c:lblOffset val="100"/>
        <c:noMultiLvlLbl val="0"/>
      </c:catAx>
      <c:valAx>
        <c:axId val="165917056"/>
        <c:scaling>
          <c:orientation val="minMax"/>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浓度</a:t>
                </a:r>
                <a:r>
                  <a:rPr lang="zh-CN" altLang="zh-CN" sz="1000" b="1" i="0" u="none" strike="noStrike" baseline="0">
                    <a:effectLst/>
                  </a:rPr>
                  <a:t>（</a:t>
                </a:r>
                <a:r>
                  <a:rPr lang="en-US" altLang="zh-CN" sz="1000" b="1" i="0" u="none" strike="noStrike" baseline="0">
                    <a:effectLst/>
                  </a:rPr>
                  <a:t>mg/L</a:t>
                </a:r>
                <a:r>
                  <a:rPr lang="zh-CN" altLang="zh-CN" sz="1000" b="1" i="0" u="none" strike="noStrike" baseline="0">
                    <a:effectLst/>
                  </a:rPr>
                  <a:t>）</a:t>
                </a:r>
                <a:endParaRPr lang="zh-CN" altLang="en-US"/>
              </a:p>
            </c:rich>
          </c:tx>
          <c:layout/>
          <c:overlay val="0"/>
        </c:title>
        <c:numFmt formatCode="0.00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65697792"/>
        <c:crosses val="autoZero"/>
        <c:crossBetween val="between"/>
      </c:valAx>
    </c:plotArea>
    <c:legend>
      <c:legendPos val="r"/>
      <c:layout/>
      <c:overlay val="1"/>
      <c:spPr>
        <a:solidFill>
          <a:schemeClr val="bg1"/>
        </a:solidFill>
        <a:ln>
          <a:solidFill>
            <a:schemeClr val="bg1"/>
          </a:solidFill>
        </a:ln>
      </c:spP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10天         </c:v>
                </c:pt>
              </c:strCache>
            </c:strRef>
          </c:tx>
          <c:dLbls>
            <c:delete val="1"/>
          </c:dLbls>
          <c:cat>
            <c:numRef>
              <c:f>Sheet1!$A$2:$A$17</c:f>
              <c:numCache>
                <c:formatCode>General</c:formatCode>
                <c:ptCount val="16"/>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numCache>
            </c:numRef>
          </c:cat>
          <c:val>
            <c:numRef>
              <c:f>Sheet1!$B$2:$B$17</c:f>
              <c:numCache>
                <c:formatCode>0.00E+00</c:formatCode>
                <c:ptCount val="16"/>
                <c:pt idx="0">
                  <c:v>4.13</c:v>
                </c:pt>
                <c:pt idx="1">
                  <c:v>0.31</c:v>
                </c:pt>
                <c:pt idx="2">
                  <c:v>5.49000000000001e-7</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ser>
          <c:idx val="1"/>
          <c:order val="1"/>
          <c:tx>
            <c:strRef>
              <c:f>Sheet1!$C$1</c:f>
              <c:strCache>
                <c:ptCount val="1"/>
                <c:pt idx="0">
                  <c:v>100天         </c:v>
                </c:pt>
              </c:strCache>
            </c:strRef>
          </c:tx>
          <c:dLbls>
            <c:delete val="1"/>
          </c:dLbls>
          <c:cat>
            <c:numRef>
              <c:f>Sheet1!$A$2:$A$17</c:f>
              <c:numCache>
                <c:formatCode>General</c:formatCode>
                <c:ptCount val="16"/>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numCache>
            </c:numRef>
          </c:cat>
          <c:val>
            <c:numRef>
              <c:f>Sheet1!$C$2:$C$17</c:f>
              <c:numCache>
                <c:formatCode>0.00E+00</c:formatCode>
                <c:ptCount val="16"/>
                <c:pt idx="0">
                  <c:v>0.0611</c:v>
                </c:pt>
                <c:pt idx="1">
                  <c:v>0.627</c:v>
                </c:pt>
                <c:pt idx="2">
                  <c:v>2.08</c:v>
                </c:pt>
                <c:pt idx="3">
                  <c:v>2.33</c:v>
                </c:pt>
                <c:pt idx="4">
                  <c:v>0.896</c:v>
                </c:pt>
                <c:pt idx="5">
                  <c:v>0.12</c:v>
                </c:pt>
                <c:pt idx="6">
                  <c:v>0.00572</c:v>
                </c:pt>
                <c:pt idx="7">
                  <c:v>9.71000000000001e-5</c:v>
                </c:pt>
                <c:pt idx="8">
                  <c:v>5.96000000000001e-7</c:v>
                </c:pt>
                <c:pt idx="9">
                  <c:v>1.33e-9</c:v>
                </c:pt>
                <c:pt idx="10">
                  <c:v>1.17e-12</c:v>
                </c:pt>
                <c:pt idx="11">
                  <c:v>0</c:v>
                </c:pt>
                <c:pt idx="12">
                  <c:v>0</c:v>
                </c:pt>
                <c:pt idx="13">
                  <c:v>0</c:v>
                </c:pt>
                <c:pt idx="14">
                  <c:v>0</c:v>
                </c:pt>
                <c:pt idx="15">
                  <c:v>0</c:v>
                </c:pt>
              </c:numCache>
            </c:numRef>
          </c:val>
          <c:smooth val="0"/>
        </c:ser>
        <c:ser>
          <c:idx val="2"/>
          <c:order val="2"/>
          <c:tx>
            <c:strRef>
              <c:f>Sheet1!$D$1</c:f>
              <c:strCache>
                <c:ptCount val="1"/>
                <c:pt idx="0">
                  <c:v>1000天         </c:v>
                </c:pt>
              </c:strCache>
            </c:strRef>
          </c:tx>
          <c:dLbls>
            <c:delete val="1"/>
          </c:dLbls>
          <c:cat>
            <c:numRef>
              <c:f>Sheet1!$A$2:$A$17</c:f>
              <c:numCache>
                <c:formatCode>General</c:formatCode>
                <c:ptCount val="16"/>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numCache>
            </c:numRef>
          </c:cat>
          <c:val>
            <c:numRef>
              <c:f>Sheet1!$D$2:$D$17</c:f>
              <c:numCache>
                <c:formatCode>0.00E+00</c:formatCode>
                <c:ptCount val="16"/>
                <c:pt idx="0">
                  <c:v>1.17e-14</c:v>
                </c:pt>
                <c:pt idx="1">
                  <c:v>1.48e-13</c:v>
                </c:pt>
                <c:pt idx="2">
                  <c:v>1.65000000000001e-12</c:v>
                </c:pt>
                <c:pt idx="3">
                  <c:v>1.5e-11</c:v>
                </c:pt>
                <c:pt idx="4">
                  <c:v>1.33e-10</c:v>
                </c:pt>
                <c:pt idx="5">
                  <c:v>1.07e-9</c:v>
                </c:pt>
                <c:pt idx="6">
                  <c:v>7.75000000000001e-9</c:v>
                </c:pt>
                <c:pt idx="7">
                  <c:v>5.07000000000001e-8</c:v>
                </c:pt>
                <c:pt idx="8">
                  <c:v>3e-7</c:v>
                </c:pt>
                <c:pt idx="9">
                  <c:v>1.6e-6</c:v>
                </c:pt>
                <c:pt idx="10">
                  <c:v>7.75000000000001e-6</c:v>
                </c:pt>
                <c:pt idx="11">
                  <c:v>3.39e-5</c:v>
                </c:pt>
                <c:pt idx="12">
                  <c:v>0.000134</c:v>
                </c:pt>
                <c:pt idx="13">
                  <c:v>0.000477000000000001</c:v>
                </c:pt>
                <c:pt idx="14">
                  <c:v>0.00154</c:v>
                </c:pt>
                <c:pt idx="15">
                  <c:v>0.00448</c:v>
                </c:pt>
              </c:numCache>
            </c:numRef>
          </c:val>
          <c:smooth val="0"/>
        </c:ser>
        <c:dLbls>
          <c:showLegendKey val="0"/>
          <c:showVal val="0"/>
          <c:showCatName val="0"/>
          <c:showSerName val="0"/>
          <c:showPercent val="0"/>
          <c:showBubbleSize val="0"/>
        </c:dLbls>
        <c:marker val="1"/>
        <c:smooth val="0"/>
        <c:axId val="165730176"/>
        <c:axId val="165732352"/>
      </c:lineChart>
      <c:catAx>
        <c:axId val="165730176"/>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距离（</a:t>
                </a:r>
                <a:r>
                  <a:rPr lang="en-US" altLang="zh-CN"/>
                  <a:t>m</a:t>
                </a:r>
                <a:r>
                  <a:rPr lang="zh-CN" altLang="en-US"/>
                  <a:t>）</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65732352"/>
        <c:crosses val="autoZero"/>
        <c:auto val="1"/>
        <c:lblAlgn val="ctr"/>
        <c:lblOffset val="100"/>
        <c:noMultiLvlLbl val="0"/>
      </c:catAx>
      <c:valAx>
        <c:axId val="165732352"/>
        <c:scaling>
          <c:orientation val="minMax"/>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浓度（</a:t>
                </a:r>
                <a:r>
                  <a:rPr lang="en-US" altLang="zh-CN"/>
                  <a:t>mg/L</a:t>
                </a:r>
                <a:r>
                  <a:rPr lang="zh-CN" altLang="en-US"/>
                  <a:t>）</a:t>
                </a:r>
                <a:endParaRPr lang="zh-CN" altLang="en-US"/>
              </a:p>
            </c:rich>
          </c:tx>
          <c:layout/>
          <c:overlay val="0"/>
        </c:title>
        <c:numFmt formatCode="0.00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65730176"/>
        <c:crosses val="autoZero"/>
        <c:crossBetween val="between"/>
      </c:valAx>
    </c:plotArea>
    <c:legend>
      <c:legendPos val="r"/>
      <c:layout/>
      <c:overlay val="1"/>
      <c:spPr>
        <a:solidFill>
          <a:schemeClr val="bg1"/>
        </a:solidFill>
        <a:ln>
          <a:solidFill>
            <a:schemeClr val="bg1"/>
          </a:solidFill>
        </a:ln>
      </c:spP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1C1BC3-8CA8-44D5-874C-DD7054B4E708}">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117</Pages>
  <Words>66010</Words>
  <Characters>79486</Characters>
  <Lines>622</Lines>
  <Paragraphs>175</Paragraphs>
  <TotalTime>4726</TotalTime>
  <ScaleCrop>false</ScaleCrop>
  <LinksUpToDate>false</LinksUpToDate>
  <CharactersWithSpaces>79861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2018-03-12T02:34:00Z</dcterms:created>
  <dc:creator>打字室</dc:creator>
  <cp:lastModifiedBy>WPS_1660046246</cp:lastModifiedBy>
  <cp:lastPrinted>2019-04-10T01:09:00Z</cp:lastPrinted>
  <dcterms:modified xsi:type="dcterms:W3CDTF">2024-07-05T03:43:01Z</dcterms:modified>
  <dc:title>《建设项目环境影响报告表》编制说明</dc:title>
  <cp:revision>118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49DF52F0D0874490893E36E5BA4C815C_12</vt:lpwstr>
  </property>
</Properties>
</file>