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根据工作安排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现将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局20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年度预算资金绩效自评情况报告如下：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一、单位概况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（一）主要职责职能，组织架构、人员及资产等基本情况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)贯彻执行国家、省、市关于人力资源和社会保障事业发展规划、政策、法规；拟订全县人力资源和社会保障事业发展规划、政策，组织起草全县人力资源和社会保障方面规范性文件，并组织实施和监督检查。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)拟定并组织实施全县人力资源市场发展规划和人力资源服务业发展、人力资源流动政策，建立全县统一规范的人力资源市场，促进人力资源合理流动、有效配置。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促进就业工作。拟订统筹全县城乡的就业发展规划和政策，完善公共就业创业服务体系，统筹建立面向城乡劳动者的职业技能培训制度，拟订全县就业援助制度，牵头拟订高校毕业生就业创业政策并组织实施，组织实施创业带动就业工作，负责拟订城乡富余劳动力转移就业与创业政策，指导全县劳务输转、小额担保贷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统筹推进建立覆盖全县城乡的社会保障体系，制定具体实施办法并监督实施；综合管理全县机关、事业、企业及其他用人单位社会保险工作；负责全县城乡居民社会养老保险工作；组织实施企事业单位职工工伤认定工作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)负责全县就业、失业和相关社会保险基金预测预警和信息引导，拟订应对预案，实施预防、调节和控制，保持全县就业形势稳定和相关社会保险基金总体收支平衡。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实施劳动人事争议调解仲裁制度，落实劳动关系政策，完善劳动关系协商机制，落实职工工作时间、休息休假和假期制度，监督落实消除非法使用童工政策和女工、未成年工的特殊劳动保护政策。组织实施劳动保障监察，协调劳动者维权工作，依法查处劳动保障违法案件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牵头推进全县深化职称制度改革，拟订全县专业技术人员管理、继续教育等政策，负责全县高层次专业技术人才选拔和培养工作。组织拟订全县技能人才培养、评价、使用和激励制度。完善职业资格制度，健全全县职业技能多元化评价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)会同有关部门指导全县事业单位人事制度改革，按照管理权限负责规范全县事业单位岗位设置、公开招聘、聘用合同等人事综合管理工作，拟订全县事业单位工作人员和机关工勤人员管理政策。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审核呈报以国家、中央部委、省委、省政府、省级各部门以及市委、市政府名义表彰奖励事项；会同有关部门办理以县委、县政府名义表彰奖励事项（对党员和党组织实施的表彰奖励除外）职责；承担县政府管理干部的行政职务任免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)贯彻落实国家、省、市有关事业、企业单位的工资及福利政策，组织实施全县事业单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位人员工资收入分配制度改革，建立事业单位人员工资正常增长和支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付保障机制，调控指导企业劳资双方工资收入分配。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)会同有关部门拟订全县农民工工作综合性政策和规划，推动相关政策落实，协调解决重点难点问题，维护农民工合法权益。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 承办县委、县政府和上级业务部门交办的其他工作任务。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职能转变。深入推进简政放权、放管结合、优化服务改革，进一步减少行政审批事项，规范和优化对外办理事项，减少职业资格许可和认定等审批事项，实行国家职业资格目录清单管理，加强事中事后监管，创新就业和社会保障等公共服务方式，加强信息共享，提高公共服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机构及人员情况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县人力资源和社会保障局是全额拨款行政单位，为县政府工作部门（正科级），内设办公室、工资福利股、仲裁监察股、事业单位人事管理股、专业技术人员管理股、社会保险股、就业促进股、人力资源市场管理股8各股室，现有行政编制12名，机关工勤编制1名，实有在职职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 w:firstLine="321" w:firstLineChars="1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3.资产状况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年年末流动资产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元，固定资产原值为655460元，当年累计折旧439951.19元，年末资产净值215508.81元。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(二)履职总体目标、工作任务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1.履职总体目标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县委县政府的正确领导和省市业务主管部门工作要求为指导，认真学习贯彻习近平新时代中国特色社会主义思想和党的十九大、十九届三中、四中、五中、六中全会精神及习近平总书记视察甘肃重要讲话精神，坚持以“质量提升年”为总抓手，以“党史学习教育”为契机，紧扣“三项改革”（社会保障制度改革、县以下事管岗位职员等级晋升、公立医院薪酬制度改革），突出“四项重点”（就业创业、社会保障、人事人才、劳动关系），创新思路，强化举措，重点工作求突破，基础工作求规范，日常工作求精细，全力抓促，奋力作为，努力使全县人力资源和社会保障工作实现高质量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2.工作任务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抓技能培训和抓创业扶持并举，持续做好稳就业工作。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以抓扩面和抓提标并举，持续做好全民参保工作。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抓规范和抓突破并举，全面推进人事制度改革政策落实。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抓政策宣传和抓劳动监察并举，努力构建和谐劳动关系。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抓学习和抓活动并举，切实加强人社干部队伍建设。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（三）整体支出绩效目标</w:t>
      </w:r>
    </w:p>
    <w:p>
      <w:pPr>
        <w:ind w:left="319" w:leftChars="152" w:firstLine="320" w:firstLineChars="100"/>
        <w:rPr>
          <w:rFonts w:hint="default" w:ascii="Calibri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20271533.17</w:t>
      </w:r>
      <w:r>
        <w:rPr>
          <w:rFonts w:hint="eastAsia" w:ascii="仿宋_GB2312" w:eastAsia="仿宋_GB2312"/>
          <w:sz w:val="32"/>
          <w:szCs w:val="32"/>
        </w:rPr>
        <w:t>元，结余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b/>
          <w:bCs/>
          <w:sz w:val="32"/>
          <w:szCs w:val="32"/>
          <w:lang w:val="en-US" w:eastAsia="zh-CN"/>
        </w:rPr>
        <w:t>1.基本支出: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10282131.3</w:t>
      </w:r>
      <w:r>
        <w:rPr>
          <w:rFonts w:hint="eastAsia" w:ascii="仿宋_GB2312" w:eastAsia="仿宋_GB2312"/>
          <w:sz w:val="32"/>
          <w:szCs w:val="32"/>
        </w:rPr>
        <w:t>元，占总支出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50.72</w:t>
      </w:r>
      <w:r>
        <w:rPr>
          <w:rFonts w:hint="eastAsia" w:ascii="仿宋_GB2312" w:eastAsia="仿宋_GB2312"/>
          <w:sz w:val="32"/>
          <w:szCs w:val="32"/>
        </w:rPr>
        <w:t>%（其中：工资福利支出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2950560.15</w:t>
      </w:r>
      <w:r>
        <w:rPr>
          <w:rFonts w:hint="eastAsia" w:ascii="仿宋_GB2312" w:eastAsia="仿宋_GB2312"/>
          <w:sz w:val="32"/>
          <w:szCs w:val="32"/>
        </w:rPr>
        <w:t>元，占基本支出的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28.7</w:t>
      </w:r>
      <w:r>
        <w:rPr>
          <w:rFonts w:hint="eastAsia" w:ascii="仿宋_GB2312" w:eastAsia="仿宋_GB2312"/>
          <w:sz w:val="32"/>
          <w:szCs w:val="32"/>
        </w:rPr>
        <w:t>%；商品和服务支出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458234.88</w:t>
      </w:r>
      <w:r>
        <w:rPr>
          <w:rFonts w:hint="eastAsia" w:ascii="仿宋_GB2312" w:eastAsia="仿宋_GB2312"/>
          <w:sz w:val="32"/>
          <w:szCs w:val="32"/>
        </w:rPr>
        <w:t>元，占基本支出的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对个人和家庭的补助支出6873336.27元，</w:t>
      </w:r>
      <w:r>
        <w:rPr>
          <w:rFonts w:hint="eastAsia" w:ascii="仿宋_GB2312" w:eastAsia="仿宋_GB2312"/>
          <w:sz w:val="32"/>
          <w:szCs w:val="32"/>
        </w:rPr>
        <w:t>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66.9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项目支出: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9989401.87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占总支出的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49.28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其中:商品和服务支出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1319314</w:t>
      </w:r>
      <w:r>
        <w:rPr>
          <w:rFonts w:hint="eastAsia" w:ascii="仿宋_GB2312" w:eastAsia="仿宋_GB2312"/>
          <w:sz w:val="32"/>
          <w:szCs w:val="32"/>
        </w:rPr>
        <w:t>元，占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13.21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对个人和家庭的补助支出8670087.87，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86.79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（四）预算绩效管理开展情况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年我局进一步完善财务制度，规范收支流程，严格审批制度，严格执行各项财经制度和管理规定，对预算资金严格控制，规范使用，强化执行，充分发挥了财政资金的使用质效。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（五）预算及执行情况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管理方面，我单位建立健全预算资金管理办法、内部财务管理制度、会计核算制度、资产管理制度等制度，并得到有效执行。关于资金使用合规性，我单位资金按照国家财经法规和财务管理制度规定使用，重大开支事项经会议研究决定，资金拨付程序完整规范。关于预决算信息公开及完整性，我单位按照政府信息公开有关规定真实、完整、准确地公开预决算信息。关于资产管理安全性，我单位强化资产管理，确保资产保存完整、使用合规、配置合理、处置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收入情况：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20271533.17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20271533.17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2.支出情况：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20271533.17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10282131.3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50.72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9989401.87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49.28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3.结转结余情况：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58705元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单位整体支出绩效实现情况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（一）履职完成情况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终围绕绩效目标，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和问题，积极应对挑战，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加强队伍建设，落实工作措施，较好地完成了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省市县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年初确定的各项目标任务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 w:firstLineChars="15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今年，省市下达考核指标19项，超额完成10项，顺利达标4项；20项重点工作有序推进，4件为民办实事项目全面完成，整体工作有新亮点、新成效。目前，城镇居民人均可支配收入预计达到3.65万元，预计同比增长9%;城镇新增就业4269人，城镇登记失业率为3.37%，控制在4.5%以内，输转城乡富余劳动力13.46万人，输转有输转意愿的脱贫劳动力4.43万人，输转率达到100%；失业人员再就业1590人，就业困难人员再就业569人，创业担保贷款发放3002.7万元;职业技能培训11031人(新型学徒培训50人)，技能提升专账资金支出1300.40万元;返贫监测劳动力培训1987人，边缘易致贫劳动力培训102人;劳务收入41.68亿元;企业基本养老保险缴费人数增长率达到65.63%，基金收入6912.19万元，基金支出9487.29万元;机关事业单位养老保险参保人员缴费率达到100%，基金支出2.2385亿元；工伤保险农民工参保率、新开工工程建设项目参保率分别达到98%、99%，基金支出268.83万元；失业保险参保人员缴费率为36.79%，基金支出444.28万元；劳动人事争议调解成功率、仲裁结案率分别达到60%、100%；集体合同签订率达到85%，人社政务服务好评率达到97%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（二）履职效果情况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关于职责履行情况，我单位工作实际完成率100%，重点工作实际完成率100%，年度目标全部完成。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（三）社会满意度及可持续性影响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实现又好又快发展，经济效益、社会效益、均取得较好效果，社会公众或服务对象满意度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达到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三、单位整体支出绩效中存在问题及改进措施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（一）主要问题及原因分析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部门预算需进一步完善，充分体现各项收入支出。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预算绩效目标量化度不高。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力度需要进一步加大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（二）改进的方向和具体措施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针对上述存在的问题及我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整体支出管理工作的需要，拟实施的改进措施如下：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预算编制与发展规划相结合，认真做好预算的编制工作。结合本单位实际支出情况及当期资金留存情况，认真编写本单位资金预算及预算目标申报。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结合本单位实际情况，总结上年度工作内容，制定可以量化的年度绩效目标。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，使人人都了解社会保险、就业优惠政策、劳动者合法权益维护等方面的社会保障知识，享受政策红利，有效维护自身合法权益。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要将绩效自评结果作为以后年度预算申请、安排、分配的重要依据，并对发现的问题认真整改，在县政府信息网站及时公开绩效自评结果，接受社会各界监督。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无其他需要说明的问题。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jc w:val="left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CACBC"/>
    <w:multiLevelType w:val="singleLevel"/>
    <w:tmpl w:val="C63CA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zNmMmUxNjI0OWQ5NjJkMDc5MGM0ZWQ4OTYyYTgifQ=="/>
  </w:docVars>
  <w:rsids>
    <w:rsidRoot w:val="00000000"/>
    <w:rsid w:val="018B045B"/>
    <w:rsid w:val="052A66C8"/>
    <w:rsid w:val="09B7531C"/>
    <w:rsid w:val="0ADF27E4"/>
    <w:rsid w:val="0C124F69"/>
    <w:rsid w:val="0D8A793E"/>
    <w:rsid w:val="0E76598D"/>
    <w:rsid w:val="11513D10"/>
    <w:rsid w:val="146F2CE6"/>
    <w:rsid w:val="17572157"/>
    <w:rsid w:val="1EAC12AE"/>
    <w:rsid w:val="21434CA0"/>
    <w:rsid w:val="2165607C"/>
    <w:rsid w:val="224B4C1C"/>
    <w:rsid w:val="23B218EA"/>
    <w:rsid w:val="23E81C4E"/>
    <w:rsid w:val="26B22134"/>
    <w:rsid w:val="2D4E2E88"/>
    <w:rsid w:val="328E5E06"/>
    <w:rsid w:val="334A7A44"/>
    <w:rsid w:val="33983C88"/>
    <w:rsid w:val="33BE4203"/>
    <w:rsid w:val="35550C88"/>
    <w:rsid w:val="35B96496"/>
    <w:rsid w:val="36B347C2"/>
    <w:rsid w:val="36C245B3"/>
    <w:rsid w:val="3C7D57A2"/>
    <w:rsid w:val="3CE01BDF"/>
    <w:rsid w:val="3D71552C"/>
    <w:rsid w:val="3F3943E5"/>
    <w:rsid w:val="3FA51CED"/>
    <w:rsid w:val="40F00F2A"/>
    <w:rsid w:val="413C25D5"/>
    <w:rsid w:val="41E2613A"/>
    <w:rsid w:val="42C249B1"/>
    <w:rsid w:val="443F7D38"/>
    <w:rsid w:val="4530540F"/>
    <w:rsid w:val="49076B4A"/>
    <w:rsid w:val="4A116BE1"/>
    <w:rsid w:val="4B253AAE"/>
    <w:rsid w:val="4D662EE2"/>
    <w:rsid w:val="4D9B14C6"/>
    <w:rsid w:val="505A77E4"/>
    <w:rsid w:val="537A5E96"/>
    <w:rsid w:val="53F03A2B"/>
    <w:rsid w:val="55387D6D"/>
    <w:rsid w:val="567B2604"/>
    <w:rsid w:val="573214BA"/>
    <w:rsid w:val="58EC1EDE"/>
    <w:rsid w:val="5B634DA7"/>
    <w:rsid w:val="5CFB2201"/>
    <w:rsid w:val="63135C6C"/>
    <w:rsid w:val="65DD3EA2"/>
    <w:rsid w:val="6B485C08"/>
    <w:rsid w:val="6D040AE3"/>
    <w:rsid w:val="6F320E06"/>
    <w:rsid w:val="71C0289C"/>
    <w:rsid w:val="720670C6"/>
    <w:rsid w:val="727D01E7"/>
    <w:rsid w:val="73E536E4"/>
    <w:rsid w:val="74C767DC"/>
    <w:rsid w:val="75D47922"/>
    <w:rsid w:val="78DF6875"/>
    <w:rsid w:val="79CE141E"/>
    <w:rsid w:val="7A010B8B"/>
    <w:rsid w:val="7CC10D03"/>
    <w:rsid w:val="7CEC3E38"/>
    <w:rsid w:val="7E8354BB"/>
    <w:rsid w:val="7EB50068"/>
    <w:rsid w:val="7ED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Normal"/>
    <w:basedOn w:val="1"/>
    <w:qFormat/>
    <w:uiPriority w:val="0"/>
    <w:pPr>
      <w:widowControl/>
    </w:pPr>
  </w:style>
  <w:style w:type="character" w:customStyle="1" w:styleId="13">
    <w:name w:val="font-family:仿宋_gb231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5519</Words>
  <Characters>6144</Characters>
  <Lines>0</Lines>
  <Paragraphs>0</Paragraphs>
  <TotalTime>3</TotalTime>
  <ScaleCrop>false</ScaleCrop>
  <LinksUpToDate>false</LinksUpToDate>
  <CharactersWithSpaces>6173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2020-07-21T01:03:00Z</dcterms:created>
  <dc:creator>Administrator</dc:creator>
  <cp:lastModifiedBy>Administrator</cp:lastModifiedBy>
  <cp:lastPrinted>2020-08-18T11:32:00Z</cp:lastPrinted>
  <dcterms:modified xsi:type="dcterms:W3CDTF">2022-10-14T03:08:31Z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8A6C899488D34832BAE4D4B182B22A9C</vt:lpwstr>
  </property>
</Properties>
</file>