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20"/>
          <w:kern w:val="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highlight w:val="none"/>
          <w:lang w:val="en-US" w:eastAsia="zh-CN"/>
        </w:rPr>
        <w:t>宁县人力资源和社会保障局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20"/>
          <w:kern w:val="0"/>
          <w:sz w:val="44"/>
          <w:szCs w:val="44"/>
          <w:highlight w:val="none"/>
          <w:shd w:val="clear" w:color="auto" w:fill="auto"/>
          <w:lang w:val="en-US" w:eastAsia="zh-CN"/>
        </w:rPr>
        <w:t>(一级预算单位)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年度部门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整体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支出绩效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报告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根据工作安排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现将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局20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年度预算资金绩效自评情况报告如下：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一、单位概况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（一）主要职责职能，组织架构、人员及资产等基本情况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)贯彻执行国家、省、市关于人力资源和社会保障事业发展规划、政策、法规；拟订全县人力资源和社会保障事业发展规划、政策，组织起草全县人力资源和社会保障方面规范性文件，并组织实施和监督检查。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)拟定并组织实施全县人力资源市场发展规划和人力资源服务业发展、人力资源流动政策，建立全县统一规范的人力资源市场，促进人力资源合理流动、有效配置。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负责全县促进就业工作。拟订统筹全县城乡的就业发展规划和政策，完善公共就业创业服务体系，统筹建立面向城乡劳动者的职业技能培训制度，拟订全县就业援助制度，牵头拟订高校毕业生就业创业政策并组织实施，组织实施创业带动就业工作，负责拟订城乡富余劳动力转移就业与创业政策，指导全县劳务输转、小额担保贷款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统筹推进建立覆盖全县城乡的社会保障体系，制定具体实施办法并监督实施；综合管理全县机关、事业、企业及其他用人单位社会保险工作；负责全县城乡居民社会养老保险工作；组织实施企事业单位职工工伤认定工作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)负责全县就业、失业和相关社会保险基金预测预警和信息引导，拟订应对预案，实施预防、调节和控制，保持全县就业形势稳定和相关社会保险基金总体收支平衡。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实施劳动人事争议调解仲裁制度，落实劳动关系政策，完善劳动关系协商机制，落实职工工作时间、休息休假和假期制度，监督落实消除非法使用童工政策和女工、未成年工的特殊劳动保护政策。组织实施劳动保障监察，协调劳动者维权工作，依法查处劳动保障违法案件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牵头推进全县深化职称制度改革，拟订全县专业技术人员管理、继续教育等政策，负责全县高层次专业技术人才选拔和培养工作。组织拟订全县技能人才培养、评价、使用和激励制度。完善职业资格制度，健全全县职业技能多元化评价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)会同有关部门指导全县事业单位人事制度改革，按照管理权限负责规范全县事业单位岗位设置、公开招聘、聘用合同等人事综合管理工作，拟订全县事业单位工作人员和机关工勤人员管理政策。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负责审核呈报以国家、中央部委、省委、省政府、省级各部门以及市委、市政府名义表彰奖励事项；会同有关部门办理以县委、县政府名义表彰奖励事项（对党员和党组织实施的表彰奖励除外）职责；承担县政府管理干部的行政职务任免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)贯彻落实国家、省、市有关事业、企业单位的工资及福利政策，组织实施全县事业单位人员工资收入分配制度改革，建立事业单位人员工资正常增长和支付保障机制，调控指导企业劳资双方工资收入分配。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)会同有关部门拟订全县农民工工作综合性政策和规划，推动相关政策落实，协调解决重点难点问题，维护农民工合法权益。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 承办县委、县政府和上级业务部门交办的其他工作任务。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职能转变。深入推进简政放权、放管结合、优化服务改革，进一步减少行政审批事项，规范和优化对外办理事项，减少职业资格许可和认定等审批事项，实行国家职业资格目录清单管理，加强事中事后监管，创新就业和社会保障等公共服务方式，加强信息共享，提高公共服务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机构及人员情况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县人力资源和社会保障局是全额拨款行政单位，为县政府工作部门（正科级），内设办公室、工资福利股、仲裁监察股、事业单位人事管理股、专业技术人员管理股、社会保险股、就业促进股、人力资源市场管理股8各股室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下设宁县就业劳务工作局、宁县社会保险局、宁县城乡居民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养老保险局3个二级单位。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(二)履职总体目标、工作任务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1.履职总体目标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以县委县政府的正确领导和省市业务主管部门工作要求为指导，认真学习贯彻习近平新时代中国特色社会主义思想和党的十九大、十九届三中、四中、五中、六中全会精神及习近平总书记视察甘肃重要讲话精神，坚持以“质量提升年”为总抓手，以“党史学习教育”为契机，紧扣“三项改革”（社会保障制度改革、县以下事管岗位职员等级晋升、公立医院薪酬制度改革），突出“四项重点”（就业创业、社会保障、人事人才、劳动关系），创新思路，强化举措，重点工作求突破，基础工作求规范，日常工作求精细，全力抓促，奋力作为，努力使全县人力资源和社会保障工作实现高质量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2.工作任务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抓技能培训和抓创业扶持并举，持续做好稳就业工作。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以抓扩面和抓提标并举，持续做好全民参保工作。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抓规范和抓突破并举，全面推进人事制度改革政策落实。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抓政策宣传和抓劳动监察并举，努力构建和谐劳动关系。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抓学习和抓活动并举，切实加强人社干部队伍建设。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（三）整体支出绩效目标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年度财政拨款支出合计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84833350.1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/>
          <w:bCs/>
          <w:sz w:val="32"/>
          <w:szCs w:val="32"/>
        </w:rPr>
        <w:t>基本支出：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19061514.64</w:t>
      </w:r>
      <w:r>
        <w:rPr>
          <w:rFonts w:hint="eastAsia" w:ascii="仿宋_GB2312" w:eastAsia="仿宋_GB2312"/>
          <w:sz w:val="32"/>
          <w:szCs w:val="32"/>
        </w:rPr>
        <w:t>元，占总支出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28.04</w:t>
      </w:r>
      <w:r>
        <w:rPr>
          <w:rFonts w:hint="eastAsia"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613577.77</w:t>
      </w:r>
      <w:r>
        <w:rPr>
          <w:rFonts w:hint="eastAsia" w:ascii="仿宋_GB2312" w:eastAsia="仿宋_GB2312"/>
          <w:sz w:val="32"/>
          <w:szCs w:val="32"/>
          <w:lang w:eastAsia="zh-CN"/>
        </w:rPr>
        <w:t>元，减少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3.12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highlight w:val="none"/>
        </w:rPr>
        <w:t>项目支出</w:t>
      </w:r>
      <w:r>
        <w:rPr>
          <w:rFonts w:hint="eastAsia" w:ascii="仿宋_GB2312" w:eastAsia="仿宋_GB2312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48924545.37</w:t>
      </w:r>
      <w:r>
        <w:rPr>
          <w:rFonts w:hint="eastAsia" w:ascii="仿宋_GB2312" w:eastAsia="仿宋_GB2312"/>
          <w:sz w:val="32"/>
          <w:szCs w:val="32"/>
          <w:highlight w:val="none"/>
        </w:rPr>
        <w:t>元，占总支出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71.96</w:t>
      </w:r>
      <w:r>
        <w:rPr>
          <w:rFonts w:hint="eastAsia"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  <w:lang w:eastAsia="zh-CN"/>
        </w:rPr>
        <w:t>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16233712.32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（四）预算绩效管理开展情况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年本部门进一步完善财务制度，规范收支流程，严格审批制度，严格执行各项财经制度和管理规定，对预算资金严格控制，规范使用，强化执行，充分发挥了财政资金的使用质效。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（五）预算及执行情况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算管理方面，本部门建立健全预算资金管理办法、内部财务管理制度、会计核算制度、资产管理制度等制度，并得到有效执行。关于资金使用合规性，本部门资金按照国家财经法规和财务管理制度规定使用，重大开支事项经会议研究决定，资金拨付程序完整规范。关于预决算信息公开及完整性，本部门按照政府信息公开有关规定真实、完整、准确地公开预决算信息。关于资产管理安全性，本部门强化资产管理，确保资产保存完整、使用合规、配置合理、处置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年度收入合计64107355.01元，其中：财政拨款收入64107355.01元。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年度支出合计67986060.01元，其中：基本支出19061514.64元，占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28.04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 项目支出48924545.37元，占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年度年末结转和结余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3878705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部门整体支出绩效实现情况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（一）履职完成情况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年以来，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终围绕绩效目标，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正视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困难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和问题，积极应对挑战，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加强队伍建设，落实工作措施，较好地完成了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省市县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年初确定的各项目标任务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480" w:firstLineChars="150"/>
        <w:jc w:val="both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今年，省市下达考核指标19项，超额完成10项，顺利达标4项；20项重点工作有序推进，4件为民办实事项目全面完成，整体工作有新亮点、新成效。目前，城镇居民人均可支配收入预计达到3.65万元，预计同比增长9%;城镇新增就业4269人，城镇登记失业率为3.37%，控制在4.5%以内，输转城乡富余劳动力13.46万人，输转有输转意愿的脱贫劳动力4.43万人，输转率达到100%；失业人员再就业1590人，就业困难人员再就业569人，创业担保贷款发放3002.7万元;职业技能培训11031人(新型学徒培训50人)，技能提升专账资金支出1300.40万元;返贫监测劳动力培训1987人，边缘易致贫劳动力培训102人;劳务收入41.68亿元;企业基本养老保险缴费人数增长率达到65.63%，基金收入6912.19万元，基金支出9487.29万元;机关事业单位养老保险参保人员缴费率达到100%，基金支出2.2385亿元；工伤保险农民工参保率、新开工工程建设项目参保率分别达到98%、99%，基金支出268.83万元；失业保险参保人员缴费率为36.79%，基金支出444.28万元；劳动人事争议调解成功率、仲裁结案率分别达到60%、100%；集体合同签订率达到85%，人社政务服务好评率达到97%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（二）履职效果情况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关于职责履行情况，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工作实际完成率100%，重点工作实际完成率100%，年度目标全部完成。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（三）社会满意度及可持续性影响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实现又好又快发展，经济效益、社会效益、均取得较好效果，社会公众或服务对象满意度9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三、部门整体支出绩效中存在问题及改进措施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（一）主要问题及原因分析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部门预算需进一步完善，充分体现各项收入支出。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预算绩效目标量化度不高。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力度需要进一步加大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（二）改进的方向和具体措施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针对上述存在的问题及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整体支出管理工作的需要，拟实施的改进措施如下：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预算编制与发展规划相结合，认真做好预算的编制工作。结合本单位实际支出情况及当期资金留存情况，认真编写本单位资金预算及预算目标申报。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结合本单位实际情况，总结上年度工作内容，制定可以量化的年度绩效目标。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，使人人都了解社会保险、就业优惠政策、劳动者合法权益维护等方面的社会保障知识，享受政策红利，有效维护自身合法权益。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四、绩效自评结果拟应用和公开情况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要将绩效自评结果作为以后年度预算申请、安排、分配的重要依据，并对发现的问题认真整改，在县政府信息网站及时公开绩效自评结果，接受社会各界监督。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bottom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无其他需要说明的问题。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CACBC"/>
    <w:multiLevelType w:val="singleLevel"/>
    <w:tmpl w:val="C63CAC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YzNmMmUxNjI0OWQ5NjJkMDc5MGM0ZWQ4OTYyYTgifQ=="/>
  </w:docVars>
  <w:rsids>
    <w:rsidRoot w:val="00000000"/>
    <w:rsid w:val="018B045B"/>
    <w:rsid w:val="0C124F69"/>
    <w:rsid w:val="0D8A793E"/>
    <w:rsid w:val="126D79E5"/>
    <w:rsid w:val="19D93A75"/>
    <w:rsid w:val="2165607C"/>
    <w:rsid w:val="224B4C1C"/>
    <w:rsid w:val="23B218EA"/>
    <w:rsid w:val="23E81C4E"/>
    <w:rsid w:val="26B22134"/>
    <w:rsid w:val="328E5E06"/>
    <w:rsid w:val="334A7A44"/>
    <w:rsid w:val="346B1146"/>
    <w:rsid w:val="36B347C2"/>
    <w:rsid w:val="3C7D57A2"/>
    <w:rsid w:val="3F3943E5"/>
    <w:rsid w:val="40F00F2A"/>
    <w:rsid w:val="413C25D5"/>
    <w:rsid w:val="426A202D"/>
    <w:rsid w:val="42C249B1"/>
    <w:rsid w:val="443F7D38"/>
    <w:rsid w:val="46A866FF"/>
    <w:rsid w:val="4A116BE1"/>
    <w:rsid w:val="4B253AAE"/>
    <w:rsid w:val="537A5E96"/>
    <w:rsid w:val="55387D6D"/>
    <w:rsid w:val="58F01BD5"/>
    <w:rsid w:val="63135C6C"/>
    <w:rsid w:val="63232E77"/>
    <w:rsid w:val="65DD3EA2"/>
    <w:rsid w:val="6726548A"/>
    <w:rsid w:val="6B485C08"/>
    <w:rsid w:val="6BDC411A"/>
    <w:rsid w:val="720670C6"/>
    <w:rsid w:val="74C767DC"/>
    <w:rsid w:val="75D47922"/>
    <w:rsid w:val="77F313DA"/>
    <w:rsid w:val="79CE141E"/>
    <w:rsid w:val="7CC10D03"/>
    <w:rsid w:val="7E8354BB"/>
    <w:rsid w:val="7EB50068"/>
    <w:rsid w:val="7ED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/>
      <w:sz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tabs>
        <w:tab w:val="left" w:pos="0"/>
      </w:tabs>
      <w:adjustRightInd w:val="0"/>
      <w:snapToGrid w:val="0"/>
      <w:spacing w:before="100" w:beforeLines="100" w:after="100" w:afterLines="100"/>
      <w:ind w:firstLine="0" w:firstLineChars="0"/>
      <w:jc w:val="center"/>
    </w:pPr>
    <w:rPr>
      <w:rFonts w:hAnsi="Arial" w:cs="Arial"/>
      <w:b/>
      <w:bCs/>
      <w:sz w:val="48"/>
      <w:szCs w:val="32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Normal"/>
    <w:basedOn w:val="1"/>
    <w:qFormat/>
    <w:uiPriority w:val="0"/>
    <w:pPr>
      <w:widowControl/>
    </w:pPr>
  </w:style>
  <w:style w:type="character" w:customStyle="1" w:styleId="13">
    <w:name w:val="font-family:仿宋_gb231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3395</Words>
  <Characters>3715</Characters>
  <Lines>0</Lines>
  <Paragraphs>0</Paragraphs>
  <TotalTime>4</TotalTime>
  <ScaleCrop>false</ScaleCrop>
  <LinksUpToDate>false</LinksUpToDate>
  <CharactersWithSpaces>3737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2020-07-21T01:03:00Z</dcterms:created>
  <dc:creator>Administrator</dc:creator>
  <cp:lastModifiedBy>Administrator</cp:lastModifiedBy>
  <cp:lastPrinted>2020-08-18T11:32:00Z</cp:lastPrinted>
  <dcterms:modified xsi:type="dcterms:W3CDTF">2022-10-18T04:02:03Z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047E0630AF9D452DBE8FDA83E201B36C</vt:lpwstr>
  </property>
</Properties>
</file>