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</w:rPr>
        <w:t>宁县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eastAsia="zh-CN"/>
        </w:rPr>
        <w:t>司法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</w:rPr>
        <w:t>局</w:t>
      </w:r>
      <w:r>
        <w:rPr>
          <w:rFonts w:ascii="方正小标宋简体" w:hAnsi="方正小标宋简体" w:eastAsia="方正小标宋简体" w:cs="方正小标宋简体"/>
          <w:color w:val="000000"/>
          <w:kern w:val="0"/>
          <w:sz w:val="43"/>
          <w:szCs w:val="43"/>
        </w:rPr>
        <w:t>20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</w:rPr>
        <w:t>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/>
        </w:rPr>
        <w:t>2</w:t>
      </w:r>
      <w:r>
        <w:rPr>
          <w:rFonts w:ascii="方正小标宋简体" w:hAnsi="方正小标宋简体" w:eastAsia="方正小标宋简体" w:cs="方正小标宋简体"/>
          <w:color w:val="000000"/>
          <w:kern w:val="0"/>
          <w:sz w:val="43"/>
          <w:szCs w:val="43"/>
        </w:rPr>
        <w:t>年度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</w:rPr>
        <w:t>部门整体支出</w:t>
      </w:r>
    </w:p>
    <w:p>
      <w:pPr>
        <w:widowControl/>
        <w:jc w:val="center"/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</w:rPr>
        <w:t>绩效自评报告</w:t>
      </w:r>
    </w:p>
    <w:p>
      <w:pPr>
        <w:adjustRightInd w:val="0"/>
        <w:snapToGrid w:val="0"/>
        <w:spacing w:line="578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为进一步规范财政资金管理，强化部门责任意识，切实提高财政资金使用效益。按照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按照县财政局印发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的《关于深入开展财政资金绩效自评工作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的通知》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文件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要求，我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单位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高度重视，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遵循“科学规范、公正公开、分类管理、绩效相关”的原则，组织人员运用科学、合理的绩效评价指标、评价标准和评价方法，对本部门整体支出</w:t>
      </w:r>
      <w:r>
        <w:rPr>
          <w:rFonts w:hint="eastAsia" w:ascii="仿宋_GB2312" w:hAnsi="Times New Roman" w:eastAsia="仿宋_GB2312"/>
          <w:sz w:val="32"/>
          <w:szCs w:val="32"/>
        </w:rPr>
        <w:t>进行了全面梳理，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做出客观、公正的评价，现将我单位202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年度绩效评价情况报告如下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widowControl/>
        <w:spacing w:line="600" w:lineRule="exact"/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 xml:space="preserve">一、部门概况 </w:t>
      </w:r>
    </w:p>
    <w:p>
      <w:pPr>
        <w:widowControl/>
        <w:spacing w:line="600" w:lineRule="exact"/>
        <w:ind w:firstLine="643" w:firstLineChars="200"/>
        <w:jc w:val="left"/>
        <w:rPr>
          <w:rFonts w:ascii="楷体_GB2312" w:hAnsi="仿宋_GB2312" w:eastAsia="楷体_GB2312" w:cs="仿宋_GB2312"/>
          <w:b/>
          <w:color w:val="000000"/>
          <w:kern w:val="0"/>
          <w:sz w:val="32"/>
          <w:szCs w:val="32"/>
        </w:rPr>
      </w:pPr>
      <w:r>
        <w:rPr>
          <w:rFonts w:hint="eastAsia" w:ascii="楷体_GB2312" w:hAnsi="仿宋_GB2312" w:eastAsia="楷体_GB2312" w:cs="仿宋_GB2312"/>
          <w:b/>
          <w:color w:val="000000"/>
          <w:kern w:val="0"/>
          <w:sz w:val="32"/>
          <w:szCs w:val="32"/>
        </w:rPr>
        <w:t>单位主要职责职能组织架构、人员及资产等基本情况。</w:t>
      </w:r>
    </w:p>
    <w:p>
      <w:pPr>
        <w:spacing w:line="550" w:lineRule="exact"/>
        <w:rPr>
          <w:rFonts w:ascii="仿宋_GB2312" w:hAnsi="仿宋_GB2312" w:eastAsia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  <w:t xml:space="preserve"> 1、</w:t>
      </w:r>
      <w:r>
        <w:rPr>
          <w:rFonts w:hint="eastAsia" w:ascii="仿宋_GB2312" w:hAnsi="宋体" w:eastAsia="仿宋_GB2312"/>
          <w:b/>
          <w:sz w:val="32"/>
          <w:szCs w:val="32"/>
        </w:rPr>
        <w:t>宁</w:t>
      </w:r>
      <w:r>
        <w:rPr>
          <w:rFonts w:hint="eastAsia" w:ascii="仿宋_GB2312" w:eastAsia="仿宋_GB2312"/>
          <w:b/>
          <w:sz w:val="32"/>
          <w:szCs w:val="32"/>
        </w:rPr>
        <w:t>县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司法</w:t>
      </w:r>
      <w:r>
        <w:rPr>
          <w:rFonts w:hint="eastAsia" w:ascii="仿宋_GB2312" w:eastAsia="仿宋_GB2312"/>
          <w:b/>
          <w:sz w:val="32"/>
          <w:szCs w:val="32"/>
        </w:rPr>
        <w:t>局主要职能</w:t>
      </w:r>
      <w:r>
        <w:rPr>
          <w:rFonts w:hint="eastAsia" w:ascii="仿宋_GB2312" w:hAnsi="仿宋_GB2312" w:eastAsia="仿宋_GB2312"/>
          <w:b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职能职责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1.承担全面依法治县重大问题的政策研究，协调有关方面提出全面依法治县中长期规划建议，负责有关重大决策部署督察工作。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.承担统筹推进法治政府建设的责任。指导、监督各乡镇人民政府、县政府各部门依法行政工作。负责综合协调行政执法，承担推进行政执法体制改革有关工作，推进严格规范公正文明执法。承办向县政府申请的行政复议案件工作，负责应诉案件的办理工作。负责规范行政执法程序，行政执法行为和行政裁量权。负责全县行政执法人员的培训，审核县政府各部门行政执法主体和行政执法人员资格。指导、监督各部门、各乡镇行政执法工作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  3.负责乡镇人民政府和县级人民政府部门规范性文件的备案、登记和审查工作。负责对县政府规范性文件草案进行审核修改，并提出书面审核意见，提交县级人民政府审议。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4.承担统筹规划法治社会建设的责任。按照中央、省委、市委、县委统一部署，拟订法治宣传教育实施规划，组织实施普法宣传工作。推动人民参与和促进法治建设。指导依法治理和法治创建工作。指导人民调解工作和人民陪审员、人民监督员选任管理工作，推进司法所建设。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5.负责拟订全县公共法律服务体系建设规划并组织实施，统筹和布局城乡、区域法律服务资源。指导、监督公共法律服务中心建设。指导、监督律师、公证、法律援助、司法鉴定、仲裁和基层法律服务工作。管理社会法律服务机构。参与社会治安综合治理工作。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6.指导、管理和协调全县社区矫正和刑满释放人员安置帮教工作。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  7.负责县政府法律顾问工作。对县政府作出的重大行政决策进行合法性审查。代理县政府行政诉讼和以县政府作为民事主体的相关法律事务，负责县政府法律事务咨询工作。组织开展法治政府建设理论研究和宣传工作。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 8.负责本系统信息化建设工作。指导、监督本系统财务、装备、设施、场所等保障工作。  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9.组织实施本系统党的建设、队伍建设、思想政治建设和精神文明建设。规划、协调、指导法治人才队伍建设相关工作。指导、监督全县法律服务行业党建工作。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10.完成县委、县政府和市司法局交办的其他工作任务。  </w:t>
      </w:r>
    </w:p>
    <w:p>
      <w:pPr>
        <w:pStyle w:val="13"/>
        <w:spacing w:line="640" w:lineRule="exact"/>
        <w:ind w:firstLine="643" w:firstLineChars="200"/>
        <w:rPr>
          <w:rFonts w:ascii="仿宋_GB2312" w:hAnsi="Arial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 2、机构设置：</w:t>
      </w:r>
      <w:r>
        <w:rPr>
          <w:rFonts w:hint="eastAsia" w:ascii="仿宋_GB2312" w:hAnsi="仿宋_GB2312" w:eastAsia="仿宋_GB2312" w:cs="仿宋_GB2312"/>
          <w:sz w:val="32"/>
          <w:szCs w:val="32"/>
        </w:rPr>
        <w:t>宁县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司法局</w:t>
      </w:r>
      <w:r>
        <w:rPr>
          <w:rFonts w:hint="eastAsia" w:ascii="仿宋_GB2312" w:hAnsi="仿宋_GB2312" w:eastAsia="仿宋_GB2312" w:cs="仿宋_GB2312"/>
          <w:sz w:val="32"/>
          <w:szCs w:val="32"/>
        </w:rPr>
        <w:t>为财政全额拨款的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行政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单位，设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个职能股，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分别为：</w:t>
      </w:r>
      <w:r>
        <w:rPr>
          <w:rFonts w:hint="eastAsia" w:ascii="仿宋_GB2312" w:hAnsi="仿宋_GB2312" w:eastAsia="仿宋_GB2312" w:cs="仿宋_GB2312"/>
          <w:sz w:val="32"/>
          <w:szCs w:val="32"/>
        </w:rPr>
        <w:t>办公室、人民参与和促进法制股、普法与依法治理股、行政执法监督股、政府法律事务股、社区矫正管理股、公共法律服务管理股7个职能股室，下辖甘肃通联律师事务所、甘肃陇域律师事务所、宁县公证处和18个基层司法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13"/>
        <w:spacing w:line="640" w:lineRule="exact"/>
        <w:ind w:firstLine="643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3、人员情况：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2022年底宁县司法局</w:t>
      </w:r>
      <w:r>
        <w:rPr>
          <w:rFonts w:hint="default" w:ascii="仿宋_GB2312" w:hAnsi="仿宋_GB2312" w:eastAsia="仿宋_GB2312" w:cs="仿宋_GB2312"/>
          <w:sz w:val="32"/>
          <w:szCs w:val="32"/>
        </w:rPr>
        <w:t>核定编制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57</w:t>
      </w:r>
      <w:r>
        <w:rPr>
          <w:rFonts w:hint="default" w:ascii="仿宋_GB2312" w:hAnsi="仿宋_GB2312" w:eastAsia="仿宋_GB2312" w:cs="仿宋_GB2312"/>
          <w:sz w:val="32"/>
          <w:szCs w:val="32"/>
        </w:rPr>
        <w:t>名，其中：行政编制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51</w:t>
      </w:r>
      <w:r>
        <w:rPr>
          <w:rFonts w:hint="default" w:ascii="仿宋_GB2312" w:hAnsi="仿宋_GB2312" w:eastAsia="仿宋_GB2312" w:cs="仿宋_GB2312"/>
          <w:sz w:val="32"/>
          <w:szCs w:val="32"/>
        </w:rPr>
        <w:t>名、事业编制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default" w:ascii="仿宋_GB2312" w:hAnsi="仿宋_GB2312" w:eastAsia="仿宋_GB2312" w:cs="仿宋_GB2312"/>
          <w:sz w:val="32"/>
          <w:szCs w:val="32"/>
        </w:rPr>
        <w:t>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共有在职人员77人（行政人员37人，事业人员40人），遗嘱供养人员2人。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甘肃通联律师事务所</w:t>
      </w:r>
      <w:r>
        <w:rPr>
          <w:rFonts w:hint="default" w:ascii="仿宋_GB2312" w:hAnsi="仿宋_GB2312" w:eastAsia="仿宋_GB2312" w:cs="仿宋_GB2312"/>
          <w:sz w:val="32"/>
          <w:szCs w:val="32"/>
        </w:rPr>
        <w:t>为全额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拨</w:t>
      </w:r>
      <w:r>
        <w:rPr>
          <w:rFonts w:hint="default" w:ascii="仿宋_GB2312" w:hAnsi="仿宋_GB2312" w:eastAsia="仿宋_GB2312" w:cs="仿宋_GB2312"/>
          <w:sz w:val="32"/>
          <w:szCs w:val="32"/>
        </w:rPr>
        <w:t>款事业单位，隶属于宁县司法局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律师事务所</w:t>
      </w:r>
      <w:r>
        <w:rPr>
          <w:rFonts w:hint="eastAsia" w:ascii="仿宋_GB2312" w:hAnsi="仿宋_GB2312" w:eastAsia="仿宋_GB2312" w:cs="仿宋_GB2312"/>
          <w:sz w:val="32"/>
          <w:szCs w:val="32"/>
        </w:rPr>
        <w:t>内设5个律师办公室、财务室等职能股室。202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年底编制人数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人，在职5人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default" w:ascii="仿宋_GB2312" w:hAnsi="仿宋_GB2312" w:eastAsia="仿宋_GB2312" w:cs="仿宋_GB2312"/>
          <w:sz w:val="32"/>
          <w:szCs w:val="32"/>
        </w:rPr>
        <w:t>宁县公证处为全额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拨</w:t>
      </w:r>
      <w:r>
        <w:rPr>
          <w:rFonts w:hint="default" w:ascii="仿宋_GB2312" w:hAnsi="仿宋_GB2312" w:eastAsia="仿宋_GB2312" w:cs="仿宋_GB2312"/>
          <w:sz w:val="32"/>
          <w:szCs w:val="32"/>
        </w:rPr>
        <w:t>款事业单位，隶属于宁县司法局，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年底</w:t>
      </w:r>
      <w:r>
        <w:rPr>
          <w:rFonts w:hint="default" w:ascii="仿宋_GB2312" w:hAnsi="仿宋_GB2312" w:eastAsia="仿宋_GB2312" w:cs="仿宋_GB2312"/>
          <w:sz w:val="32"/>
          <w:szCs w:val="32"/>
        </w:rPr>
        <w:t>编制人数5人，在职5人。其中：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非参公事业人员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5人</w:t>
      </w:r>
      <w:r>
        <w:rPr>
          <w:rFonts w:hint="default" w:ascii="仿宋_GB2312" w:hAnsi="仿宋_GB2312" w:eastAsia="仿宋_GB2312" w:cs="仿宋_GB2312"/>
          <w:sz w:val="32"/>
          <w:szCs w:val="32"/>
        </w:rPr>
        <w:t>。</w:t>
      </w:r>
    </w:p>
    <w:p>
      <w:pPr>
        <w:spacing w:line="50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  <w:t>4、资产情况：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宁县司法局年初固定资产原值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222.14万元，净值98.82万元。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年末固定资产原值为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228.47万元，净值78.35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万元；</w:t>
      </w:r>
      <w:r>
        <w:rPr>
          <w:rFonts w:hint="eastAsia" w:ascii="仿宋_GB2312" w:eastAsia="仿宋_GB2312"/>
          <w:color w:val="auto"/>
          <w:sz w:val="32"/>
          <w:szCs w:val="32"/>
        </w:rPr>
        <w:t>宁县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公证处</w:t>
      </w:r>
      <w:r>
        <w:rPr>
          <w:rFonts w:hint="eastAsia" w:ascii="仿宋_GB2312" w:eastAsia="仿宋_GB2312"/>
          <w:sz w:val="32"/>
          <w:szCs w:val="32"/>
        </w:rPr>
        <w:t>年初资产总额7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82</w:t>
      </w:r>
      <w:r>
        <w:rPr>
          <w:rFonts w:hint="eastAsia" w:ascii="仿宋_GB2312" w:eastAsia="仿宋_GB2312"/>
          <w:sz w:val="32"/>
          <w:szCs w:val="32"/>
          <w:lang w:eastAsia="zh-CN"/>
        </w:rPr>
        <w:t>万</w:t>
      </w:r>
      <w:r>
        <w:rPr>
          <w:rFonts w:hint="eastAsia" w:ascii="仿宋_GB2312" w:eastAsia="仿宋_GB2312"/>
          <w:sz w:val="32"/>
          <w:szCs w:val="32"/>
        </w:rPr>
        <w:t>元，其中：固定资产净值为7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9万</w:t>
      </w:r>
      <w:r>
        <w:rPr>
          <w:rFonts w:hint="eastAsia" w:ascii="仿宋_GB2312" w:eastAsia="仿宋_GB2312"/>
          <w:sz w:val="32"/>
          <w:szCs w:val="32"/>
        </w:rPr>
        <w:t>元，无形资产净值为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0.54万</w:t>
      </w:r>
      <w:r>
        <w:rPr>
          <w:rFonts w:hint="eastAsia" w:ascii="仿宋_GB2312" w:eastAsia="仿宋_GB2312"/>
          <w:sz w:val="32"/>
          <w:szCs w:val="32"/>
        </w:rPr>
        <w:t>元。年内处置通用设备（13台电脑，5台打印机，数码相机1台）共计 7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9万</w:t>
      </w:r>
      <w:r>
        <w:rPr>
          <w:rFonts w:hint="eastAsia" w:ascii="仿宋_GB2312" w:eastAsia="仿宋_GB2312"/>
          <w:sz w:val="32"/>
          <w:szCs w:val="32"/>
        </w:rPr>
        <w:t>元；年末资产净值为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6.00万</w:t>
      </w:r>
      <w:r>
        <w:rPr>
          <w:rFonts w:hint="eastAsia" w:ascii="仿宋_GB2312" w:eastAsia="仿宋_GB2312"/>
          <w:sz w:val="32"/>
          <w:szCs w:val="32"/>
        </w:rPr>
        <w:t>元</w:t>
      </w:r>
      <w:r>
        <w:rPr>
          <w:rFonts w:hint="eastAsia" w:ascii="仿宋_GB2312" w:eastAsia="仿宋_GB2312"/>
          <w:color w:val="auto"/>
          <w:sz w:val="32"/>
          <w:szCs w:val="32"/>
        </w:rPr>
        <w:t>；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甘肃通联律师事务所</w:t>
      </w:r>
      <w:r>
        <w:rPr>
          <w:rFonts w:hint="eastAsia" w:ascii="仿宋" w:hAnsi="仿宋" w:eastAsia="仿宋" w:cs="Arial"/>
          <w:color w:val="auto"/>
          <w:kern w:val="0"/>
          <w:sz w:val="30"/>
          <w:szCs w:val="30"/>
        </w:rPr>
        <w:t>202</w:t>
      </w:r>
      <w:r>
        <w:rPr>
          <w:rFonts w:hint="eastAsia" w:ascii="仿宋" w:hAnsi="仿宋" w:eastAsia="仿宋" w:cs="Arial"/>
          <w:color w:val="auto"/>
          <w:kern w:val="0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Arial"/>
          <w:color w:val="auto"/>
          <w:kern w:val="0"/>
          <w:sz w:val="30"/>
          <w:szCs w:val="30"/>
        </w:rPr>
        <w:t>年初固定资产原值为</w:t>
      </w:r>
      <w:r>
        <w:rPr>
          <w:rFonts w:hint="eastAsia" w:ascii="仿宋" w:hAnsi="仿宋" w:eastAsia="仿宋" w:cs="Arial"/>
          <w:color w:val="auto"/>
          <w:kern w:val="0"/>
          <w:sz w:val="30"/>
          <w:szCs w:val="30"/>
          <w:lang w:val="en-US" w:eastAsia="zh-CN"/>
        </w:rPr>
        <w:t>18.08</w:t>
      </w:r>
      <w:r>
        <w:rPr>
          <w:rFonts w:hint="eastAsia" w:ascii="仿宋" w:hAnsi="仿宋" w:eastAsia="仿宋" w:cs="Arial"/>
          <w:color w:val="auto"/>
          <w:kern w:val="0"/>
          <w:sz w:val="30"/>
          <w:szCs w:val="30"/>
        </w:rPr>
        <w:t>万元，净值</w:t>
      </w:r>
      <w:r>
        <w:rPr>
          <w:rFonts w:hint="eastAsia" w:ascii="仿宋" w:hAnsi="仿宋" w:eastAsia="仿宋" w:cs="Arial"/>
          <w:color w:val="auto"/>
          <w:kern w:val="0"/>
          <w:sz w:val="30"/>
          <w:szCs w:val="30"/>
          <w:lang w:val="en-US" w:eastAsia="zh-CN"/>
        </w:rPr>
        <w:t>7.48</w:t>
      </w:r>
      <w:r>
        <w:rPr>
          <w:rFonts w:hint="eastAsia" w:ascii="仿宋" w:hAnsi="仿宋" w:eastAsia="仿宋" w:cs="Arial"/>
          <w:color w:val="auto"/>
          <w:kern w:val="0"/>
          <w:sz w:val="30"/>
          <w:szCs w:val="30"/>
        </w:rPr>
        <w:t>万元，</w:t>
      </w:r>
      <w:r>
        <w:rPr>
          <w:rFonts w:hint="eastAsia" w:ascii="仿宋" w:hAnsi="仿宋" w:eastAsia="仿宋" w:cs="Arial"/>
          <w:kern w:val="0"/>
          <w:sz w:val="30"/>
          <w:szCs w:val="30"/>
        </w:rPr>
        <w:t>年末固定资产为原值为18.08万元，净值</w:t>
      </w:r>
      <w:r>
        <w:rPr>
          <w:rFonts w:hint="eastAsia" w:ascii="仿宋" w:hAnsi="仿宋" w:eastAsia="仿宋" w:cs="Arial"/>
          <w:kern w:val="0"/>
          <w:sz w:val="30"/>
          <w:szCs w:val="30"/>
          <w:lang w:val="en-US" w:eastAsia="zh-CN"/>
        </w:rPr>
        <w:t>5.46</w:t>
      </w:r>
      <w:r>
        <w:rPr>
          <w:rFonts w:hint="eastAsia" w:ascii="仿宋" w:hAnsi="仿宋" w:eastAsia="仿宋" w:cs="Arial"/>
          <w:kern w:val="0"/>
          <w:sz w:val="30"/>
          <w:szCs w:val="30"/>
        </w:rPr>
        <w:t>万元。</w:t>
      </w:r>
      <w:bookmarkStart w:id="0" w:name="_GoBack"/>
      <w:bookmarkEnd w:id="0"/>
    </w:p>
    <w:p>
      <w:pPr>
        <w:snapToGrid w:val="0"/>
        <w:spacing w:line="640" w:lineRule="exact"/>
        <w:ind w:firstLine="640" w:firstLineChars="200"/>
        <w:rPr>
          <w:rFonts w:ascii="黑体" w:hAnsi="黑体" w:eastAsia="黑体" w:cs="仿宋_GB2312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color w:val="000000"/>
          <w:kern w:val="0"/>
          <w:sz w:val="32"/>
          <w:szCs w:val="32"/>
        </w:rPr>
        <w:t xml:space="preserve">二、当年单位履职总体目标、工作任务。 </w:t>
      </w:r>
    </w:p>
    <w:p>
      <w:pPr>
        <w:ind w:firstLine="680" w:firstLineChars="200"/>
        <w:jc w:val="left"/>
        <w:rPr>
          <w:rFonts w:eastAsia="仿宋_GB2312"/>
          <w:sz w:val="34"/>
          <w:szCs w:val="34"/>
        </w:rPr>
      </w:pPr>
      <w:r>
        <w:rPr>
          <w:rFonts w:eastAsia="仿宋_GB2312"/>
          <w:sz w:val="34"/>
          <w:szCs w:val="34"/>
        </w:rPr>
        <w:t>202</w:t>
      </w:r>
      <w:r>
        <w:rPr>
          <w:rFonts w:hint="eastAsia" w:eastAsia="仿宋_GB2312"/>
          <w:sz w:val="34"/>
          <w:szCs w:val="34"/>
          <w:lang w:val="en-US" w:eastAsia="zh-CN"/>
        </w:rPr>
        <w:t>2</w:t>
      </w:r>
      <w:r>
        <w:rPr>
          <w:rFonts w:eastAsia="仿宋_GB2312"/>
          <w:sz w:val="34"/>
          <w:szCs w:val="34"/>
        </w:rPr>
        <w:t>年，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在县委、县政府的正确领导和上级业务部门的精心指导下，司法行政系统以强化党的政治建设为统领，充分发挥司法行政职能优势，保障社区矫正、法律援助、人民调解、法治宣传等日常业务工作的开展，支持局机关和司法所完善设备，完成规范化建设，加强法律援助工作，有效维护社会弱势群体的合法权益，预防纠纷，减少诉讼，维护社会稳定，让公民自觉遵纪守法，调处矛盾纠纷，息诉息访促平安，为全县经济社会发展提供有力法律服务和法治保障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圆满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完成了各项工作任务。</w:t>
      </w:r>
    </w:p>
    <w:p>
      <w:pPr>
        <w:spacing w:line="600" w:lineRule="exact"/>
        <w:ind w:firstLine="960" w:firstLineChars="300"/>
        <w:jc w:val="left"/>
        <w:rPr>
          <w:rFonts w:hint="eastAsia" w:ascii="黑体" w:hAnsi="黑体" w:eastAsia="黑体" w:cs="楷体_GB2312"/>
          <w:color w:val="auto"/>
          <w:sz w:val="32"/>
          <w:szCs w:val="32"/>
        </w:rPr>
      </w:pPr>
      <w:r>
        <w:rPr>
          <w:rFonts w:hint="eastAsia" w:ascii="黑体" w:hAnsi="黑体" w:eastAsia="黑体" w:cs="楷体_GB2312"/>
          <w:color w:val="auto"/>
          <w:sz w:val="32"/>
          <w:szCs w:val="32"/>
        </w:rPr>
        <w:t>202</w:t>
      </w:r>
      <w:r>
        <w:rPr>
          <w:rFonts w:hint="eastAsia" w:ascii="黑体" w:hAnsi="黑体" w:eastAsia="黑体" w:cs="楷体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楷体_GB2312"/>
          <w:color w:val="auto"/>
          <w:sz w:val="32"/>
          <w:szCs w:val="32"/>
        </w:rPr>
        <w:t>年主要工作</w:t>
      </w:r>
    </w:p>
    <w:p>
      <w:pPr>
        <w:spacing w:line="560" w:lineRule="exact"/>
        <w:ind w:firstLine="643" w:firstLineChars="200"/>
        <w:rPr>
          <w:rFonts w:hint="eastAsia" w:ascii="华文楷体" w:hAnsi="华文楷体" w:eastAsia="华文楷体" w:cs="仿宋_GB2312"/>
          <w:b/>
          <w:color w:val="auto"/>
          <w:sz w:val="32"/>
          <w:szCs w:val="32"/>
        </w:rPr>
      </w:pPr>
      <w:r>
        <w:rPr>
          <w:rFonts w:hint="eastAsia" w:ascii="华文楷体" w:hAnsi="华文楷体" w:eastAsia="华文楷体" w:cs="仿宋_GB2312"/>
          <w:b/>
          <w:color w:val="auto"/>
          <w:sz w:val="32"/>
          <w:szCs w:val="32"/>
        </w:rPr>
        <w:t>（一）强化政治建设，做到“两个维护”。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坚持以党的政治建设为统领，确保党对司法行政工作的绝对领导。</w:t>
      </w:r>
      <w:r>
        <w:rPr>
          <w:rFonts w:hint="eastAsia" w:ascii="华文楷体" w:hAnsi="华文楷体" w:eastAsia="华文楷体" w:cs="仿宋_GB2312"/>
          <w:b/>
          <w:color w:val="auto"/>
          <w:sz w:val="32"/>
          <w:szCs w:val="32"/>
        </w:rPr>
        <w:t>一是强化政治理论武装。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坚持司法行政机关政治属性，坚持首题必政治、逢会必学。认真学习全面贯彻《中国共产党政法工作条例》，坚持党对司法行政工作的绝对领导。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党支部采取“线上+线下”方式，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用好“学习强国”、“甘肃党建” 和“陇政钉”平台，组织全体党员干部系统学习党的十九届六中全会精神、中央全面依法治国会议精神、习近平法治思想，全体党员干部切实增强了“四个意识”，坚定了“四个自信”，做到了“两个维护”。</w:t>
      </w:r>
      <w:r>
        <w:rPr>
          <w:rFonts w:hint="eastAsia" w:ascii="仿宋" w:hAnsi="仿宋" w:eastAsia="仿宋" w:cs="Times New Roman"/>
          <w:color w:val="auto"/>
          <w:sz w:val="32"/>
          <w:szCs w:val="32"/>
        </w:rPr>
        <w:t>二是</w:t>
      </w:r>
      <w:r>
        <w:rPr>
          <w:rFonts w:hint="eastAsia" w:ascii="楷体" w:hAnsi="楷体" w:eastAsia="楷体" w:cs="Times New Roman"/>
          <w:b/>
          <w:bCs/>
          <w:color w:val="auto"/>
          <w:sz w:val="32"/>
          <w:szCs w:val="32"/>
        </w:rPr>
        <w:t>高度重视意识形态工作。</w:t>
      </w:r>
      <w:r>
        <w:rPr>
          <w:rFonts w:hint="eastAsia" w:ascii="仿宋" w:hAnsi="仿宋" w:eastAsia="仿宋" w:cs="Times New Roman"/>
          <w:color w:val="auto"/>
          <w:sz w:val="32"/>
          <w:szCs w:val="32"/>
        </w:rPr>
        <w:t>我们坚持</w:t>
      </w:r>
      <w:r>
        <w:rPr>
          <w:rFonts w:ascii="仿宋" w:hAnsi="仿宋" w:eastAsia="仿宋" w:cs="Times New Roman"/>
          <w:color w:val="auto"/>
          <w:sz w:val="32"/>
          <w:szCs w:val="32"/>
        </w:rPr>
        <w:t>做到意识形态工作与中心工作一同部署、一同推动、一同落实、一同检查。加强新闻宣传，注重舆论引导。充分发挥正面宣传鼓舞人、激励人的作用，切实让一大批贴近实际、贴近生活、贴近群众的司法“好声音”见网见报，进一步营造健康向上的舆论环境。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zh-CN"/>
        </w:rPr>
        <w:t>三是加强基层党建。</w:t>
      </w:r>
      <w:r>
        <w:rPr>
          <w:rFonts w:hint="eastAsia" w:ascii="仿宋" w:hAnsi="仿宋" w:eastAsia="仿宋" w:cs="Times New Roman"/>
          <w:color w:val="auto"/>
          <w:sz w:val="32"/>
          <w:szCs w:val="32"/>
        </w:rPr>
        <w:t>严肃党内政治生活，提高政治生活质量。认真落实“三会一课”、“主题党日”、“班子成员讲党课”、谈心谈话、组织生活会、民主生活会等党内政治生活制度，统一了思想，凝聚了力量，充分发挥基层党组织战斗堡垒作用和党员先锋模范作用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四是积极开展党史学习教育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重温了中国共产党革命史、建国史、发展史和改革开放史，引导广大党员干部学史明理、学史增信、学史崇德、学史力行，做到学党史、悟思想、办实事、开新局。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五是扎实开展政法队伍教育整顿。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结合行业特点，在集中整治“六大顽瘴痼疾”的基础上，深入推进社区矫正突出问题专项整治以及律师行业、公证行业突出问题专项治理以及司法行政系统作风整顿。将为民办实事贯穿政法队伍教育整顿全过程</w:t>
      </w:r>
      <w:r>
        <w:rPr>
          <w:rFonts w:hint="eastAsia" w:ascii="仿宋" w:hAnsi="仿宋" w:eastAsia="仿宋" w:cs="Arial"/>
          <w:bCs/>
          <w:color w:val="auto"/>
          <w:spacing w:val="8"/>
          <w:sz w:val="32"/>
          <w:szCs w:val="32"/>
          <w:shd w:val="clear" w:color="auto" w:fill="FFFFFF"/>
        </w:rPr>
        <w:t>。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</w:rPr>
        <w:t>局党组及时召开会议研究出台了宁县司法行政系统“三个规定”记录填报制度、社区矫正工作制度、法治宣传工作制度、公共法律服务中心管理制度、行政复议工作制度，修订完善了司法局机关管理制度、基层司法所管理制度。建立了司法行政队伍教育整顿长效机制。</w:t>
      </w:r>
      <w:r>
        <w:rPr>
          <w:rFonts w:hint="eastAsia" w:ascii="仿宋" w:hAnsi="仿宋" w:eastAsia="仿宋" w:cs="Arial"/>
          <w:bCs/>
          <w:color w:val="auto"/>
          <w:spacing w:val="8"/>
          <w:sz w:val="32"/>
          <w:szCs w:val="32"/>
          <w:shd w:val="clear" w:color="auto" w:fill="FFFFFF"/>
        </w:rPr>
        <w:t>实现了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干警思想大洗礼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、作风大转变、执行大提升。</w:t>
      </w:r>
    </w:p>
    <w:p>
      <w:pPr>
        <w:spacing w:line="560" w:lineRule="exact"/>
        <w:ind w:firstLine="643" w:firstLineChars="200"/>
        <w:rPr>
          <w:rFonts w:ascii="华文楷体" w:hAnsi="华文楷体" w:eastAsia="华文楷体" w:cs="仿宋_GB2312"/>
          <w:b/>
          <w:color w:val="auto"/>
          <w:sz w:val="32"/>
          <w:szCs w:val="32"/>
        </w:rPr>
      </w:pPr>
      <w:r>
        <w:rPr>
          <w:rFonts w:hint="eastAsia" w:ascii="华文楷体" w:hAnsi="华文楷体" w:eastAsia="华文楷体" w:cs="仿宋_GB2312"/>
          <w:b/>
          <w:color w:val="auto"/>
          <w:sz w:val="32"/>
          <w:szCs w:val="32"/>
        </w:rPr>
        <w:t>（二）抓好一个统筹，加快法治宁县建设。</w:t>
      </w:r>
    </w:p>
    <w:p>
      <w:pPr>
        <w:spacing w:line="560" w:lineRule="exact"/>
        <w:ind w:firstLine="643" w:firstLineChars="200"/>
        <w:rPr>
          <w:rFonts w:hint="eastAsia" w:ascii="楷体_GB2312" w:hAnsi="楷体_GB2312" w:eastAsia="楷体_GB2312" w:cs="楷体_GB2312"/>
          <w:b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color w:val="auto"/>
          <w:sz w:val="32"/>
          <w:szCs w:val="32"/>
        </w:rPr>
        <w:t>1、法治政府建设全面推进。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一是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</w:rPr>
        <w:t>召开了县委全面依法治县委员会第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三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</w:rPr>
        <w:t>次会议，制定</w:t>
      </w:r>
      <w:r>
        <w:rPr>
          <w:rFonts w:ascii="Times New Roman" w:hAnsi="Times New Roman" w:eastAsia="仿宋_GB2312" w:cs="Times New Roman"/>
          <w:bCs/>
          <w:color w:val="auto"/>
          <w:sz w:val="32"/>
          <w:szCs w:val="32"/>
        </w:rPr>
        <w:t>印发了《宁县20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</w:rPr>
        <w:t>21</w:t>
      </w:r>
      <w:r>
        <w:rPr>
          <w:rFonts w:ascii="Times New Roman" w:hAnsi="Times New Roman" w:eastAsia="仿宋_GB2312" w:cs="Times New Roman"/>
          <w:bCs/>
          <w:color w:val="auto"/>
          <w:sz w:val="32"/>
          <w:szCs w:val="32"/>
        </w:rPr>
        <w:t>年依法治县工作要点》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</w:rPr>
        <w:t>《2021年法治政府建设工作要点》，</w:t>
      </w:r>
      <w:r>
        <w:rPr>
          <w:rFonts w:ascii="Times New Roman" w:hAnsi="Times New Roman" w:eastAsia="仿宋_GB2312" w:cs="Times New Roman"/>
          <w:bCs/>
          <w:color w:val="auto"/>
          <w:sz w:val="32"/>
          <w:szCs w:val="32"/>
        </w:rPr>
        <w:t>研究部署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</w:rPr>
        <w:t>阶段</w:t>
      </w:r>
      <w:r>
        <w:rPr>
          <w:rFonts w:ascii="Times New Roman" w:hAnsi="Times New Roman" w:eastAsia="仿宋_GB2312" w:cs="Times New Roman"/>
          <w:bCs/>
          <w:color w:val="auto"/>
          <w:sz w:val="32"/>
          <w:szCs w:val="32"/>
        </w:rPr>
        <w:t>工作，细化任务落实责任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二是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决策的科学化、民主化、法治化进一步提升。在全县党政机关、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企事业单位积极推行法律顾问制度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，健全了依法行政决策机制和重大事项法制审查制度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，初步建立起了以政府法制机构人员为主体、吸收专家和律师参加的法律顾问队伍，保证法律顾问在制定重大行政决策、推进依法行政中发挥积极作用。今年以来，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我局主要负责人列席县政府常务会议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次，为重大决策性措施，重要的行政、经济、民事</w:t>
      </w:r>
      <w:r>
        <w:rPr>
          <w:rFonts w:ascii="Times New Roman" w:hAnsi="Times New Roman" w:cs="Times New Roman"/>
          <w:color w:val="auto"/>
          <w:sz w:val="32"/>
          <w:szCs w:val="32"/>
        </w:rPr>
        <w:fldChar w:fldCharType="begin"/>
      </w:r>
      <w:r>
        <w:rPr>
          <w:rFonts w:ascii="Times New Roman" w:hAnsi="Times New Roman" w:cs="Times New Roman"/>
          <w:color w:val="auto"/>
          <w:sz w:val="32"/>
          <w:szCs w:val="32"/>
        </w:rPr>
        <w:instrText xml:space="preserve">HYPERLINK "http://www.gkstk.com/article/wk-5426628829931.html" \o "合同" </w:instrText>
      </w:r>
      <w:r>
        <w:rPr>
          <w:rFonts w:ascii="Times New Roman" w:hAnsi="Times New Roman" w:cs="Times New Roman"/>
          <w:color w:val="auto"/>
          <w:sz w:val="32"/>
          <w:szCs w:val="32"/>
        </w:rPr>
        <w:fldChar w:fldCharType="separate"/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合同</w:t>
      </w:r>
      <w:r>
        <w:rPr>
          <w:rFonts w:ascii="Times New Roman" w:hAnsi="Times New Roman" w:cs="Times New Roman"/>
          <w:color w:val="auto"/>
          <w:sz w:val="32"/>
          <w:szCs w:val="32"/>
        </w:rPr>
        <w:fldChar w:fldCharType="end"/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以及其它重大涉法事项进行法制审查。三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是加强法治学习。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</w:rPr>
        <w:t>县委、县政府理论学习中心组带头集中学习了《宪法》、《民法典》等法律法规。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2、法治社会建设进入新阶段。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扎实开展法治乡镇和民主法治示范村（社区）创建活动，加强法治乡村建设，我县现有省级民主法治示范村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个，民主法治示范社区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个。</w:t>
      </w:r>
    </w:p>
    <w:p>
      <w:pPr>
        <w:spacing w:line="560" w:lineRule="exact"/>
        <w:ind w:firstLine="643" w:firstLineChars="200"/>
        <w:rPr>
          <w:rFonts w:hint="eastAsia" w:ascii="仿宋_GB2312" w:hAnsi="仿宋" w:eastAsia="仿宋_GB2312" w:cs="Times New Roman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3、法治宣传教育呈现新亮点。一是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举行了宁县集中开展法治宣传教育活动启动仪式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二是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深入推进“法律九进”，实现法治宣传教育全覆盖。“七五”普法讲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</w:rPr>
        <w:t xml:space="preserve">师团深入到各乡镇、村组开展《宪法》《民法典》宣讲活动 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</w:rPr>
        <w:t xml:space="preserve"> 场次。</w:t>
      </w:r>
      <w:r>
        <w:rPr>
          <w:rFonts w:hint="eastAsia" w:ascii="仿宋_GB2312" w:hAnsi="Times New Roman" w:eastAsia="仿宋_GB2312" w:cs="Times New Roman"/>
          <w:bCs/>
          <w:color w:val="auto"/>
          <w:kern w:val="0"/>
          <w:sz w:val="32"/>
          <w:szCs w:val="32"/>
        </w:rPr>
        <w:t>各行政执法单位积极参加省市县举办的各类法治培训。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 xml:space="preserve">组织法官、检察官、公安干警、律师、法治副校长、普法讲师团深入到各乡镇中小学，开展法律宣讲、道路交通安全法宣传、夏季防 溺水讲座、“模拟法庭”等系列活动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 xml:space="preserve"> 次，法律进校园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36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 xml:space="preserve"> 余场（次），共赠送法律宣传书籍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 xml:space="preserve"> 万余本，受教育师生达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 xml:space="preserve"> 万余人（次）。举办全县性法律进乡村法治宣传教育活动  余场（次），发放宣传资料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10万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 xml:space="preserve">余份，解答法律咨询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395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余人（次）；帮助修订完善村规民约、合同、协议共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98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份。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开展了“法律进宗教场所”宣传教育活动，大力宣传党的民族宗教政策，使信教群众依法维权，依法表达利益诉求的能力有所提高，法律意识和法治观念进一步增强。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三是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贴近群众生产生活，狠抓主题宣传教育活动。利用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 xml:space="preserve"> “公众开放日”、 “国家安全日”、“禁毒日”、“消费者权益保护日”、“三.八”节、“民族团结进步日”等特殊节点，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为广大群众提供便捷的法律咨询服务，“面对面、零距离”参与解决涉及民生问题的矛盾纠纷，最大程度地为广大群众提供政策法律帮助。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四是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加强普法阵地建设，不断丰富法治宣传教育载体，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在长官高速路口制作悬挂大型宣传版面5个，制作队伍教育整顿宣传快板短视频1个，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运用法治广场、电子显示屏、公交移动电视等载体开展法治宣传教育。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五是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创新应用多媒体宣传载体，提升法治宣传教育实效。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在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</w:rPr>
        <w:t>“义渠剑”手机APP开辟政法要闻、庭审直播、法律咨询、法律服务等栏目，通过“巧儿说法”微信公众号、宁县司法局微信公众号和甘肃司法网新媒体矩阵平台发送普法信息  多条。</w:t>
      </w:r>
    </w:p>
    <w:p>
      <w:pPr>
        <w:spacing w:line="560" w:lineRule="exact"/>
        <w:ind w:firstLine="643" w:firstLineChars="200"/>
        <w:rPr>
          <w:rFonts w:hint="eastAsia" w:ascii="华文楷体" w:hAnsi="华文楷体" w:eastAsia="华文楷体" w:cs="仿宋_GB2312"/>
          <w:b/>
          <w:color w:val="auto"/>
          <w:sz w:val="32"/>
          <w:szCs w:val="32"/>
        </w:rPr>
      </w:pPr>
      <w:r>
        <w:rPr>
          <w:rFonts w:hint="eastAsia" w:ascii="华文楷体" w:hAnsi="华文楷体" w:eastAsia="华文楷体" w:cs="仿宋_GB2312"/>
          <w:b/>
          <w:color w:val="auto"/>
          <w:sz w:val="32"/>
          <w:szCs w:val="32"/>
        </w:rPr>
        <w:t>（三）履行四大职能，提供优质法治服务保障。</w:t>
      </w:r>
    </w:p>
    <w:p>
      <w:pPr>
        <w:spacing w:line="560" w:lineRule="exact"/>
        <w:ind w:firstLine="643" w:firstLineChars="200"/>
        <w:rPr>
          <w:rFonts w:ascii="黑体" w:hAnsi="黑体" w:eastAsia="黑体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color w:val="auto"/>
          <w:sz w:val="32"/>
          <w:szCs w:val="32"/>
        </w:rPr>
        <w:t>1、坚持执法为民，加强行政执法监督，行政执法行为进一步规范。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一是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行政执法案卷评查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稳步推进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加大行政执法案卷评查，对5个</w:t>
      </w:r>
      <w:r>
        <w:rPr>
          <w:rFonts w:hint="eastAsia" w:ascii="仿宋_GB2312" w:hAnsi="仿宋_GB2312" w:eastAsia="仿宋_GB2312" w:cs="仿宋_GB2312"/>
          <w:sz w:val="32"/>
          <w:szCs w:val="32"/>
        </w:rPr>
        <w:t>执法部门开展自查自评情况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进行了随机抽查，并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组织互查互评。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组织司法、住建、市场监管等部门集中联合对全县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62家物业服务企业进行了执法检查。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zh-CN"/>
        </w:rPr>
        <w:t>目前，完成行政许可案卷互查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672例，其中优秀案卷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52例，合格案卷620例；完成行政处罚案卷互查862例，其中优秀案卷76例，合格案卷786例。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二是行政规范性文件专项清理基本完成。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印发了《关于开展涉及营商环境行政规范性文件专项清理工作的通知》，现已全面完成清理工作，经清理，失效1件。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三是规范性文件审查有序开展。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完成规范性文件、合同及其他法律文件合法性审查69件。</w:t>
      </w:r>
      <w:r>
        <w:rPr>
          <w:rFonts w:hint="eastAsia" w:ascii="仿宋_GB2312" w:hAnsi="仿宋_GB2312" w:eastAsia="仿宋_GB2312" w:cs="仿宋_GB2312"/>
          <w:sz w:val="32"/>
          <w:szCs w:val="32"/>
        </w:rPr>
        <w:t>新冠疫情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期间，</w:t>
      </w:r>
      <w:r>
        <w:rPr>
          <w:rFonts w:hint="eastAsia" w:ascii="仿宋_GB2312" w:hAnsi="仿宋_GB2312" w:eastAsia="仿宋_GB2312" w:cs="仿宋_GB2312"/>
          <w:sz w:val="32"/>
          <w:szCs w:val="32"/>
        </w:rPr>
        <w:t>法治审查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sz w:val="32"/>
          <w:szCs w:val="32"/>
        </w:rPr>
        <w:t>个，确保全县疫情防控各项工作在法治轨道上进行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四是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全面推进行政执法“三项制度”。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执法</w:t>
      </w:r>
      <w:r>
        <w:rPr>
          <w:rFonts w:hint="eastAsia" w:ascii="Times New Roman" w:hAnsi="Times New Roman" w:eastAsia="仿宋_GB2312" w:cs="仿宋_GB2312"/>
          <w:sz w:val="32"/>
          <w:szCs w:val="32"/>
        </w:rPr>
        <w:t>部门配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齐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专用</w:t>
      </w:r>
      <w:r>
        <w:rPr>
          <w:rFonts w:hint="eastAsia" w:ascii="Times New Roman" w:hAnsi="Times New Roman" w:eastAsia="仿宋_GB2312" w:cs="仿宋_GB2312"/>
          <w:sz w:val="32"/>
          <w:szCs w:val="32"/>
        </w:rPr>
        <w:t>执法记录仪等装备，行政执法启动等过程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均进行了全</w:t>
      </w:r>
      <w:r>
        <w:rPr>
          <w:rFonts w:hint="eastAsia" w:ascii="Times New Roman" w:hAnsi="Times New Roman" w:eastAsia="仿宋_GB2312" w:cs="仿宋_GB2312"/>
          <w:sz w:val="32"/>
          <w:szCs w:val="32"/>
        </w:rPr>
        <w:t>记录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。推进柔性执法，</w:t>
      </w:r>
      <w:r>
        <w:rPr>
          <w:rFonts w:hint="eastAsia" w:ascii="仿宋_GB2312" w:hAnsi="仿宋_GB2312" w:eastAsia="仿宋_GB2312" w:cs="仿宋_GB2312"/>
          <w:sz w:val="32"/>
          <w:szCs w:val="32"/>
        </w:rPr>
        <w:t>办理“两轻一免”案件148件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对1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65</w:t>
      </w:r>
      <w:r>
        <w:rPr>
          <w:rFonts w:hint="eastAsia" w:ascii="仿宋_GB2312" w:hAnsi="仿宋_GB2312" w:eastAsia="仿宋_GB2312" w:cs="仿宋_GB2312"/>
          <w:sz w:val="32"/>
          <w:szCs w:val="32"/>
        </w:rPr>
        <w:t>户轻微违法行为免于经济处罚，让企业真正感受到“有温度的执法”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五是有序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推进综合执法体制改革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全县18个乡镇综合行政执法队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组建到位，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市场监管等6支综合执法队伍“局队合一”，</w:t>
      </w:r>
      <w:r>
        <w:rPr>
          <w:rFonts w:hint="eastAsia" w:ascii="仿宋_GB2312" w:hAnsi="仿宋_GB2312" w:eastAsia="仿宋_GB2312" w:cs="仿宋_GB2312"/>
          <w:sz w:val="32"/>
          <w:szCs w:val="32"/>
        </w:rPr>
        <w:t>赋权197项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执法制式服装换装到位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深化行政复议体制改革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制定并严格落实行政复议工作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七</w:t>
      </w:r>
      <w:r>
        <w:rPr>
          <w:rFonts w:hint="eastAsia" w:ascii="仿宋_GB2312" w:hAnsi="仿宋_GB2312" w:eastAsia="仿宋_GB2312" w:cs="仿宋_GB2312"/>
          <w:sz w:val="32"/>
          <w:szCs w:val="32"/>
        </w:rPr>
        <w:t>项制度，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充实</w:t>
      </w:r>
      <w:r>
        <w:rPr>
          <w:rFonts w:hint="eastAsia" w:ascii="仿宋_GB2312" w:hAnsi="仿宋_GB2312" w:eastAsia="仿宋_GB2312" w:cs="仿宋_GB2312"/>
          <w:sz w:val="32"/>
          <w:szCs w:val="32"/>
        </w:rPr>
        <w:t>行政复议工作人员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落实行政复议办公场所95平米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县级财政落实行政复议经费10万元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六是加强执法资格管理。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1038名行政执法人员参加了全省执法人员资格考试，执法证件已申领到位</w:t>
      </w:r>
    </w:p>
    <w:p>
      <w:pPr>
        <w:spacing w:line="578" w:lineRule="exact"/>
        <w:ind w:firstLine="643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</w:rPr>
        <w:t>2、坚持服务为民，公共法律服务全面优化。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一是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筑牢防线促进社会和谐。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坚持和发展“枫桥经验”，构建矛盾纠纷多元化解机制。贯彻落实《坚持发展“枫桥经验”实现矛盾不上交三年行动实施方案》，组织司法所、人民调解组织，坚持抓早抓小、应调尽调，坚持“小纠纷不出村组，大纠纷不出乡镇，矛盾不上交”的原则，全面排查调处各类矛盾纠纷。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2022年全县累计办理法律援助案件102件，接待法律咨询425人次，主要涉及残疾人、未成年人、老年人、妇女和农民工等特殊困难群体，帮助受援人避免或挽回经济损失100余万元；各级各类人民调解组织共排查化解矛盾纠纷2282件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“八五”普法为抓手，县委全面依法治县办统筹协调，广泛动员和组织各行政执法单位严格落实“谁执法、谁普法”责任制，充分利用“国家宪法日”等法治宣传时间节点，宣传《宪法》《民法典》《反有组织犯罪法》《反电信网络诈骗法》《法律援助法》《乡村振兴促进法》等群众身边的常用法律法规274场次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；建成174个公共法律服务工作室。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四是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加强律师工作。</w:t>
      </w:r>
      <w:r>
        <w:rPr>
          <w:rFonts w:ascii="Times New Roman" w:hAnsi="Times New Roman" w:eastAsia="仿宋_GB2312" w:cs="仿宋_GB2312"/>
          <w:color w:val="auto"/>
          <w:sz w:val="32"/>
          <w:szCs w:val="32"/>
        </w:rPr>
        <w:t>积极引导律师参与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信访和</w:t>
      </w:r>
      <w:r>
        <w:rPr>
          <w:rFonts w:ascii="Times New Roman" w:hAnsi="Times New Roman" w:eastAsia="仿宋_GB2312" w:cs="仿宋_GB2312"/>
          <w:color w:val="auto"/>
          <w:sz w:val="32"/>
          <w:szCs w:val="32"/>
        </w:rPr>
        <w:t>重大疑难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矛盾纠纷</w:t>
      </w:r>
      <w:r>
        <w:rPr>
          <w:rFonts w:ascii="Times New Roman" w:hAnsi="Times New Roman" w:eastAsia="仿宋_GB2312" w:cs="仿宋_GB2312"/>
          <w:color w:val="auto"/>
          <w:sz w:val="32"/>
          <w:szCs w:val="32"/>
        </w:rPr>
        <w:t>案件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lang w:val="zh-CN"/>
        </w:rPr>
        <w:t>处理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zh-CN"/>
        </w:rPr>
        <w:t>，推动落实律师担任法律顾问制度和驻法院、看守所、公共法律服务中心值班制度。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华文楷体" w:hAnsi="华文楷体" w:eastAsia="华文楷体" w:cs="仿宋_GB2312"/>
          <w:b/>
          <w:color w:val="auto"/>
          <w:sz w:val="32"/>
          <w:szCs w:val="32"/>
        </w:rPr>
        <w:t>3、</w:t>
      </w: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</w:rPr>
        <w:t>促进司法公正，管理改造质量进一步提升。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一是</w:t>
      </w:r>
      <w:r>
        <w:rPr>
          <w:rFonts w:hint="eastAsia" w:eastAsia="仿宋_GB2312" w:cs="仿宋_GB2312"/>
          <w:color w:val="auto"/>
          <w:sz w:val="32"/>
          <w:szCs w:val="32"/>
        </w:rPr>
        <w:t>规范社区矫正工作。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落实</w:t>
      </w:r>
      <w:r>
        <w:rPr>
          <w:rFonts w:hint="eastAsia" w:ascii="仿宋_GB2312" w:hAnsi="仿宋_GB2312" w:eastAsia="仿宋_GB2312" w:cs="仿宋_GB2312"/>
          <w:sz w:val="32"/>
          <w:szCs w:val="32"/>
        </w:rPr>
        <w:t>“四个一两评定”措施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在全县部署开展了社区矫正工作突出问题专项整改行动，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全面贯彻</w:t>
      </w:r>
      <w:r>
        <w:rPr>
          <w:rFonts w:hint="eastAsia" w:ascii="仿宋_GB2312" w:hAnsi="仿宋_GB2312" w:eastAsia="仿宋_GB2312" w:cs="仿宋_GB2312"/>
          <w:sz w:val="32"/>
          <w:szCs w:val="32"/>
        </w:rPr>
        <w:t>学习《社区矫正法》《社区矫正实施办法》《甘肃省社区矫正工作细则》和《全省社区矫正工作突出问题整改方案》，根据实际，制定下发《宁县社区矫正工作突出问题专项整改方案》，排查问题42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</w:rPr>
        <w:t>，整改问题42条。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社区矫正管理正常推进。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组织社区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矫正对象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进行集中训诫教育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209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次。开</w:t>
      </w:r>
      <w:r>
        <w:rPr>
          <w:rFonts w:hint="eastAsia" w:ascii="仿宋_GB2312" w:hAnsi="仿宋_GB2312" w:eastAsia="仿宋_GB2312" w:cs="仿宋_GB2312"/>
          <w:sz w:val="32"/>
          <w:szCs w:val="32"/>
        </w:rPr>
        <w:t>展社区矫正社会调查评估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</w:rPr>
        <w:t>份，入矫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79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人，解矫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121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人，在矫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人。</w:t>
      </w:r>
      <w:r>
        <w:rPr>
          <w:rFonts w:hint="eastAsia" w:ascii="仿宋_GB2312" w:hAnsi="仿宋_GB2312" w:eastAsia="仿宋_GB2312" w:cs="仿宋_GB2312"/>
          <w:color w:val="222222"/>
          <w:spacing w:val="8"/>
          <w:sz w:val="32"/>
          <w:szCs w:val="32"/>
          <w:shd w:val="clear" w:color="auto" w:fill="FFFFFF"/>
        </w:rPr>
        <w:t>对全县在矫187人进行集中拓展培训。从职业道德、心理辅导干预、个人行为修养、法律知识、适用技能、军事技能等六个方面开展训练，使社区矫正对象在解除矫正后能够顺利融入社会。</w:t>
      </w:r>
    </w:p>
    <w:p>
      <w:pPr>
        <w:widowControl/>
        <w:spacing w:line="60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hAnsi="宋体" w:eastAsia="仿宋_GB2312" w:cs="黑体"/>
          <w:color w:val="000000"/>
          <w:kern w:val="0"/>
          <w:sz w:val="32"/>
          <w:szCs w:val="32"/>
        </w:rPr>
        <w:t xml:space="preserve">  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 xml:space="preserve">  三、部门整体支出绩效中存在问题及改进措施 </w:t>
      </w:r>
    </w:p>
    <w:p>
      <w:pPr>
        <w:widowControl/>
        <w:spacing w:line="600" w:lineRule="exact"/>
        <w:jc w:val="left"/>
        <w:rPr>
          <w:rFonts w:ascii="楷体_GB2312" w:hAnsi="仿宋_GB2312" w:eastAsia="楷体_GB2312" w:cs="仿宋_GB2312"/>
          <w:b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</w:t>
      </w:r>
      <w:r>
        <w:rPr>
          <w:rFonts w:hint="eastAsia" w:ascii="楷体_GB2312" w:hAnsi="仿宋_GB2312" w:eastAsia="楷体_GB2312" w:cs="仿宋_GB2312"/>
          <w:b/>
          <w:color w:val="000000"/>
          <w:kern w:val="0"/>
          <w:sz w:val="32"/>
          <w:szCs w:val="32"/>
        </w:rPr>
        <w:t xml:space="preserve">  （一）主要问题及原因分析 </w:t>
      </w:r>
    </w:p>
    <w:p>
      <w:pPr>
        <w:shd w:val="clear" w:color="auto" w:fill="FFFFFF"/>
        <w:ind w:firstLine="640"/>
        <w:rPr>
          <w:rFonts w:ascii="仿宋_GB2312" w:hAnsi="Times New Roman" w:eastAsia="仿宋_GB2312"/>
          <w:color w:val="2B2B2B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1.部分评价指标较为宽泛，部分资金项目效果无法量化，评价结果欠准确;</w:t>
      </w:r>
    </w:p>
    <w:p>
      <w:pPr>
        <w:shd w:val="clear" w:color="auto" w:fill="FFFFFF"/>
        <w:ind w:firstLine="640"/>
        <w:rPr>
          <w:rFonts w:ascii="仿宋_GB2312" w:hAnsi="Times New Roman" w:eastAsia="仿宋_GB2312"/>
          <w:color w:val="2B2B2B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2.部分项目支出绩效评价的结果缺乏必要的约束力，容易使财政支出绩效评价工作仅仅存在于表面，流于形式。</w:t>
      </w:r>
    </w:p>
    <w:p>
      <w:pPr>
        <w:widowControl/>
        <w:spacing w:line="600" w:lineRule="exact"/>
        <w:jc w:val="left"/>
        <w:rPr>
          <w:rFonts w:ascii="楷体_GB2312" w:hAnsi="仿宋_GB2312" w:eastAsia="楷体_GB2312" w:cs="仿宋_GB2312"/>
          <w:b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</w:t>
      </w:r>
      <w:r>
        <w:rPr>
          <w:rFonts w:hint="eastAsia" w:ascii="楷体_GB2312" w:hAnsi="仿宋_GB2312" w:eastAsia="楷体_GB2312" w:cs="仿宋_GB2312"/>
          <w:b/>
          <w:color w:val="000000"/>
          <w:kern w:val="0"/>
          <w:sz w:val="32"/>
          <w:szCs w:val="32"/>
        </w:rPr>
        <w:t xml:space="preserve"> （二）改进的方向和具体措施 </w:t>
      </w:r>
    </w:p>
    <w:p>
      <w:pPr>
        <w:shd w:val="clear" w:color="auto" w:fill="FFFFFF"/>
        <w:ind w:firstLine="640"/>
        <w:rPr>
          <w:rFonts w:ascii="仿宋_GB2312" w:hAnsi="Times New Roman" w:eastAsia="仿宋_GB2312"/>
          <w:color w:val="2B2B2B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针对以上问题，我局将从以下三个方面进行整改</w:t>
      </w:r>
    </w:p>
    <w:p>
      <w:pPr>
        <w:shd w:val="clear" w:color="auto" w:fill="FFFFFF"/>
        <w:ind w:firstLine="640"/>
        <w:rPr>
          <w:rFonts w:ascii="仿宋_GB2312" w:hAnsi="Times New Roman" w:eastAsia="仿宋_GB2312"/>
          <w:color w:val="2B2B2B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1.细化评价指标;</w:t>
      </w:r>
    </w:p>
    <w:p>
      <w:pPr>
        <w:shd w:val="clear" w:color="auto" w:fill="FFFFFF"/>
        <w:ind w:firstLine="640"/>
        <w:rPr>
          <w:rFonts w:ascii="仿宋_GB2312" w:hAnsi="Times New Roman" w:eastAsia="仿宋_GB2312"/>
          <w:color w:val="2B2B2B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2.构建合理的绩效评价体系，重点突出岗位的差异性，采用客观公正的评价方法得出让人信服的评价结果;</w:t>
      </w:r>
    </w:p>
    <w:p>
      <w:pPr>
        <w:spacing w:line="552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3.完善项目支出的绩效评价标准，在不同性质指标的基础上，划分出定量指标和定性指标。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5760" w:firstLineChars="1800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3" w:bottom="1440" w:left="1803" w:header="851" w:footer="992" w:gutter="0"/>
      <w:pgNumType w:fmt="numberInDash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kMDY5NzNjYjZjYjY3NTQ5MjJlNjVmNmQxNDQ5YTEifQ=="/>
  </w:docVars>
  <w:rsids>
    <w:rsidRoot w:val="00D470BA"/>
    <w:rsid w:val="00090B60"/>
    <w:rsid w:val="00140C60"/>
    <w:rsid w:val="00144609"/>
    <w:rsid w:val="001624C8"/>
    <w:rsid w:val="00216F43"/>
    <w:rsid w:val="00261B6F"/>
    <w:rsid w:val="00281858"/>
    <w:rsid w:val="00283C4D"/>
    <w:rsid w:val="002E0756"/>
    <w:rsid w:val="002E2D26"/>
    <w:rsid w:val="00360977"/>
    <w:rsid w:val="00370357"/>
    <w:rsid w:val="003A447C"/>
    <w:rsid w:val="004153EF"/>
    <w:rsid w:val="00461A55"/>
    <w:rsid w:val="004A1F82"/>
    <w:rsid w:val="004D205A"/>
    <w:rsid w:val="004F15D7"/>
    <w:rsid w:val="00503D11"/>
    <w:rsid w:val="005346E7"/>
    <w:rsid w:val="005442CE"/>
    <w:rsid w:val="005E4E5F"/>
    <w:rsid w:val="00602725"/>
    <w:rsid w:val="007374D0"/>
    <w:rsid w:val="007733D4"/>
    <w:rsid w:val="00774B93"/>
    <w:rsid w:val="007A2036"/>
    <w:rsid w:val="007C4052"/>
    <w:rsid w:val="007D40E9"/>
    <w:rsid w:val="00813641"/>
    <w:rsid w:val="00814287"/>
    <w:rsid w:val="00852FFC"/>
    <w:rsid w:val="00897495"/>
    <w:rsid w:val="0091199E"/>
    <w:rsid w:val="009433DD"/>
    <w:rsid w:val="009C0C5C"/>
    <w:rsid w:val="009D1518"/>
    <w:rsid w:val="009F1264"/>
    <w:rsid w:val="00A17A14"/>
    <w:rsid w:val="00A37AE9"/>
    <w:rsid w:val="00A600E2"/>
    <w:rsid w:val="00AC4670"/>
    <w:rsid w:val="00AC7E12"/>
    <w:rsid w:val="00B85140"/>
    <w:rsid w:val="00B96D04"/>
    <w:rsid w:val="00BE4B8D"/>
    <w:rsid w:val="00C178EA"/>
    <w:rsid w:val="00C41D06"/>
    <w:rsid w:val="00C6719C"/>
    <w:rsid w:val="00C77606"/>
    <w:rsid w:val="00CA0E54"/>
    <w:rsid w:val="00CB105F"/>
    <w:rsid w:val="00CE64DC"/>
    <w:rsid w:val="00D149E2"/>
    <w:rsid w:val="00D15E66"/>
    <w:rsid w:val="00D22ACD"/>
    <w:rsid w:val="00D24D55"/>
    <w:rsid w:val="00D26DF6"/>
    <w:rsid w:val="00D470BA"/>
    <w:rsid w:val="00DD393E"/>
    <w:rsid w:val="00E07177"/>
    <w:rsid w:val="00E646E3"/>
    <w:rsid w:val="00EA0C18"/>
    <w:rsid w:val="00EB6265"/>
    <w:rsid w:val="00EC2426"/>
    <w:rsid w:val="00EF1695"/>
    <w:rsid w:val="00F03C47"/>
    <w:rsid w:val="00F16E12"/>
    <w:rsid w:val="00F447E5"/>
    <w:rsid w:val="00F60018"/>
    <w:rsid w:val="00F637BA"/>
    <w:rsid w:val="00F661A0"/>
    <w:rsid w:val="00F72A08"/>
    <w:rsid w:val="00F97227"/>
    <w:rsid w:val="010229EF"/>
    <w:rsid w:val="02F51C17"/>
    <w:rsid w:val="041B0FFD"/>
    <w:rsid w:val="04241CC2"/>
    <w:rsid w:val="064A12B3"/>
    <w:rsid w:val="12E806A4"/>
    <w:rsid w:val="14617941"/>
    <w:rsid w:val="1A4C59BC"/>
    <w:rsid w:val="22E651C3"/>
    <w:rsid w:val="2A3403AC"/>
    <w:rsid w:val="336D4799"/>
    <w:rsid w:val="393B134C"/>
    <w:rsid w:val="3BF07AFD"/>
    <w:rsid w:val="3DC34822"/>
    <w:rsid w:val="42295B17"/>
    <w:rsid w:val="51DD5686"/>
    <w:rsid w:val="55E833E0"/>
    <w:rsid w:val="562E1D5F"/>
    <w:rsid w:val="5718631E"/>
    <w:rsid w:val="58A363C3"/>
    <w:rsid w:val="6067475D"/>
    <w:rsid w:val="60C07A37"/>
    <w:rsid w:val="64B427C2"/>
    <w:rsid w:val="67AA4C14"/>
    <w:rsid w:val="6C1A00FB"/>
    <w:rsid w:val="6C2A6F32"/>
    <w:rsid w:val="79382127"/>
    <w:rsid w:val="7CFB73DD"/>
    <w:rsid w:val="7DB61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99"/>
    <w:pPr>
      <w:spacing w:after="120" w:line="480" w:lineRule="auto"/>
      <w:ind w:left="420" w:leftChars="200"/>
    </w:pPr>
  </w:style>
  <w:style w:type="paragraph" w:styleId="3">
    <w:name w:val="caption"/>
    <w:basedOn w:val="1"/>
    <w:next w:val="1"/>
    <w:qFormat/>
    <w:uiPriority w:val="0"/>
    <w:rPr>
      <w:rFonts w:ascii="Cambria" w:hAnsi="Cambria" w:eastAsia="黑体" w:cs="Times New Roman"/>
      <w:sz w:val="20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paragraph" w:customStyle="1" w:styleId="10">
    <w:name w:val="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</w:rPr>
  </w:style>
  <w:style w:type="paragraph" w:customStyle="1" w:styleId="11">
    <w:name w:val="BodyText"/>
    <w:basedOn w:val="1"/>
    <w:qFormat/>
    <w:uiPriority w:val="0"/>
    <w:pPr>
      <w:jc w:val="center"/>
      <w:textAlignment w:val="baseline"/>
    </w:pPr>
    <w:rPr>
      <w:rFonts w:ascii="方正小标宋简体" w:hAnsi="宋体" w:eastAsia="方正小标宋简体"/>
      <w:sz w:val="44"/>
    </w:rPr>
  </w:style>
  <w:style w:type="character" w:customStyle="1" w:styleId="12">
    <w:name w:val="NormalCharacter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1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napToGrid/>
      <w:spacing w:after="0" w:afterLines="0"/>
    </w:pPr>
    <w:rPr>
      <w:rFonts w:ascii="Arial" w:hAnsi="Arial" w:eastAsia="宋体" w:cs="Arial"/>
      <w:sz w:val="24"/>
      <w:szCs w:val="24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rFonts w:ascii="Times New Roman" w:hAnsi="Times New Roman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DC86F0-2E75-44BC-9CDF-8755D160E96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9</Pages>
  <Words>4813</Words>
  <Characters>5004</Characters>
  <Lines>47</Lines>
  <Paragraphs>13</Paragraphs>
  <TotalTime>8</TotalTime>
  <ScaleCrop>false</ScaleCrop>
  <LinksUpToDate>false</LinksUpToDate>
  <CharactersWithSpaces>5105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2020-07-09T09:28:00Z</dcterms:created>
  <dc:creator>微软中国</dc:creator>
  <cp:lastModifiedBy>欣有灵曦</cp:lastModifiedBy>
  <cp:lastPrinted>2023-07-21T08:54:00Z</cp:lastPrinted>
  <dcterms:modified xsi:type="dcterms:W3CDTF">2023-10-19T08:37:56Z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88D29C9137C24DCB96CC6ABFC5459351_13</vt:lpwstr>
  </property>
</Properties>
</file>