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wordWrap/>
        <w:adjustRightInd/>
        <w:snapToGrid/>
        <w:spacing w:line="570" w:lineRule="exact"/>
        <w:ind w:left="0" w:leftChars="0" w:right="0" w:firstLine="880" w:firstLineChars="20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宁县商务局</w:t>
      </w:r>
    </w:p>
    <w:p>
      <w:pPr>
        <w:widowControl w:val="0"/>
        <w:wordWrap/>
        <w:adjustRightInd/>
        <w:snapToGrid/>
        <w:spacing w:line="570" w:lineRule="exact"/>
        <w:ind w:left="0" w:leftChars="0" w:right="0" w:firstLine="880" w:firstLineChars="200"/>
        <w:jc w:val="center"/>
        <w:textAlignment w:val="auto"/>
        <w:outlineLvl w:val="9"/>
        <w:rPr>
          <w:rFonts w:hint="eastAsia" w:ascii="黑体" w:hAnsi="黑体" w:eastAsia="黑体" w:cs="黑体"/>
          <w:sz w:val="32"/>
          <w:szCs w:val="32"/>
        </w:rPr>
      </w:pPr>
      <w:r>
        <w:rPr>
          <w:rFonts w:hint="eastAsia" w:ascii="方正小标宋简体" w:hAnsi="方正小标宋简体" w:eastAsia="方正小标宋简体" w:cs="方正小标宋简体"/>
          <w:sz w:val="44"/>
          <w:szCs w:val="44"/>
          <w:lang w:eastAsia="zh-CN"/>
        </w:rPr>
        <w:t>2021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部门</w:t>
      </w:r>
      <w:r>
        <w:rPr>
          <w:rFonts w:hint="eastAsia" w:ascii="方正小标宋简体" w:hAnsi="方正小标宋简体" w:eastAsia="方正小标宋简体" w:cs="方正小标宋简体"/>
          <w:sz w:val="44"/>
          <w:szCs w:val="44"/>
        </w:rPr>
        <w:t>整体支出绩效</w:t>
      </w:r>
      <w:r>
        <w:rPr>
          <w:rFonts w:hint="eastAsia" w:ascii="方正小标宋简体" w:hAnsi="方正小标宋简体" w:eastAsia="方正小标宋简体" w:cs="方正小标宋简体"/>
          <w:sz w:val="44"/>
          <w:szCs w:val="44"/>
          <w:lang w:eastAsia="zh-CN"/>
        </w:rPr>
        <w:t>评价</w:t>
      </w:r>
      <w:r>
        <w:rPr>
          <w:rFonts w:hint="eastAsia" w:ascii="方正小标宋简体" w:hAnsi="方正小标宋简体" w:eastAsia="方正小标宋简体" w:cs="方正小标宋简体"/>
          <w:sz w:val="44"/>
          <w:szCs w:val="44"/>
        </w:rPr>
        <w:t>报告</w:t>
      </w:r>
    </w:p>
    <w:p>
      <w:pPr>
        <w:pStyle w:val="5"/>
        <w:widowControl/>
        <w:adjustRightInd/>
        <w:snapToGrid/>
        <w:spacing w:before="0" w:beforeAutospacing="0" w:after="0" w:afterAutospacing="0" w:line="570" w:lineRule="exact"/>
        <w:ind w:left="0" w:leftChars="0" w:right="0"/>
        <w:jc w:val="both"/>
        <w:textAlignment w:val="auto"/>
        <w:outlineLvl w:val="9"/>
        <w:rPr>
          <w:rStyle w:val="7"/>
          <w:rFonts w:hint="eastAsia" w:ascii="FangSong_GB2312" w:hAnsi="FangSong_GB2312" w:eastAsia="FangSong_GB2312" w:cs="FangSong_GB2312"/>
          <w:b w:val="0"/>
          <w:bCs/>
          <w:color w:val="000000"/>
          <w:sz w:val="32"/>
          <w:szCs w:val="32"/>
          <w:lang w:eastAsia="zh-CN"/>
        </w:rPr>
      </w:pPr>
    </w:p>
    <w:p>
      <w:pPr>
        <w:pStyle w:val="5"/>
        <w:widowControl/>
        <w:adjustRightInd/>
        <w:snapToGrid/>
        <w:spacing w:before="0" w:beforeAutospacing="0" w:after="0" w:afterAutospacing="0" w:line="570" w:lineRule="exact"/>
        <w:ind w:left="0" w:leftChars="0" w:right="0"/>
        <w:jc w:val="both"/>
        <w:textAlignment w:val="auto"/>
        <w:outlineLvl w:val="9"/>
        <w:rPr>
          <w:rStyle w:val="7"/>
          <w:rFonts w:hint="eastAsia" w:ascii="FangSong_GB2312" w:hAnsi="FangSong_GB2312" w:eastAsia="FangSong_GB2312" w:cs="FangSong_GB2312"/>
          <w:b w:val="0"/>
          <w:bCs/>
          <w:color w:val="000000"/>
          <w:sz w:val="32"/>
          <w:szCs w:val="32"/>
          <w:lang w:eastAsia="zh-CN"/>
        </w:rPr>
      </w:pPr>
      <w:r>
        <w:rPr>
          <w:rStyle w:val="7"/>
          <w:rFonts w:hint="eastAsia" w:ascii="FangSong_GB2312" w:hAnsi="FangSong_GB2312" w:eastAsia="FangSong_GB2312" w:cs="FangSong_GB2312"/>
          <w:b w:val="0"/>
          <w:bCs/>
          <w:color w:val="000000"/>
          <w:sz w:val="32"/>
          <w:szCs w:val="32"/>
          <w:lang w:eastAsia="zh-CN"/>
        </w:rPr>
        <w:t>县财政局：</w:t>
      </w:r>
    </w:p>
    <w:p>
      <w:pPr>
        <w:pStyle w:val="5"/>
        <w:shd w:val="clear" w:color="auto" w:fill="FFFFFF"/>
        <w:adjustRightInd/>
        <w:snapToGrid/>
        <w:spacing w:before="0" w:beforeAutospacing="0" w:after="0" w:afterAutospacing="0" w:line="57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FangSong_GB2312" w:hAnsi="FangSong_GB2312" w:eastAsia="FangSong_GB2312" w:cs="FangSong_GB2312"/>
          <w:sz w:val="32"/>
          <w:szCs w:val="32"/>
          <w:lang w:val="en-US" w:eastAsia="zh-CN"/>
        </w:rPr>
        <w:t xml:space="preserve"> </w:t>
      </w:r>
      <w:r>
        <w:rPr>
          <w:rFonts w:hint="eastAsia" w:ascii="FangSong_GB2312" w:hAnsi="FangSong_GB2312" w:eastAsia="FangSong_GB2312" w:cs="FangSong_GB2312"/>
          <w:color w:val="000000"/>
          <w:sz w:val="32"/>
          <w:szCs w:val="32"/>
        </w:rPr>
        <w:t>为了</w:t>
      </w:r>
      <w:r>
        <w:rPr>
          <w:rFonts w:hint="eastAsia" w:ascii="FangSong_GB2312" w:hAnsi="FangSong_GB2312" w:eastAsia="FangSong_GB2312" w:cs="FangSong_GB2312"/>
          <w:color w:val="000000"/>
          <w:sz w:val="32"/>
          <w:szCs w:val="32"/>
          <w:lang w:eastAsia="zh-CN"/>
        </w:rPr>
        <w:t>进一步加强财政拨款资金管理，提高资金使用效益</w:t>
      </w:r>
      <w:r>
        <w:rPr>
          <w:rFonts w:hint="eastAsia" w:ascii="FangSong_GB2312" w:hAnsi="FangSong_GB2312" w:eastAsia="FangSong_GB2312" w:cs="FangSong_GB2312"/>
          <w:color w:val="000000"/>
          <w:sz w:val="32"/>
          <w:szCs w:val="32"/>
          <w:lang w:val="en-US" w:eastAsia="zh-CN"/>
        </w:rPr>
        <w:t>，</w:t>
      </w:r>
      <w:r>
        <w:rPr>
          <w:rFonts w:hint="eastAsia" w:ascii="FangSong_GB2312" w:hAnsi="FangSong_GB2312" w:eastAsia="FangSong_GB2312" w:cs="FangSong_GB2312"/>
          <w:kern w:val="32"/>
          <w:sz w:val="32"/>
          <w:szCs w:val="32"/>
        </w:rPr>
        <w:t>我局</w:t>
      </w:r>
      <w:r>
        <w:rPr>
          <w:rFonts w:hint="eastAsia" w:ascii="FangSong_GB2312" w:hAnsi="FangSong_GB2312" w:eastAsia="FangSong_GB2312" w:cs="FangSong_GB2312"/>
          <w:kern w:val="32"/>
          <w:sz w:val="32"/>
          <w:szCs w:val="32"/>
          <w:lang w:eastAsia="zh-CN"/>
        </w:rPr>
        <w:t>对</w:t>
      </w:r>
      <w:r>
        <w:rPr>
          <w:rFonts w:hint="eastAsia" w:ascii="FangSong_GB2312" w:hAnsi="FangSong_GB2312" w:eastAsia="FangSong_GB2312" w:cs="FangSong_GB2312"/>
          <w:color w:val="000000"/>
          <w:sz w:val="32"/>
          <w:szCs w:val="32"/>
          <w:lang w:val="en-US" w:eastAsia="zh-CN"/>
        </w:rPr>
        <w:t>2021年全年财政拨款支出情况</w:t>
      </w:r>
      <w:r>
        <w:rPr>
          <w:rFonts w:hint="eastAsia" w:ascii="FangSong_GB2312" w:hAnsi="FangSong_GB2312" w:eastAsia="FangSong_GB2312" w:cs="FangSong_GB2312"/>
          <w:kern w:val="32"/>
          <w:sz w:val="32"/>
          <w:szCs w:val="32"/>
        </w:rPr>
        <w:t>进行了</w:t>
      </w:r>
      <w:r>
        <w:rPr>
          <w:rFonts w:hint="eastAsia" w:ascii="FangSong_GB2312" w:hAnsi="FangSong_GB2312" w:eastAsia="FangSong_GB2312" w:cs="FangSong_GB2312"/>
          <w:kern w:val="32"/>
          <w:sz w:val="32"/>
          <w:szCs w:val="32"/>
          <w:lang w:eastAsia="zh-CN"/>
        </w:rPr>
        <w:t>绩效自评</w:t>
      </w:r>
      <w:r>
        <w:rPr>
          <w:rFonts w:hint="eastAsia" w:ascii="FangSong_GB2312" w:hAnsi="FangSong_GB2312" w:eastAsia="FangSong_GB2312" w:cs="FangSong_GB2312"/>
          <w:kern w:val="32"/>
          <w:sz w:val="32"/>
          <w:szCs w:val="32"/>
        </w:rPr>
        <w:t>，现</w:t>
      </w:r>
      <w:r>
        <w:rPr>
          <w:rFonts w:hint="eastAsia" w:ascii="FangSong_GB2312" w:hAnsi="FangSong_GB2312" w:eastAsia="FangSong_GB2312" w:cs="FangSong_GB2312"/>
          <w:kern w:val="32"/>
          <w:sz w:val="32"/>
          <w:szCs w:val="32"/>
          <w:lang w:eastAsia="zh-CN"/>
        </w:rPr>
        <w:t>就自评</w:t>
      </w:r>
      <w:r>
        <w:rPr>
          <w:rFonts w:hint="eastAsia" w:ascii="FangSong_GB2312" w:hAnsi="FangSong_GB2312" w:eastAsia="FangSong_GB2312" w:cs="FangSong_GB2312"/>
          <w:kern w:val="32"/>
          <w:sz w:val="32"/>
          <w:szCs w:val="32"/>
        </w:rPr>
        <w:t>情况</w:t>
      </w:r>
      <w:r>
        <w:rPr>
          <w:rFonts w:hint="eastAsia" w:ascii="FangSong_GB2312" w:hAnsi="FangSong_GB2312" w:eastAsia="FangSong_GB2312" w:cs="FangSong_GB2312"/>
          <w:kern w:val="32"/>
          <w:sz w:val="32"/>
          <w:szCs w:val="32"/>
          <w:lang w:eastAsia="zh-CN"/>
        </w:rPr>
        <w:t>报告</w:t>
      </w:r>
      <w:r>
        <w:rPr>
          <w:rFonts w:hint="eastAsia" w:ascii="FangSong_GB2312" w:hAnsi="FangSong_GB2312" w:eastAsia="FangSong_GB2312" w:cs="FangSong_GB2312"/>
          <w:kern w:val="32"/>
          <w:sz w:val="32"/>
          <w:szCs w:val="32"/>
        </w:rPr>
        <w:t>如下：</w:t>
      </w:r>
    </w:p>
    <w:p>
      <w:pPr>
        <w:widowControl w:val="0"/>
        <w:wordWrap/>
        <w:adjustRightInd/>
        <w:snapToGrid/>
        <w:spacing w:line="570" w:lineRule="exact"/>
        <w:ind w:left="0" w:leftChars="0" w:right="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一、单位概况 </w:t>
      </w:r>
    </w:p>
    <w:p>
      <w:pPr>
        <w:widowControl w:val="0"/>
        <w:wordWrap/>
        <w:adjustRightInd/>
        <w:snapToGrid/>
        <w:spacing w:line="570" w:lineRule="exact"/>
        <w:ind w:left="0" w:leftChars="0" w:right="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（一）主要职责职能,组织架构、人员及资产等基本情况</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1.主要职能</w:t>
      </w:r>
    </w:p>
    <w:p>
      <w:pPr>
        <w:pStyle w:val="5"/>
        <w:widowControl/>
        <w:shd w:val="clear" w:color="060000" w:fill="FFFFFF"/>
        <w:wordWrap/>
        <w:adjustRightInd/>
        <w:snapToGrid/>
        <w:spacing w:beforeAutospacing="0" w:after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shd w:val="clear" w:color="070000" w:fill="FFFFFF"/>
        </w:rPr>
      </w:pPr>
      <w:r>
        <w:rPr>
          <w:rFonts w:hint="eastAsia" w:ascii="仿宋_GB2312" w:hAnsi="仿宋_GB2312" w:eastAsia="仿宋_GB2312" w:cs="仿宋_GB2312"/>
          <w:i w:val="0"/>
          <w:caps w:val="0"/>
          <w:color w:val="auto"/>
          <w:spacing w:val="0"/>
          <w:sz w:val="32"/>
          <w:szCs w:val="32"/>
          <w:shd w:val="clear" w:color="070000" w:fill="FFFFFF"/>
        </w:rPr>
        <w:t>宁县</w:t>
      </w:r>
      <w:r>
        <w:rPr>
          <w:rFonts w:hint="eastAsia" w:ascii="仿宋_GB2312" w:hAnsi="仿宋_GB2312" w:eastAsia="仿宋_GB2312" w:cs="仿宋_GB2312"/>
          <w:i w:val="0"/>
          <w:caps w:val="0"/>
          <w:color w:val="auto"/>
          <w:spacing w:val="0"/>
          <w:sz w:val="32"/>
          <w:szCs w:val="32"/>
          <w:shd w:val="clear" w:color="070000" w:fill="FFFFFF"/>
          <w:lang w:eastAsia="zh-CN"/>
        </w:rPr>
        <w:t>商务</w:t>
      </w:r>
      <w:r>
        <w:rPr>
          <w:rFonts w:hint="eastAsia" w:ascii="仿宋_GB2312" w:hAnsi="仿宋_GB2312" w:eastAsia="仿宋_GB2312" w:cs="仿宋_GB2312"/>
          <w:i w:val="0"/>
          <w:caps w:val="0"/>
          <w:color w:val="auto"/>
          <w:spacing w:val="0"/>
          <w:sz w:val="32"/>
          <w:szCs w:val="32"/>
          <w:shd w:val="clear" w:color="070000" w:fill="FFFFFF"/>
        </w:rPr>
        <w:t>局是全额拨款</w:t>
      </w:r>
      <w:r>
        <w:rPr>
          <w:rFonts w:hint="eastAsia" w:ascii="仿宋_GB2312" w:hAnsi="仿宋_GB2312" w:eastAsia="仿宋_GB2312" w:cs="仿宋_GB2312"/>
          <w:i w:val="0"/>
          <w:caps w:val="0"/>
          <w:color w:val="auto"/>
          <w:spacing w:val="0"/>
          <w:sz w:val="32"/>
          <w:szCs w:val="32"/>
          <w:shd w:val="clear" w:color="070000" w:fill="FFFFFF"/>
          <w:lang w:eastAsia="zh-CN"/>
        </w:rPr>
        <w:t>行政</w:t>
      </w:r>
      <w:r>
        <w:rPr>
          <w:rFonts w:hint="eastAsia" w:ascii="仿宋_GB2312" w:hAnsi="仿宋_GB2312" w:eastAsia="仿宋_GB2312" w:cs="仿宋_GB2312"/>
          <w:i w:val="0"/>
          <w:caps w:val="0"/>
          <w:color w:val="auto"/>
          <w:spacing w:val="0"/>
          <w:sz w:val="32"/>
          <w:szCs w:val="32"/>
          <w:shd w:val="clear" w:color="070000" w:fill="FFFFFF"/>
        </w:rPr>
        <w:t>单位</w:t>
      </w:r>
      <w:r>
        <w:rPr>
          <w:rFonts w:hint="eastAsia" w:ascii="仿宋_GB2312" w:hAnsi="仿宋_GB2312" w:eastAsia="仿宋_GB2312" w:cs="仿宋_GB2312"/>
          <w:i w:val="0"/>
          <w:caps w:val="0"/>
          <w:color w:val="auto"/>
          <w:spacing w:val="0"/>
          <w:sz w:val="32"/>
          <w:szCs w:val="32"/>
          <w:shd w:val="clear" w:color="070000" w:fill="FFFFFF"/>
          <w:lang w:val="en-US" w:eastAsia="zh-CN"/>
        </w:rPr>
        <w:t>，</w:t>
      </w:r>
      <w:r>
        <w:rPr>
          <w:rFonts w:hint="eastAsia" w:ascii="仿宋_GB2312" w:hAnsi="仿宋_GB2312" w:eastAsia="仿宋_GB2312" w:cs="仿宋_GB2312"/>
          <w:i w:val="0"/>
          <w:caps w:val="0"/>
          <w:color w:val="auto"/>
          <w:spacing w:val="0"/>
          <w:sz w:val="32"/>
          <w:szCs w:val="32"/>
          <w:shd w:val="clear" w:color="070000" w:fill="FFFFFF"/>
        </w:rPr>
        <w:t>主要职责是：</w:t>
      </w:r>
    </w:p>
    <w:p>
      <w:pPr>
        <w:widowControl w:val="0"/>
        <w:numPr>
          <w:ilvl w:val="0"/>
          <w:numId w:val="0"/>
        </w:numPr>
        <w:wordWrap/>
        <w:adjustRightInd/>
        <w:snapToGrid/>
        <w:spacing w:line="570" w:lineRule="exact"/>
        <w:ind w:left="0" w:leftChars="0" w:right="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贯彻执行国家商贸流通、餐饮服务、粮食、对外贸易的方针政策和法律、法规、规章；提出全县商贸流通、粮食流通、进出口贸易发展战略和政策建议；拟定药品流通发展、促进餐饮服务和酒类流通发展的规划和政策。</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推进商贸流通业、商贸服务业发展，拟订开拓市场、促进消费的政策措施；提出培育商贸流通大企业、促进商贸流通中小企业发展的政策建议，推动流通标准化和连锁经营、商业特许经营、物流配送、电子商务等现代流通方式的发展。</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3、承担组织实施重要商品市场调控和流通管理的责任。建立健全生活必需品市场供应应急管理机制，监测分析市场运行、商品供求状况，负责重要商品的储备管理工作。</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4、负责城乡商贸统筹发展工作，拟订商贸流通发展中长期规划、商品市场规划和城乡商业网点规划，承担城乡统筹商贸网络体系建设工作，推进城乡市场体系建设。</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承担牵头协调整顿和规范市场经济秩序的责任。拟订规范市场运行、流通秩序的政策措施，推动商务领域信用建设，指导商业信用销售，建立市场诚信公共服务平台，负责商贸流通业的行政执法监管和商务举报投诉受理，参与打击商业欺诈等工。</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承担商贸流通业监督管理的责任。按有关规定对汽车流通、旧货流通、拍卖、典当、租赁、木材节约、再生资源回收等行业进行监督管理；负责液化石油气、散装水泥、酒类等重要商品经营的管理，按有关规定对成品油流通进行监督管理。</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负责推进进出口贸易发展，拟订进出口贸易中长期规划，提出促进进出口贸易的政策建议；指导协调全县进出口贸易业务；负责国际援助、对外技术合作、对外工程承包、对外劳务合作；承担大流通的招商引资工作；负责全县外出和外来我县举办大型商品交易、展览、展示活动的组织和管理；指导、监督商贸流通企业开展各类促销活动。负责商务系统的安全生产监督管理工作。</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承担粮食监测和应急调控、粮食库存检查、军粮供应管理的责任。拟订全县粮食总量平衡和粮食流通的中长期规划，负责粮食流通的行业管理和粮食流通设施的建设管理，负责县级储备粮油管理和粮食收购市场准入工作。</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9、负责推动商贸流通科技信息化建设，会同有关部门管理商贸流通各类业务资金、专项基金，组织、指导商贸流通业职工技能培训和有关特有工种职业技能鉴定。</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10、指导行业协会和行业中介组织。</w:t>
      </w:r>
    </w:p>
    <w:p>
      <w:pPr>
        <w:widowControl w:val="0"/>
        <w:numPr>
          <w:ilvl w:val="0"/>
          <w:numId w:val="0"/>
        </w:numPr>
        <w:wordWrap/>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auto"/>
          <w:spacing w:val="0"/>
          <w:kern w:val="0"/>
          <w:sz w:val="32"/>
          <w:szCs w:val="32"/>
          <w:shd w:val="clear" w:color="080000" w:fill="FFFFFF"/>
          <w:lang w:val="en-US" w:eastAsia="zh-CN"/>
        </w:rPr>
      </w:pPr>
      <w:r>
        <w:rPr>
          <w:rFonts w:hint="eastAsia" w:ascii="仿宋" w:hAnsi="仿宋" w:eastAsia="仿宋" w:cs="仿宋"/>
          <w:sz w:val="32"/>
          <w:szCs w:val="32"/>
          <w:lang w:val="en-US" w:eastAsia="zh-CN"/>
        </w:rPr>
        <w:t>11、负责承接中央和省、市依法公布下放的行政审批事项，取消已由中央、省、市和本县依法公布取消的行政审批事项</w:t>
      </w:r>
    </w:p>
    <w:p>
      <w:pPr>
        <w:pStyle w:val="5"/>
        <w:widowControl/>
        <w:shd w:val="clear" w:color="060000" w:fill="FFFFFF"/>
        <w:wordWrap/>
        <w:adjustRightInd/>
        <w:snapToGrid/>
        <w:spacing w:beforeAutospacing="0" w:afterAutospacing="0" w:line="570" w:lineRule="exact"/>
        <w:ind w:left="0" w:leftChars="0" w:right="0" w:firstLine="643" w:firstLineChars="200"/>
        <w:jc w:val="left"/>
        <w:textAlignment w:val="auto"/>
        <w:outlineLvl w:val="9"/>
        <w:rPr>
          <w:rFonts w:hint="eastAsia" w:ascii="楷体_GB2312" w:hAnsi="楷体_GB2312" w:eastAsia="楷体_GB2312" w:cs="楷体_GB2312"/>
          <w:b/>
          <w:i w:val="0"/>
          <w:caps w:val="0"/>
          <w:color w:val="auto"/>
          <w:spacing w:val="0"/>
          <w:sz w:val="32"/>
          <w:szCs w:val="32"/>
          <w:shd w:val="clear" w:color="080000" w:fill="FFFFFF"/>
        </w:rPr>
      </w:pPr>
      <w:r>
        <w:rPr>
          <w:rFonts w:hint="eastAsia" w:ascii="楷体_GB2312" w:hAnsi="楷体_GB2312" w:eastAsia="楷体_GB2312" w:cs="楷体_GB2312"/>
          <w:b/>
          <w:i w:val="0"/>
          <w:caps w:val="0"/>
          <w:color w:val="auto"/>
          <w:spacing w:val="0"/>
          <w:sz w:val="32"/>
          <w:szCs w:val="32"/>
          <w:shd w:val="clear" w:color="080000" w:fill="FFFFFF"/>
          <w:lang w:val="en-US" w:eastAsia="zh-CN"/>
        </w:rPr>
        <w:t>2.</w:t>
      </w:r>
      <w:r>
        <w:rPr>
          <w:rFonts w:hint="eastAsia" w:ascii="楷体_GB2312" w:hAnsi="楷体_GB2312" w:eastAsia="楷体_GB2312" w:cs="楷体_GB2312"/>
          <w:b/>
          <w:i w:val="0"/>
          <w:caps w:val="0"/>
          <w:color w:val="auto"/>
          <w:spacing w:val="0"/>
          <w:sz w:val="32"/>
          <w:szCs w:val="32"/>
          <w:shd w:val="clear" w:color="080000" w:fill="FFFFFF"/>
        </w:rPr>
        <w:t>机构设置</w:t>
      </w:r>
    </w:p>
    <w:p>
      <w:pPr>
        <w:pStyle w:val="11"/>
        <w:shd w:val="clear" w:color="auto" w:fill="FFFFFF"/>
        <w:wordWrap/>
        <w:adjustRightInd/>
        <w:snapToGrid/>
        <w:spacing w:before="0" w:beforeLines="0" w:beforeAutospacing="0" w:after="0" w:afterLines="0" w:afterAutospacing="0" w:line="570" w:lineRule="exact"/>
        <w:ind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color="070000" w:fill="FFFFFF"/>
          <w:lang w:val="en-US" w:eastAsia="zh-CN"/>
        </w:rPr>
      </w:pPr>
      <w:r>
        <w:rPr>
          <w:rFonts w:hint="eastAsia" w:ascii="仿宋_GB2312" w:hAnsi="仿宋_GB2312" w:eastAsia="仿宋_GB2312" w:cs="仿宋_GB2312"/>
          <w:i w:val="0"/>
          <w:caps w:val="0"/>
          <w:color w:val="auto"/>
          <w:spacing w:val="0"/>
          <w:kern w:val="0"/>
          <w:sz w:val="32"/>
          <w:szCs w:val="32"/>
          <w:shd w:val="clear" w:color="080000" w:fill="FFFFFF"/>
          <w:lang w:val="en-US" w:eastAsia="zh-CN"/>
        </w:rPr>
        <w:t>宁县商务局新成立于2021年3月份，为全额拨款行政单位，为财政一级预算单位。</w:t>
      </w:r>
      <w:r>
        <w:rPr>
          <w:rFonts w:hint="eastAsia" w:ascii="仿宋_GB2312" w:hAnsi="仿宋_GB2312" w:eastAsia="仿宋_GB2312" w:cs="仿宋_GB2312"/>
          <w:sz w:val="32"/>
          <w:szCs w:val="32"/>
        </w:rPr>
        <w:t>宁县</w:t>
      </w:r>
      <w:r>
        <w:rPr>
          <w:rFonts w:hint="eastAsia" w:ascii="仿宋_GB2312" w:hAnsi="仿宋_GB2312" w:eastAsia="仿宋_GB2312" w:cs="仿宋_GB2312"/>
          <w:sz w:val="32"/>
          <w:szCs w:val="32"/>
          <w:lang w:eastAsia="zh-CN"/>
        </w:rPr>
        <w:t>商务局下设</w:t>
      </w:r>
      <w:r>
        <w:rPr>
          <w:rFonts w:hint="eastAsia" w:ascii="仿宋_GB2312" w:hAnsi="仿宋_GB2312" w:eastAsia="仿宋_GB2312" w:cs="仿宋_GB2312"/>
          <w:sz w:val="32"/>
          <w:szCs w:val="32"/>
          <w:lang w:val="en-US" w:eastAsia="zh-CN"/>
        </w:rPr>
        <w:t>2个事业单位（为：宁县电子商务服务中心、宁县酒类商品管理局），内设4</w:t>
      </w:r>
      <w:r>
        <w:rPr>
          <w:rFonts w:hint="eastAsia" w:ascii="仿宋_GB2312" w:hAnsi="仿宋_GB2312" w:eastAsia="仿宋_GB2312" w:cs="仿宋_GB2312"/>
          <w:sz w:val="32"/>
          <w:szCs w:val="32"/>
        </w:rPr>
        <w:t>个股（室）</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i w:val="0"/>
          <w:caps w:val="0"/>
          <w:color w:val="auto"/>
          <w:spacing w:val="0"/>
          <w:kern w:val="0"/>
          <w:sz w:val="32"/>
          <w:szCs w:val="32"/>
          <w:shd w:val="clear" w:color="080000" w:fill="FFFFFF"/>
          <w:lang w:val="en-US" w:eastAsia="zh-CN"/>
        </w:rPr>
        <w:t>人事秘书股、外贸外资外经股、市场建设运行股、市场秩序股。</w:t>
      </w:r>
      <w:r>
        <w:rPr>
          <w:rFonts w:hint="eastAsia" w:ascii="Times New Roman" w:hAnsi="Times New Roman" w:eastAsia="仿宋_GB2312" w:cs="Times New Roman"/>
          <w:color w:val="000000"/>
          <w:sz w:val="32"/>
          <w:szCs w:val="32"/>
          <w:lang w:val="en-US" w:eastAsia="zh-CN"/>
        </w:rPr>
        <w:t>2021年宁县商务局局机关</w:t>
      </w:r>
      <w:r>
        <w:rPr>
          <w:rFonts w:hint="eastAsia" w:ascii="仿宋_GB2312" w:hAnsi="仿宋_GB2312" w:eastAsia="仿宋_GB2312" w:cs="仿宋_GB2312"/>
          <w:color w:val="auto"/>
          <w:sz w:val="32"/>
          <w:szCs w:val="32"/>
        </w:rPr>
        <w:t>核定编制</w:t>
      </w:r>
      <w:r>
        <w:rPr>
          <w:rFonts w:hint="eastAsia" w:ascii="Times New Roman" w:hAnsi="Times New Roman" w:eastAsia="仿宋_GB2312" w:cs="Times New Roman"/>
          <w:color w:val="000000"/>
          <w:kern w:val="2"/>
          <w:sz w:val="32"/>
          <w:szCs w:val="32"/>
          <w:lang w:val="en-US" w:eastAsia="zh-CN"/>
        </w:rPr>
        <w:t>8</w:t>
      </w:r>
      <w:r>
        <w:rPr>
          <w:rFonts w:hint="eastAsia" w:ascii="仿宋_GB2312" w:hAnsi="Arial" w:eastAsia="仿宋_GB2312" w:cs="仿宋_GB2312"/>
          <w:color w:val="000000"/>
          <w:kern w:val="2"/>
          <w:sz w:val="32"/>
          <w:szCs w:val="32"/>
          <w:lang w:val="en-US" w:eastAsia="zh-CN"/>
        </w:rPr>
        <w:t>名</w:t>
      </w:r>
      <w:r>
        <w:rPr>
          <w:rFonts w:hint="eastAsia" w:ascii="仿宋_GB2312" w:hAnsi="仿宋_GB2312" w:eastAsia="仿宋_GB2312" w:cs="仿宋_GB2312"/>
          <w:color w:val="auto"/>
          <w:sz w:val="32"/>
          <w:szCs w:val="32"/>
        </w:rPr>
        <w:t>，其中：行政编制</w:t>
      </w:r>
      <w:r>
        <w:rPr>
          <w:rFonts w:hint="eastAsia" w:ascii="Times New Roman" w:hAnsi="Times New Roman" w:eastAsia="仿宋_GB2312" w:cs="Times New Roman"/>
          <w:color w:val="000000"/>
          <w:kern w:val="2"/>
          <w:sz w:val="32"/>
          <w:szCs w:val="32"/>
          <w:lang w:val="en-US" w:eastAsia="zh-CN"/>
        </w:rPr>
        <w:t>6名</w:t>
      </w:r>
      <w:r>
        <w:rPr>
          <w:rFonts w:hint="eastAsia" w:ascii="仿宋_GB2312" w:hAnsi="仿宋_GB2312" w:eastAsia="仿宋_GB2312" w:cs="仿宋_GB2312"/>
          <w:color w:val="auto"/>
          <w:sz w:val="32"/>
          <w:szCs w:val="32"/>
        </w:rPr>
        <w:t>、事业编制</w:t>
      </w:r>
      <w:r>
        <w:rPr>
          <w:rFonts w:hint="eastAsia" w:ascii="Times New Roman" w:hAnsi="Times New Roman" w:eastAsia="仿宋_GB2312" w:cs="Times New Roman"/>
          <w:color w:val="000000"/>
          <w:kern w:val="2"/>
          <w:sz w:val="32"/>
          <w:szCs w:val="32"/>
          <w:lang w:val="en-US" w:eastAsia="zh-CN"/>
        </w:rPr>
        <w:t>2名;实有</w:t>
      </w:r>
      <w:r>
        <w:rPr>
          <w:rFonts w:hint="eastAsia" w:ascii="仿宋_GB2312" w:hAnsi="Arial" w:eastAsia="仿宋_GB2312" w:cs="仿宋_GB2312"/>
          <w:color w:val="000000"/>
          <w:kern w:val="2"/>
          <w:sz w:val="32"/>
          <w:szCs w:val="32"/>
          <w:lang w:val="en-US" w:eastAsia="zh-CN"/>
        </w:rPr>
        <w:t>在职人员</w:t>
      </w:r>
      <w:r>
        <w:rPr>
          <w:rFonts w:hint="eastAsia" w:ascii="Times New Roman" w:hAnsi="Times New Roman" w:eastAsia="仿宋_GB2312" w:cs="Times New Roman"/>
          <w:color w:val="000000"/>
          <w:sz w:val="32"/>
          <w:szCs w:val="32"/>
          <w:lang w:val="en-US" w:eastAsia="zh-CN"/>
        </w:rPr>
        <w:t>10人，全部为行政人员。</w:t>
      </w:r>
      <w:r>
        <w:rPr>
          <w:rFonts w:hint="default" w:ascii="Times New Roman" w:hAnsi="Times New Roman" w:eastAsia="仿宋" w:cs="Times New Roman"/>
          <w:sz w:val="32"/>
          <w:szCs w:val="32"/>
          <w:lang w:eastAsia="zh-CN"/>
        </w:rPr>
        <w:t>较</w:t>
      </w:r>
      <w:r>
        <w:rPr>
          <w:rFonts w:hint="eastAsia" w:ascii="Times New Roman" w:hAnsi="Times New Roman" w:eastAsia="仿宋" w:cs="Times New Roman"/>
          <w:sz w:val="32"/>
          <w:szCs w:val="32"/>
          <w:lang w:eastAsia="zh-CN"/>
        </w:rPr>
        <w:t>上年增加</w:t>
      </w:r>
      <w:r>
        <w:rPr>
          <w:rFonts w:hint="eastAsia" w:ascii="Times New Roman" w:hAnsi="Times New Roman" w:eastAsia="仿宋" w:cs="Times New Roman"/>
          <w:sz w:val="32"/>
          <w:szCs w:val="32"/>
          <w:lang w:val="en-US" w:eastAsia="zh-CN"/>
        </w:rPr>
        <w:t>2人，为机构改革从宁县经合局划转2人。</w:t>
      </w:r>
    </w:p>
    <w:p>
      <w:pPr>
        <w:pStyle w:val="5"/>
        <w:widowControl/>
        <w:shd w:val="clear" w:color="060000" w:fill="FFFFFF"/>
        <w:wordWrap/>
        <w:adjustRightInd/>
        <w:snapToGrid/>
        <w:spacing w:beforeAutospacing="0" w:afterAutospacing="0" w:line="570" w:lineRule="exact"/>
        <w:ind w:left="0" w:leftChars="0" w:right="0" w:firstLine="643" w:firstLineChars="200"/>
        <w:jc w:val="left"/>
        <w:textAlignment w:val="auto"/>
        <w:outlineLvl w:val="9"/>
        <w:rPr>
          <w:rFonts w:hint="eastAsia" w:ascii="楷体_GB2312" w:hAnsi="楷体_GB2312" w:eastAsia="楷体_GB2312" w:cs="楷体_GB2312"/>
          <w:b/>
          <w:i w:val="0"/>
          <w:caps w:val="0"/>
          <w:color w:val="auto"/>
          <w:spacing w:val="0"/>
          <w:sz w:val="32"/>
          <w:szCs w:val="32"/>
          <w:shd w:val="clear" w:color="080000" w:fill="FFFFFF"/>
        </w:rPr>
      </w:pPr>
      <w:r>
        <w:rPr>
          <w:rFonts w:hint="eastAsia" w:ascii="楷体_GB2312" w:hAnsi="楷体_GB2312" w:eastAsia="楷体_GB2312" w:cs="楷体_GB2312"/>
          <w:b/>
          <w:i w:val="0"/>
          <w:caps w:val="0"/>
          <w:color w:val="auto"/>
          <w:spacing w:val="0"/>
          <w:sz w:val="32"/>
          <w:szCs w:val="32"/>
          <w:shd w:val="clear" w:color="080000" w:fill="FFFFFF"/>
        </w:rPr>
        <w:t>3.资产状况</w:t>
      </w:r>
    </w:p>
    <w:p>
      <w:pPr>
        <w:pStyle w:val="11"/>
        <w:widowControl/>
        <w:numPr>
          <w:ilvl w:val="0"/>
          <w:numId w:val="0"/>
        </w:numPr>
        <w:shd w:val="clear" w:color="060000" w:fill="FFFFFF"/>
        <w:wordWrap/>
        <w:adjustRightInd/>
        <w:snapToGrid/>
        <w:spacing w:before="0" w:beforeLines="0" w:after="0" w:afterLines="0" w:line="570" w:lineRule="exact"/>
        <w:ind w:left="0" w:leftChars="0"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w:t>
      </w: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年12月31日，国有资产原值</w:t>
      </w:r>
      <w:r>
        <w:rPr>
          <w:rFonts w:hint="eastAsia" w:ascii="Times New Roman" w:hAnsi="Times New Roman" w:eastAsia="仿宋_GB2312" w:cs="Times New Roman"/>
          <w:color w:val="auto"/>
          <w:sz w:val="32"/>
          <w:szCs w:val="32"/>
          <w:lang w:val="en-US" w:eastAsia="zh-CN"/>
        </w:rPr>
        <w:t>1561121.03</w:t>
      </w:r>
      <w:r>
        <w:rPr>
          <w:rFonts w:hint="default"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lang w:val="en-US" w:eastAsia="zh-CN"/>
        </w:rPr>
        <w:t>其中固定资产原值为1552541.03，无形资产原值为8580元，</w:t>
      </w:r>
      <w:r>
        <w:rPr>
          <w:rFonts w:hint="default" w:ascii="Times New Roman" w:hAnsi="Times New Roman" w:eastAsia="仿宋_GB2312" w:cs="Times New Roman"/>
          <w:color w:val="auto"/>
          <w:sz w:val="32"/>
          <w:szCs w:val="32"/>
        </w:rPr>
        <w:t>固定资产累计折旧</w:t>
      </w:r>
      <w:r>
        <w:rPr>
          <w:rFonts w:hint="eastAsia" w:ascii="Times New Roman" w:hAnsi="Times New Roman" w:eastAsia="仿宋_GB2312" w:cs="Times New Roman"/>
          <w:color w:val="auto"/>
          <w:sz w:val="32"/>
          <w:szCs w:val="32"/>
          <w:lang w:val="en-US" w:eastAsia="zh-CN"/>
        </w:rPr>
        <w:t>537199.12</w:t>
      </w:r>
      <w:r>
        <w:rPr>
          <w:rFonts w:hint="default"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无形资产累计摊销费用为4147元，</w:t>
      </w:r>
      <w:r>
        <w:rPr>
          <w:rFonts w:hint="default" w:ascii="Times New Roman" w:hAnsi="Times New Roman" w:eastAsia="仿宋_GB2312" w:cs="Times New Roman"/>
          <w:color w:val="auto"/>
          <w:sz w:val="32"/>
          <w:szCs w:val="32"/>
        </w:rPr>
        <w:t>固定资产净值</w:t>
      </w:r>
      <w:r>
        <w:rPr>
          <w:rFonts w:hint="eastAsia" w:ascii="Times New Roman" w:hAnsi="Times New Roman" w:eastAsia="仿宋_GB2312" w:cs="Times New Roman"/>
          <w:color w:val="auto"/>
          <w:sz w:val="32"/>
          <w:szCs w:val="32"/>
          <w:lang w:val="en-US" w:eastAsia="zh-CN"/>
        </w:rPr>
        <w:t>为1015341.91</w:t>
      </w:r>
      <w:r>
        <w:rPr>
          <w:rFonts w:hint="default"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无形资产净值为4433元。</w:t>
      </w:r>
    </w:p>
    <w:p>
      <w:pPr>
        <w:widowControl w:val="0"/>
        <w:wordWrap/>
        <w:adjustRightInd/>
        <w:snapToGrid/>
        <w:spacing w:line="570" w:lineRule="exact"/>
        <w:ind w:left="0" w:leftChars="0" w:right="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(二)履职总体目标、工作任务 </w:t>
      </w:r>
    </w:p>
    <w:p>
      <w:pPr>
        <w:pStyle w:val="5"/>
        <w:widowControl/>
        <w:shd w:val="clear" w:color="060000" w:fill="FFFFFF"/>
        <w:wordWrap/>
        <w:adjustRightInd/>
        <w:snapToGrid/>
        <w:spacing w:beforeAutospacing="0" w:afterAutospacing="0" w:line="570" w:lineRule="exact"/>
        <w:ind w:left="0" w:leftChars="0" w:right="0" w:firstLine="643" w:firstLineChars="200"/>
        <w:jc w:val="left"/>
        <w:textAlignment w:val="auto"/>
        <w:outlineLvl w:val="9"/>
        <w:rPr>
          <w:rFonts w:hint="eastAsia" w:ascii="楷体_GB2312" w:hAnsi="楷体_GB2312" w:eastAsia="楷体_GB2312" w:cs="楷体_GB2312"/>
          <w:b/>
          <w:i w:val="0"/>
          <w:caps w:val="0"/>
          <w:color w:val="auto"/>
          <w:spacing w:val="0"/>
          <w:sz w:val="32"/>
          <w:szCs w:val="32"/>
          <w:shd w:val="clear" w:color="080000" w:fill="FFFFFF"/>
        </w:rPr>
      </w:pPr>
      <w:r>
        <w:rPr>
          <w:rFonts w:hint="eastAsia" w:ascii="楷体_GB2312" w:hAnsi="楷体_GB2312" w:eastAsia="楷体_GB2312" w:cs="楷体_GB2312"/>
          <w:b/>
          <w:i w:val="0"/>
          <w:caps w:val="0"/>
          <w:color w:val="auto"/>
          <w:spacing w:val="0"/>
          <w:sz w:val="32"/>
          <w:szCs w:val="32"/>
          <w:shd w:val="clear" w:color="080000" w:fill="FFFFFF"/>
        </w:rPr>
        <w:t>1.履职总体目标</w:t>
      </w:r>
    </w:p>
    <w:p>
      <w:pPr>
        <w:pStyle w:val="5"/>
        <w:widowControl/>
        <w:shd w:val="clear" w:color="060000" w:fill="FFFFFF"/>
        <w:wordWrap/>
        <w:adjustRightInd/>
        <w:snapToGrid/>
        <w:spacing w:beforeAutospacing="0" w:afterAutospacing="0" w:line="570" w:lineRule="exact"/>
        <w:ind w:left="0" w:leftChars="0" w:right="0" w:firstLine="643" w:firstLineChars="200"/>
        <w:jc w:val="left"/>
        <w:textAlignment w:val="auto"/>
        <w:outlineLvl w:val="9"/>
        <w:rPr>
          <w:rFonts w:hint="eastAsia" w:ascii="FangSong_GB2312" w:hAnsi="FangSong_GB2312" w:eastAsia="FangSong_GB2312" w:cs="FangSong_GB2312"/>
          <w:kern w:val="32"/>
          <w:sz w:val="32"/>
          <w:szCs w:val="32"/>
          <w:lang w:val="en-US" w:eastAsia="zh-CN"/>
        </w:rPr>
      </w:pPr>
      <w:r>
        <w:rPr>
          <w:rFonts w:hint="eastAsia" w:ascii="FangSong_GB2312" w:hAnsi="FangSong_GB2312" w:eastAsia="FangSong_GB2312" w:cs="FangSong_GB2312"/>
          <w:kern w:val="32"/>
          <w:sz w:val="32"/>
          <w:szCs w:val="32"/>
          <w:lang w:val="en-US" w:eastAsia="zh-CN"/>
        </w:rPr>
        <w:t>一是严格按照相关管理规定支付人员经费，保障全局工作人员的基本工资、津贴补贴、生活性补贴、工会会费、福利费等各项费用，二是严格按照财务管理规定支付单位公用经费，保障全局办公费、水电费、邮电费、劳务费等各项费用，保障全局各项工作顺利开展。三是严格按照项目资金管理办法，拨付和使用专项资金，保障单位所实施的各种项目资金合规合法，最对大化发挥项目资金使用效益。</w:t>
      </w:r>
    </w:p>
    <w:p>
      <w:pPr>
        <w:pStyle w:val="5"/>
        <w:widowControl/>
        <w:shd w:val="clear" w:color="060000" w:fill="FFFFFF"/>
        <w:wordWrap/>
        <w:adjustRightInd/>
        <w:snapToGrid/>
        <w:spacing w:beforeAutospacing="0" w:afterAutospacing="0" w:line="570" w:lineRule="exact"/>
        <w:ind w:left="0" w:leftChars="0" w:right="0" w:firstLine="643" w:firstLineChars="200"/>
        <w:jc w:val="left"/>
        <w:textAlignment w:val="auto"/>
        <w:outlineLvl w:val="9"/>
        <w:rPr>
          <w:rFonts w:hint="eastAsia" w:ascii="楷体_GB2312" w:hAnsi="楷体_GB2312" w:eastAsia="楷体_GB2312" w:cs="楷体_GB2312"/>
          <w:b/>
          <w:i w:val="0"/>
          <w:caps w:val="0"/>
          <w:color w:val="auto"/>
          <w:spacing w:val="0"/>
          <w:sz w:val="32"/>
          <w:szCs w:val="32"/>
          <w:shd w:val="clear" w:color="080000" w:fill="FFFFFF"/>
        </w:rPr>
      </w:pPr>
      <w:r>
        <w:rPr>
          <w:rFonts w:hint="eastAsia" w:ascii="楷体_GB2312" w:hAnsi="楷体_GB2312" w:eastAsia="楷体_GB2312" w:cs="楷体_GB2312"/>
          <w:b/>
          <w:i w:val="0"/>
          <w:caps w:val="0"/>
          <w:color w:val="auto"/>
          <w:spacing w:val="0"/>
          <w:sz w:val="32"/>
          <w:szCs w:val="32"/>
          <w:shd w:val="clear" w:color="080000" w:fill="FFFFFF"/>
          <w:lang w:val="en-US" w:eastAsia="zh-CN"/>
        </w:rPr>
        <w:t>2.</w:t>
      </w:r>
      <w:r>
        <w:rPr>
          <w:rFonts w:hint="eastAsia" w:ascii="楷体_GB2312" w:hAnsi="楷体_GB2312" w:eastAsia="楷体_GB2312" w:cs="楷体_GB2312"/>
          <w:b/>
          <w:i w:val="0"/>
          <w:caps w:val="0"/>
          <w:color w:val="auto"/>
          <w:spacing w:val="0"/>
          <w:sz w:val="32"/>
          <w:szCs w:val="32"/>
          <w:shd w:val="clear" w:color="080000" w:fill="FFFFFF"/>
        </w:rPr>
        <w:t>工作任务</w:t>
      </w:r>
    </w:p>
    <w:p>
      <w:pPr>
        <w:pStyle w:val="5"/>
        <w:widowControl/>
        <w:numPr>
          <w:ilvl w:val="0"/>
          <w:numId w:val="0"/>
        </w:numPr>
        <w:adjustRightInd/>
        <w:snapToGrid/>
        <w:spacing w:before="0" w:beforeAutospacing="0" w:after="0" w:afterAutospacing="0" w:line="570" w:lineRule="exact"/>
        <w:ind w:left="0" w:leftChars="0" w:right="0"/>
        <w:jc w:val="left"/>
        <w:textAlignment w:val="auto"/>
        <w:outlineLvl w:val="9"/>
        <w:rPr>
          <w:rFonts w:hint="default" w:ascii="楷体" w:hAnsi="楷体" w:eastAsia="楷体" w:cs="楷体"/>
          <w:b/>
          <w:bCs/>
          <w:i w:val="0"/>
          <w:caps w:val="0"/>
          <w:color w:val="000000"/>
          <w:spacing w:val="0"/>
          <w:sz w:val="32"/>
          <w:szCs w:val="32"/>
          <w:shd w:val="clear" w:color="090000" w:fill="FFFFFF"/>
          <w:lang w:val="en-US" w:eastAsia="zh-CN"/>
        </w:rPr>
      </w:pPr>
      <w:r>
        <w:rPr>
          <w:rFonts w:hint="eastAsia" w:ascii="FangSong_GB2312" w:hAnsi="FangSong_GB2312" w:eastAsia="FangSong_GB2312" w:cs="FangSong_GB2312"/>
          <w:kern w:val="32"/>
          <w:sz w:val="32"/>
          <w:szCs w:val="32"/>
          <w:lang w:val="en-US" w:eastAsia="zh-CN"/>
        </w:rPr>
        <w:t xml:space="preserve">    一是规范支出人员经费1112112.56元，保障全局10名干部职工顺利完成各个岗位工作职责，日常公用经费支出731059.28元，保障单位各种办公费、差旅费、工会福利费、电费、水费等各项开支，保障单位各项工作顺利运转；项目资金支出1343979元，保障单位所承担的消费扶贫、招商引资、电子商务、外贸发展、服务业发展等各种项目顺利完成，最大化发挥项目资金使用效益。</w:t>
      </w:r>
    </w:p>
    <w:p>
      <w:pPr>
        <w:widowControl w:val="0"/>
        <w:wordWrap/>
        <w:adjustRightInd/>
        <w:snapToGrid/>
        <w:spacing w:line="570" w:lineRule="exact"/>
        <w:ind w:left="0" w:leftChars="0" w:right="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（三）整体支出绩效目标</w:t>
      </w:r>
    </w:p>
    <w:p>
      <w:pPr>
        <w:pStyle w:val="11"/>
        <w:shd w:val="clear" w:color="auto" w:fill="FFFFFF"/>
        <w:wordWrap/>
        <w:adjustRightInd/>
        <w:snapToGrid/>
        <w:spacing w:before="0" w:beforeLines="0" w:beforeAutospacing="0" w:after="0" w:afterLines="0" w:afterAutospacing="0" w:line="570" w:lineRule="exact"/>
        <w:ind w:right="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shd w:val="clear" w:color="080000" w:fill="FFFFFF"/>
          <w:lang w:val="en-US" w:eastAsia="zh-CN"/>
        </w:rPr>
      </w:pPr>
      <w:r>
        <w:rPr>
          <w:rFonts w:hint="eastAsia" w:ascii="仿宋_GB2312" w:hAnsi="仿宋_GB2312" w:eastAsia="仿宋_GB2312" w:cs="仿宋_GB2312"/>
          <w:i w:val="0"/>
          <w:caps w:val="0"/>
          <w:color w:val="auto"/>
          <w:spacing w:val="0"/>
          <w:kern w:val="0"/>
          <w:sz w:val="32"/>
          <w:szCs w:val="32"/>
          <w:shd w:val="clear" w:color="080000" w:fill="FFFFFF"/>
          <w:lang w:val="en-US" w:eastAsia="zh-CN"/>
        </w:rPr>
        <w:t>本单位2021年度财政拨款支出总计3077374.25元。较上年减少2018302.81元，减少39.6%，原因为：上年度抗议国债资金支出较大。2021年度财政拨款支出主要用于以下方面：社会保障和就业支出222078.08元，占7.2%；卫生健康支出68102.4元，占2.2%；农林水支出10000元，占0.3%。资源勘探工业信息等支出1443214.77，占总支出的46.9%。商业服务业等支出1190000元，占总支出的38.7%。</w:t>
      </w:r>
    </w:p>
    <w:p>
      <w:pPr>
        <w:numPr>
          <w:ilvl w:val="0"/>
          <w:numId w:val="1"/>
        </w:numPr>
        <w:pBdr>
          <w:top w:val="none" w:color="000000" w:sz="0" w:space="7"/>
          <w:bottom w:val="none" w:color="000000" w:sz="0" w:space="7"/>
        </w:pBdr>
        <w:shd w:val="solid" w:color="FFFFFF" w:fill="auto"/>
        <w:autoSpaceDN w:val="0"/>
        <w:adjustRightInd/>
        <w:snapToGrid/>
        <w:spacing w:line="57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预算绩效管理开展情况</w:t>
      </w:r>
    </w:p>
    <w:p>
      <w:pPr>
        <w:widowControl w:val="0"/>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b w:val="0"/>
          <w:i w:val="0"/>
          <w:color w:val="2F2F2F"/>
          <w:sz w:val="32"/>
          <w:szCs w:val="32"/>
          <w:shd w:val="clear" w:color="auto" w:fill="FFFFFF"/>
          <w:lang w:val="en-US" w:eastAsia="zh-CN"/>
        </w:rPr>
      </w:pPr>
      <w:r>
        <w:rPr>
          <w:rFonts w:hint="eastAsia" w:ascii="仿宋_GB2312" w:hAnsi="仿宋_GB2312" w:eastAsia="仿宋_GB2312" w:cs="仿宋_GB2312"/>
          <w:b w:val="0"/>
          <w:i w:val="0"/>
          <w:color w:val="2F2F2F"/>
          <w:sz w:val="32"/>
          <w:szCs w:val="32"/>
          <w:shd w:val="clear" w:color="auto" w:fill="FFFFFF"/>
          <w:lang w:val="en-US" w:eastAsia="zh-CN"/>
        </w:rPr>
        <w:t>本单位2021年度整体绩效评价自评分数95分，结果为</w:t>
      </w:r>
      <w:r>
        <w:rPr>
          <w:rFonts w:hint="eastAsia" w:ascii="仿宋_GB2312" w:hAnsi="仿宋_GB2312" w:eastAsia="仿宋_GB2312" w:cs="仿宋_GB2312"/>
          <w:b w:val="0"/>
          <w:i w:val="0"/>
          <w:color w:val="2F2F2F"/>
          <w:sz w:val="32"/>
          <w:szCs w:val="32"/>
          <w:shd w:val="clear" w:color="auto" w:fill="FFFFFF"/>
          <w:lang w:eastAsia="zh-CN"/>
        </w:rPr>
        <w:t>“优”</w:t>
      </w:r>
      <w:r>
        <w:rPr>
          <w:rFonts w:hint="eastAsia" w:ascii="仿宋_GB2312" w:hAnsi="仿宋_GB2312" w:eastAsia="仿宋_GB2312" w:cs="仿宋_GB2312"/>
          <w:b w:val="0"/>
          <w:i w:val="0"/>
          <w:color w:val="2F2F2F"/>
          <w:sz w:val="32"/>
          <w:szCs w:val="32"/>
          <w:shd w:val="clear" w:color="auto" w:fill="FFFFFF"/>
          <w:lang w:val="en-US" w:eastAsia="zh-CN"/>
        </w:rPr>
        <w:t>。</w:t>
      </w:r>
    </w:p>
    <w:p>
      <w:pPr>
        <w:widowControl w:val="0"/>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b w:val="0"/>
          <w:i w:val="0"/>
          <w:color w:val="2F2F2F"/>
          <w:sz w:val="32"/>
          <w:szCs w:val="32"/>
          <w:shd w:val="clear" w:color="auto" w:fill="FFFFFF"/>
          <w:lang w:eastAsia="zh-CN"/>
        </w:rPr>
      </w:pPr>
      <w:r>
        <w:rPr>
          <w:rFonts w:hint="eastAsia" w:ascii="仿宋_GB2312" w:hAnsi="仿宋_GB2312" w:eastAsia="仿宋_GB2312" w:cs="仿宋_GB2312"/>
          <w:b w:val="0"/>
          <w:i w:val="0"/>
          <w:color w:val="2F2F2F"/>
          <w:sz w:val="32"/>
          <w:szCs w:val="32"/>
          <w:shd w:val="clear" w:color="auto" w:fill="FFFFFF"/>
          <w:lang w:eastAsia="zh-CN"/>
        </w:rPr>
        <w:t>一是预算执行有效。单位本年度预算完成数与预算数的比率小于100%；结转结余率控制在合理范围；本单位对项目支出的组织领导、项目实施过程的监督管理建立和落实了相应的管理机制；对项目支出的组织领导、项目实施过程的监督管理都建立和落实了相应的管理机制；本单位本年度“三公经费”实际支出数与预算安排数的比率小于100%，控制在预算管理规范。本单位为加强预算管理、规范财务行为而制定的管理制度健全完整；本单位严格按照政府信息公开有关规定公开相关预决算信息；本单位使用预算资金符合相关的预算财务管理制度的规定。</w:t>
      </w:r>
    </w:p>
    <w:p>
      <w:pPr>
        <w:widowControl w:val="0"/>
        <w:pBdr>
          <w:top w:val="none" w:color="000000" w:sz="0" w:space="7"/>
          <w:bottom w:val="none" w:color="000000" w:sz="0" w:space="7"/>
        </w:pBdr>
        <w:shd w:val="solid" w:color="FFFFFF" w:fill="auto"/>
        <w:wordWrap/>
        <w:autoSpaceDN w:val="0"/>
        <w:adjustRightInd/>
        <w:snapToGrid/>
        <w:spacing w:line="570" w:lineRule="exact"/>
        <w:ind w:left="0" w:leftChars="0" w:right="0" w:firstLine="0" w:firstLineChars="0"/>
        <w:jc w:val="left"/>
        <w:textAlignment w:val="auto"/>
        <w:outlineLvl w:val="9"/>
        <w:rPr>
          <w:rFonts w:hint="eastAsia" w:ascii="仿宋_GB2312" w:hAnsi="仿宋_GB2312" w:eastAsia="仿宋_GB2312" w:cs="仿宋_GB2312"/>
          <w:b w:val="0"/>
          <w:i w:val="0"/>
          <w:color w:val="2F2F2F"/>
          <w:sz w:val="32"/>
          <w:szCs w:val="32"/>
          <w:shd w:val="clear" w:color="auto" w:fill="FFFFFF"/>
          <w:lang w:eastAsia="zh-CN"/>
        </w:rPr>
      </w:pPr>
      <w:r>
        <w:rPr>
          <w:rFonts w:hint="eastAsia" w:ascii="仿宋_GB2312" w:hAnsi="仿宋_GB2312" w:eastAsia="仿宋_GB2312" w:cs="仿宋_GB2312"/>
          <w:b w:val="0"/>
          <w:i w:val="0"/>
          <w:color w:val="2F2F2F"/>
          <w:sz w:val="32"/>
          <w:szCs w:val="32"/>
          <w:shd w:val="clear" w:color="auto" w:fill="FFFFFF"/>
          <w:lang w:val="en-US" w:eastAsia="zh-CN"/>
        </w:rPr>
        <w:t xml:space="preserve">    </w:t>
      </w:r>
      <w:r>
        <w:rPr>
          <w:rFonts w:hint="eastAsia" w:ascii="仿宋_GB2312" w:hAnsi="仿宋_GB2312" w:eastAsia="仿宋_GB2312" w:cs="仿宋_GB2312"/>
          <w:b w:val="0"/>
          <w:i w:val="0"/>
          <w:color w:val="2F2F2F"/>
          <w:sz w:val="32"/>
          <w:szCs w:val="32"/>
          <w:shd w:val="clear" w:color="auto" w:fill="FFFFFF"/>
          <w:lang w:eastAsia="zh-CN"/>
        </w:rPr>
        <w:t>二是预算参照规定。根据商务局工作职责及2021年度重点工作，制定2021年度绩效管理工作的总体目标和政策，明确2021年度绩效管理的工作重心和方向，确定相应的绩效管理策略和目标;根据2021年度预算执行情况适时跟进、反馈和调整跟进工作项目，适当调整和优化，确保年度绩效管理工作计划顺利完成。根据2021年度绩效管理工作的总体目标、方向、管理策略、工作重点以及组织方式等，开展具体的绩效管理体系规划，包括绩效管理制度、考核办法、考核方案、考核流程及相关表单等。</w:t>
      </w:r>
    </w:p>
    <w:p>
      <w:pPr>
        <w:widowControl w:val="0"/>
        <w:numPr>
          <w:ilvl w:val="0"/>
          <w:numId w:val="1"/>
        </w:numPr>
        <w:pBdr>
          <w:top w:val="none" w:color="000000" w:sz="0" w:space="7"/>
          <w:bottom w:val="none" w:color="000000" w:sz="0" w:space="7"/>
        </w:pBdr>
        <w:shd w:val="solid" w:color="FFFFFF" w:fill="auto"/>
        <w:wordWrap/>
        <w:autoSpaceDN w:val="0"/>
        <w:adjustRightInd/>
        <w:snapToGrid/>
        <w:spacing w:line="57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预算及执行情况</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年我单位根据宁县财政局《关于编制</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年全县部门预算的通知》要求，严格按照预算编制方法和口径，在认真核实各项数据的基础上科学、规范编制</w:t>
      </w:r>
      <w:r>
        <w:rPr>
          <w:rFonts w:hint="eastAsia" w:ascii="仿宋_GB2312" w:hAnsi="仿宋_GB2312" w:eastAsia="仿宋_GB2312" w:cs="仿宋_GB2312"/>
          <w:sz w:val="32"/>
          <w:szCs w:val="32"/>
          <w:lang w:val="en-US" w:eastAsia="zh-CN"/>
        </w:rPr>
        <w:t>和执行</w:t>
      </w:r>
      <w:r>
        <w:rPr>
          <w:rFonts w:hint="eastAsia" w:ascii="仿宋_GB2312" w:hAnsi="仿宋_GB2312" w:eastAsia="仿宋_GB2312" w:cs="仿宋_GB2312"/>
          <w:sz w:val="32"/>
          <w:szCs w:val="32"/>
        </w:rPr>
        <w:t>部门预算。</w:t>
      </w:r>
    </w:p>
    <w:p>
      <w:pPr>
        <w:widowControl w:val="0"/>
        <w:numPr>
          <w:ilvl w:val="0"/>
          <w:numId w:val="2"/>
        </w:numPr>
        <w:pBdr>
          <w:top w:val="none" w:color="000000" w:sz="0" w:space="7"/>
          <w:bottom w:val="none" w:color="000000" w:sz="0" w:space="7"/>
        </w:pBdr>
        <w:shd w:val="solid" w:color="FFFFFF" w:fill="auto"/>
        <w:wordWrap/>
        <w:autoSpaceDN w:val="0"/>
        <w:adjustRightInd/>
        <w:snapToGrid/>
        <w:spacing w:line="570" w:lineRule="exact"/>
        <w:ind w:left="0" w:leftChars="0" w:right="0" w:firstLine="643" w:firstLineChars="200"/>
        <w:jc w:val="left"/>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 xml:space="preserve">单位整体支出绩效实现情况 </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履职完成</w:t>
      </w:r>
      <w:r>
        <w:rPr>
          <w:rFonts w:hint="eastAsia" w:ascii="仿宋_GB2312" w:hAnsi="仿宋_GB2312" w:eastAsia="仿宋_GB2312" w:cs="仿宋_GB2312"/>
          <w:b/>
          <w:bCs/>
          <w:sz w:val="32"/>
          <w:szCs w:val="32"/>
          <w:lang w:val="en-US" w:eastAsia="zh-CN"/>
        </w:rPr>
        <w:t>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FangSong_GB2312" w:hAnsi="FangSong_GB2312" w:eastAsia="FangSong_GB2312" w:cs="FangSong_GB2312"/>
          <w:kern w:val="32"/>
          <w:sz w:val="32"/>
          <w:szCs w:val="32"/>
          <w:lang w:val="en-US" w:eastAsia="zh-CN"/>
        </w:rPr>
        <w:t>一是规范支出人员经费1112112.56元，保障全局10名干部职工顺利完成各个岗位工作职责，日常公用经费支出501077.09元，保障单位各种办公费、差旅费、工会福利费、电费、水费等各项开支，保障单位各项工作顺利运转；项目资金支出1343979元，保障单位所承担的消费扶贫、招商引资、电子商务、外贸发展、服务业发展等各种项目顺利完成，最大化发挥项目资金使用效益。</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（二）履职效果情况</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经济效益。</w:t>
      </w:r>
      <w:r>
        <w:rPr>
          <w:rFonts w:hint="eastAsia" w:ascii="仿宋_GB2312" w:hAnsi="仿宋_GB2312" w:eastAsia="仿宋_GB2312" w:cs="仿宋_GB2312"/>
          <w:sz w:val="32"/>
          <w:szCs w:val="32"/>
          <w:lang w:eastAsia="zh-CN"/>
        </w:rPr>
        <w:t>商务</w:t>
      </w:r>
      <w:r>
        <w:rPr>
          <w:rFonts w:hint="eastAsia" w:ascii="仿宋_GB2312" w:hAnsi="仿宋_GB2312" w:eastAsia="仿宋_GB2312" w:cs="仿宋_GB2312"/>
          <w:sz w:val="32"/>
          <w:szCs w:val="32"/>
        </w:rPr>
        <w:t>工作在</w:t>
      </w:r>
      <w:r>
        <w:rPr>
          <w:rFonts w:hint="eastAsia" w:ascii="仿宋_GB2312" w:hAnsi="仿宋_GB2312" w:eastAsia="仿宋_GB2312" w:cs="仿宋_GB2312"/>
          <w:sz w:val="32"/>
          <w:szCs w:val="32"/>
          <w:lang w:val="en-US" w:eastAsia="zh-CN"/>
        </w:rPr>
        <w:t>商贸流通、招商引资、电子商务、消费扶贫、抗疫特别国债资金、内外贸</w:t>
      </w:r>
      <w:bookmarkStart w:id="0" w:name="_GoBack"/>
      <w:bookmarkEnd w:id="0"/>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方面彰显作用。</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2、社会效益。</w:t>
      </w:r>
      <w:r>
        <w:rPr>
          <w:rFonts w:hint="eastAsia" w:ascii="仿宋_GB2312" w:hAnsi="仿宋_GB2312" w:eastAsia="仿宋_GB2312" w:cs="仿宋_GB2312"/>
          <w:sz w:val="32"/>
          <w:szCs w:val="32"/>
          <w:lang w:val="en-US" w:eastAsia="zh-CN"/>
        </w:rPr>
        <w:t>商务局机关社会形象、政治地位、发展空间日益提高，机关效能明显提升。</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3、行政效能。</w:t>
      </w:r>
      <w:r>
        <w:rPr>
          <w:rFonts w:hint="eastAsia" w:ascii="仿宋_GB2312" w:hAnsi="仿宋_GB2312" w:eastAsia="仿宋_GB2312" w:cs="仿宋_GB2312"/>
          <w:sz w:val="32"/>
          <w:szCs w:val="32"/>
          <w:lang w:eastAsia="zh-CN"/>
        </w:rPr>
        <w:t>商务局</w:t>
      </w:r>
      <w:r>
        <w:rPr>
          <w:rFonts w:hint="eastAsia" w:ascii="仿宋_GB2312" w:hAnsi="仿宋_GB2312" w:eastAsia="仿宋_GB2312" w:cs="仿宋_GB2312"/>
          <w:sz w:val="32"/>
          <w:szCs w:val="32"/>
        </w:rPr>
        <w:t>不断</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管理、严格经费及资产管理，厉行节约，提高了效率，降低了成本。</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（三）社会满意度及可持续性影响</w:t>
      </w:r>
    </w:p>
    <w:p>
      <w:pPr>
        <w:widowControl w:val="0"/>
        <w:numPr>
          <w:ilvl w:val="0"/>
          <w:numId w:val="0"/>
        </w:numPr>
        <w:pBdr>
          <w:top w:val="none" w:color="000000" w:sz="0" w:space="7"/>
          <w:bottom w:val="none" w:color="000000" w:sz="0" w:space="7"/>
        </w:pBdr>
        <w:shd w:val="solid" w:color="FFFFFF" w:fill="auto"/>
        <w:wordWrap/>
        <w:autoSpaceDN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宁县</w:t>
      </w:r>
      <w:r>
        <w:rPr>
          <w:rFonts w:hint="eastAsia" w:ascii="仿宋_GB2312" w:hAnsi="仿宋_GB2312" w:eastAsia="仿宋_GB2312" w:cs="仿宋_GB2312"/>
          <w:sz w:val="32"/>
          <w:szCs w:val="32"/>
          <w:lang w:eastAsia="zh-CN"/>
        </w:rPr>
        <w:t>商务局</w:t>
      </w:r>
      <w:r>
        <w:rPr>
          <w:rFonts w:hint="eastAsia" w:ascii="仿宋_GB2312" w:hAnsi="仿宋_GB2312" w:eastAsia="仿宋_GB2312" w:cs="仿宋_GB2312"/>
          <w:sz w:val="32"/>
          <w:szCs w:val="32"/>
        </w:rPr>
        <w:t>可持续性影响继续加大，立足县域实际，服务全县工作大局，为全县经济社会高质量发展提供了有力思想保证和强大精神动力，社会满意度明显增强。</w:t>
      </w:r>
    </w:p>
    <w:p>
      <w:pPr>
        <w:widowControl w:val="0"/>
        <w:wordWrap/>
        <w:adjustRightInd/>
        <w:snapToGrid/>
        <w:spacing w:line="570" w:lineRule="exact"/>
        <w:ind w:left="0" w:leftChars="0" w:right="0" w:firstLine="640" w:firstLineChars="200"/>
        <w:textAlignment w:val="auto"/>
        <w:outlineLvl w:val="9"/>
        <w:rPr>
          <w:rFonts w:hint="eastAsia" w:ascii="黑体" w:hAnsi="黑体" w:eastAsia="黑体" w:cs="黑体"/>
          <w:b/>
          <w:bCs/>
          <w:sz w:val="32"/>
          <w:szCs w:val="32"/>
        </w:rPr>
      </w:pPr>
      <w:r>
        <w:rPr>
          <w:rFonts w:hint="eastAsia" w:ascii="黑体" w:hAnsi="黑体" w:eastAsia="黑体" w:cs="黑体"/>
          <w:b w:val="0"/>
          <w:bCs w:val="0"/>
          <w:sz w:val="32"/>
          <w:szCs w:val="32"/>
        </w:rPr>
        <w:t>三、单位整体支出绩效中存在问题及改进措施</w:t>
      </w:r>
      <w:r>
        <w:rPr>
          <w:rFonts w:hint="eastAsia" w:ascii="黑体" w:hAnsi="黑体" w:eastAsia="黑体" w:cs="黑体"/>
          <w:b/>
          <w:bCs/>
          <w:sz w:val="32"/>
          <w:szCs w:val="32"/>
        </w:rPr>
        <w:t xml:space="preserve"> </w:t>
      </w:r>
    </w:p>
    <w:p>
      <w:pPr>
        <w:widowControl w:val="0"/>
        <w:wordWrap/>
        <w:adjustRightInd/>
        <w:snapToGrid/>
        <w:spacing w:line="570" w:lineRule="exact"/>
        <w:ind w:left="0" w:leftChars="0" w:right="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（一）主要问题及原因分析 </w:t>
      </w:r>
    </w:p>
    <w:p>
      <w:pPr>
        <w:pStyle w:val="5"/>
        <w:widowControl/>
        <w:shd w:val="clear" w:color="060000" w:fill="FFFFFF"/>
        <w:wordWrap/>
        <w:adjustRightInd/>
        <w:snapToGrid/>
        <w:spacing w:beforeAutospacing="0" w:afterAutospacing="0"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FangSong_GB2312" w:hAnsi="FangSong_GB2312" w:eastAsia="FangSong_GB2312" w:cs="FangSong_GB2312"/>
          <w:kern w:val="32"/>
          <w:sz w:val="32"/>
          <w:szCs w:val="32"/>
          <w:lang w:val="en-US" w:eastAsia="zh-CN"/>
        </w:rPr>
        <w:t>单位部分项目实施人员对项目资金使用绩效管理思想认识不够高，项目管理程序性有待进一步规范。</w:t>
      </w:r>
    </w:p>
    <w:p>
      <w:pPr>
        <w:widowControl w:val="0"/>
        <w:wordWrap/>
        <w:adjustRightInd/>
        <w:snapToGrid/>
        <w:spacing w:line="570" w:lineRule="exact"/>
        <w:ind w:left="0" w:leftChars="0" w:right="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（二）改进的方向和具体措施 </w:t>
      </w:r>
    </w:p>
    <w:p>
      <w:pPr>
        <w:widowControl/>
        <w:numPr>
          <w:ilvl w:val="0"/>
          <w:numId w:val="0"/>
        </w:numPr>
        <w:pBdr>
          <w:top w:val="none" w:color="auto" w:sz="0" w:space="0"/>
          <w:left w:val="none" w:color="auto" w:sz="0" w:space="0"/>
          <w:bottom w:val="none" w:color="auto" w:sz="0" w:space="0"/>
          <w:right w:val="none" w:color="auto" w:sz="0" w:space="0"/>
        </w:pBdr>
        <w:shd w:val="clear" w:color="070000" w:fill="FFFFFF"/>
        <w:wordWrap w:val="0"/>
        <w:adjustRightInd/>
        <w:snapToGrid/>
        <w:spacing w:line="57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FangSong_GB2312" w:hAnsi="FangSong_GB2312" w:eastAsia="FangSong_GB2312" w:cs="FangSong_GB2312"/>
          <w:kern w:val="32"/>
          <w:sz w:val="32"/>
          <w:szCs w:val="32"/>
          <w:lang w:val="en-US" w:eastAsia="zh-CN"/>
        </w:rPr>
        <w:t>建议通过以会代训的方式加强对单位项目实施人员项目绩效管理培训，建立培训长效机制，形成项目资金绩效管理关键在项目实施人员而不是会计的思想意识，全流程监管项目运行全过程，最大化发挥项目资金使用效益。</w:t>
      </w:r>
    </w:p>
    <w:p>
      <w:pPr>
        <w:widowControl w:val="0"/>
        <w:wordWrap/>
        <w:adjustRightInd/>
        <w:snapToGrid/>
        <w:spacing w:line="570" w:lineRule="exact"/>
        <w:ind w:left="0" w:leftChars="0" w:right="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四、绩效自评结果拟应用和公开情况 </w:t>
      </w:r>
    </w:p>
    <w:p>
      <w:pPr>
        <w:widowControl w:val="0"/>
        <w:wordWrap/>
        <w:adjustRightInd/>
        <w:snapToGrid/>
        <w:spacing w:line="57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按照年度工作计划和支出标准合理编制</w:t>
      </w:r>
      <w:r>
        <w:rPr>
          <w:rFonts w:hint="eastAsia" w:ascii="仿宋_GB2312" w:hAnsi="仿宋_GB2312" w:eastAsia="仿宋_GB2312" w:cs="仿宋_GB2312"/>
          <w:sz w:val="32"/>
          <w:szCs w:val="32"/>
          <w:lang w:val="en-US" w:eastAsia="zh-CN"/>
        </w:rPr>
        <w:t>预决算</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val="en-US" w:eastAsia="zh-CN"/>
        </w:rPr>
        <w:t>预决算</w:t>
      </w:r>
      <w:r>
        <w:rPr>
          <w:rFonts w:hint="eastAsia" w:ascii="仿宋_GB2312" w:hAnsi="仿宋_GB2312" w:eastAsia="仿宋_GB2312" w:cs="仿宋_GB2312"/>
          <w:sz w:val="32"/>
          <w:szCs w:val="32"/>
        </w:rPr>
        <w:t>数据按要求及时报送。并依据预算信息公开要求，按时按期在宁县人民政府网站公开。</w:t>
      </w:r>
    </w:p>
    <w:p>
      <w:pPr>
        <w:widowControl w:val="0"/>
        <w:wordWrap/>
        <w:adjustRightInd/>
        <w:snapToGrid/>
        <w:spacing w:line="570" w:lineRule="exact"/>
        <w:ind w:left="0" w:leftChars="0" w:right="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五、其他需要说明的问题</w:t>
      </w:r>
    </w:p>
    <w:p>
      <w:pPr>
        <w:widowControl w:val="0"/>
        <w:wordWrap/>
        <w:adjustRightInd/>
        <w:snapToGrid/>
        <w:spacing w:line="570" w:lineRule="exact"/>
        <w:ind w:left="0" w:leftChars="0" w:right="0" w:firstLine="640" w:firstLineChars="200"/>
        <w:textAlignment w:val="auto"/>
        <w:outlineLvl w:val="9"/>
        <w:rPr>
          <w:rFonts w:hint="default" w:ascii="仿宋_GB2312" w:hAnsi="仿宋_GB2312" w:eastAsia="仿宋_GB2312" w:cs="仿宋_GB2312"/>
          <w:kern w:val="32"/>
          <w:sz w:val="32"/>
          <w:szCs w:val="32"/>
          <w:lang w:val="en-US" w:eastAsia="zh-CN"/>
        </w:rPr>
      </w:pPr>
      <w:r>
        <w:rPr>
          <w:rFonts w:hint="eastAsia" w:ascii="仿宋_GB2312" w:hAnsi="仿宋_GB2312" w:eastAsia="仿宋_GB2312" w:cs="仿宋_GB2312"/>
          <w:sz w:val="32"/>
          <w:szCs w:val="32"/>
        </w:rPr>
        <w:t>无其他说明。</w:t>
      </w:r>
      <w:r>
        <w:rPr>
          <w:rStyle w:val="7"/>
          <w:rFonts w:hint="eastAsia" w:ascii="楷体" w:hAnsi="楷体" w:eastAsia="楷体" w:cs="楷体"/>
          <w:b/>
          <w:color w:val="000000"/>
          <w:sz w:val="32"/>
          <w:szCs w:val="32"/>
          <w:lang w:val="en-US" w:eastAsia="zh-CN"/>
        </w:rPr>
        <w:t xml:space="preserve">    </w:t>
      </w:r>
    </w:p>
    <w:sectPr>
      <w:footerReference r:id="rId3" w:type="default"/>
      <w:pgSz w:w="11906" w:h="16838"/>
      <w:pgMar w:top="2098" w:right="1531" w:bottom="1871" w:left="153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t>- 1 -</w:t>
                </w:r>
                <w:r>
                  <w:rPr>
                    <w:rFonts w:hint="eastAsia" w:ascii="仿宋_GB2312" w:hAnsi="仿宋_GB2312" w:eastAsia="仿宋_GB2312" w:cs="仿宋_GB2312"/>
                    <w:sz w:val="32"/>
                    <w:szCs w:val="32"/>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7721873">
    <w:nsid w:val="5F3B4D11"/>
    <w:multiLevelType w:val="singleLevel"/>
    <w:tmpl w:val="5F3B4D11"/>
    <w:lvl w:ilvl="0" w:tentative="1">
      <w:start w:val="2"/>
      <w:numFmt w:val="chineseCounting"/>
      <w:suff w:val="nothing"/>
      <w:lvlText w:val="%1、"/>
      <w:lvlJc w:val="left"/>
    </w:lvl>
  </w:abstractNum>
  <w:abstractNum w:abstractNumId="1871104231">
    <w:nsid w:val="6F86C8E7"/>
    <w:multiLevelType w:val="singleLevel"/>
    <w:tmpl w:val="6F86C8E7"/>
    <w:lvl w:ilvl="0" w:tentative="1">
      <w:start w:val="4"/>
      <w:numFmt w:val="chineseCounting"/>
      <w:suff w:val="nothing"/>
      <w:lvlText w:val="（%1）"/>
      <w:lvlJc w:val="left"/>
      <w:rPr>
        <w:rFonts w:hint="eastAsia"/>
      </w:rPr>
    </w:lvl>
  </w:abstractNum>
  <w:num w:numId="1">
    <w:abstractNumId w:val="1871104231"/>
  </w:num>
  <w:num w:numId="2">
    <w:abstractNumId w:val="15977218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1C784162"/>
    <w:rsid w:val="007057C1"/>
    <w:rsid w:val="00B13D24"/>
    <w:rsid w:val="00CD42D8"/>
    <w:rsid w:val="01B06D43"/>
    <w:rsid w:val="01C63DDC"/>
    <w:rsid w:val="01FC3156"/>
    <w:rsid w:val="02B80C87"/>
    <w:rsid w:val="032E7EE9"/>
    <w:rsid w:val="048145D4"/>
    <w:rsid w:val="05666120"/>
    <w:rsid w:val="066127E9"/>
    <w:rsid w:val="075F25DE"/>
    <w:rsid w:val="08D41DEF"/>
    <w:rsid w:val="093A1318"/>
    <w:rsid w:val="09EC0D0C"/>
    <w:rsid w:val="0BB61D66"/>
    <w:rsid w:val="0BED394E"/>
    <w:rsid w:val="0C2A5542"/>
    <w:rsid w:val="0D905ED8"/>
    <w:rsid w:val="0DF50580"/>
    <w:rsid w:val="0EBF6DF4"/>
    <w:rsid w:val="0F503353"/>
    <w:rsid w:val="10EB5342"/>
    <w:rsid w:val="11490B7B"/>
    <w:rsid w:val="11B86C3C"/>
    <w:rsid w:val="12EC4394"/>
    <w:rsid w:val="12F70B8A"/>
    <w:rsid w:val="13593ADD"/>
    <w:rsid w:val="13657B6B"/>
    <w:rsid w:val="140A7A2F"/>
    <w:rsid w:val="144D6F65"/>
    <w:rsid w:val="14FE2566"/>
    <w:rsid w:val="150578D0"/>
    <w:rsid w:val="167D50B9"/>
    <w:rsid w:val="1758119F"/>
    <w:rsid w:val="17C4206D"/>
    <w:rsid w:val="18F744EA"/>
    <w:rsid w:val="19563C87"/>
    <w:rsid w:val="1A1F0E99"/>
    <w:rsid w:val="1B75309B"/>
    <w:rsid w:val="1BB20A7F"/>
    <w:rsid w:val="1C5C1463"/>
    <w:rsid w:val="1C784162"/>
    <w:rsid w:val="1CD10714"/>
    <w:rsid w:val="1DB87DFE"/>
    <w:rsid w:val="20E56C76"/>
    <w:rsid w:val="20ED0418"/>
    <w:rsid w:val="220A15FD"/>
    <w:rsid w:val="22372689"/>
    <w:rsid w:val="223B234E"/>
    <w:rsid w:val="238B58C0"/>
    <w:rsid w:val="24434389"/>
    <w:rsid w:val="2598586B"/>
    <w:rsid w:val="25D501DC"/>
    <w:rsid w:val="26594BD1"/>
    <w:rsid w:val="26784E59"/>
    <w:rsid w:val="28015267"/>
    <w:rsid w:val="284A5520"/>
    <w:rsid w:val="29F226EE"/>
    <w:rsid w:val="2ACE1147"/>
    <w:rsid w:val="2B594965"/>
    <w:rsid w:val="2C8B7D62"/>
    <w:rsid w:val="2D3173B4"/>
    <w:rsid w:val="2D7C703B"/>
    <w:rsid w:val="2E06500C"/>
    <w:rsid w:val="2E5B0CEB"/>
    <w:rsid w:val="2F7F6916"/>
    <w:rsid w:val="301D28BC"/>
    <w:rsid w:val="31E4547D"/>
    <w:rsid w:val="32113321"/>
    <w:rsid w:val="32527151"/>
    <w:rsid w:val="34FA1307"/>
    <w:rsid w:val="34FD39D2"/>
    <w:rsid w:val="35D73707"/>
    <w:rsid w:val="35D82B73"/>
    <w:rsid w:val="35E127B4"/>
    <w:rsid w:val="36986539"/>
    <w:rsid w:val="36D864EC"/>
    <w:rsid w:val="39045E37"/>
    <w:rsid w:val="3B280780"/>
    <w:rsid w:val="3B7D6D0C"/>
    <w:rsid w:val="3CDF7777"/>
    <w:rsid w:val="3DC07271"/>
    <w:rsid w:val="3DD263DD"/>
    <w:rsid w:val="3DE83CA7"/>
    <w:rsid w:val="3E810387"/>
    <w:rsid w:val="3E860686"/>
    <w:rsid w:val="40900BB6"/>
    <w:rsid w:val="41A25007"/>
    <w:rsid w:val="4279052F"/>
    <w:rsid w:val="42CA4793"/>
    <w:rsid w:val="43AB2613"/>
    <w:rsid w:val="459C30E5"/>
    <w:rsid w:val="4608022C"/>
    <w:rsid w:val="46501AB3"/>
    <w:rsid w:val="46A43C08"/>
    <w:rsid w:val="4730764D"/>
    <w:rsid w:val="47AC0726"/>
    <w:rsid w:val="47CE554A"/>
    <w:rsid w:val="48BF0BFF"/>
    <w:rsid w:val="49631927"/>
    <w:rsid w:val="49752BDF"/>
    <w:rsid w:val="4A334ECA"/>
    <w:rsid w:val="4A537390"/>
    <w:rsid w:val="4B2827E0"/>
    <w:rsid w:val="4C292E03"/>
    <w:rsid w:val="4E282508"/>
    <w:rsid w:val="4E414BDC"/>
    <w:rsid w:val="507E748B"/>
    <w:rsid w:val="51670A05"/>
    <w:rsid w:val="51CD294B"/>
    <w:rsid w:val="51E146EA"/>
    <w:rsid w:val="52316BC3"/>
    <w:rsid w:val="52EC4286"/>
    <w:rsid w:val="531C1D62"/>
    <w:rsid w:val="544E197E"/>
    <w:rsid w:val="54B479C4"/>
    <w:rsid w:val="558711F1"/>
    <w:rsid w:val="55955E52"/>
    <w:rsid w:val="55D50940"/>
    <w:rsid w:val="55FB094E"/>
    <w:rsid w:val="567262D5"/>
    <w:rsid w:val="582C21AD"/>
    <w:rsid w:val="58C06D53"/>
    <w:rsid w:val="59394F3D"/>
    <w:rsid w:val="5995768C"/>
    <w:rsid w:val="5A406F34"/>
    <w:rsid w:val="5B0016AF"/>
    <w:rsid w:val="5B064CD2"/>
    <w:rsid w:val="5B776F2A"/>
    <w:rsid w:val="5BEA2C97"/>
    <w:rsid w:val="5DCD334D"/>
    <w:rsid w:val="5F0E1615"/>
    <w:rsid w:val="5F30650C"/>
    <w:rsid w:val="61651BD7"/>
    <w:rsid w:val="622B25AE"/>
    <w:rsid w:val="63017A16"/>
    <w:rsid w:val="64D45073"/>
    <w:rsid w:val="657753D0"/>
    <w:rsid w:val="65825F10"/>
    <w:rsid w:val="66D65A5B"/>
    <w:rsid w:val="66F90EED"/>
    <w:rsid w:val="68716BCB"/>
    <w:rsid w:val="68FC7E59"/>
    <w:rsid w:val="6932506E"/>
    <w:rsid w:val="6AED6B62"/>
    <w:rsid w:val="6B216E43"/>
    <w:rsid w:val="6B8E31F0"/>
    <w:rsid w:val="6BB21943"/>
    <w:rsid w:val="6D535020"/>
    <w:rsid w:val="6D5D4708"/>
    <w:rsid w:val="6F803F83"/>
    <w:rsid w:val="70AE527B"/>
    <w:rsid w:val="70D05666"/>
    <w:rsid w:val="71F369DC"/>
    <w:rsid w:val="72A36B2F"/>
    <w:rsid w:val="73F45247"/>
    <w:rsid w:val="74336673"/>
    <w:rsid w:val="74991897"/>
    <w:rsid w:val="752C6E4D"/>
    <w:rsid w:val="75EE427A"/>
    <w:rsid w:val="769B6E27"/>
    <w:rsid w:val="773C459C"/>
    <w:rsid w:val="794456F6"/>
    <w:rsid w:val="7A36160D"/>
    <w:rsid w:val="7D01190D"/>
    <w:rsid w:val="7D59637D"/>
    <w:rsid w:val="7D7F4AF0"/>
    <w:rsid w:val="7D8B1E38"/>
    <w:rsid w:val="7D9B719E"/>
    <w:rsid w:val="7DBC6A49"/>
    <w:rsid w:val="7E0E622E"/>
    <w:rsid w:val="7E166E69"/>
    <w:rsid w:val="7EC403B0"/>
    <w:rsid w:val="7F721A9F"/>
    <w:rsid w:val="7F8312EB"/>
    <w:rsid w:val="7FB87DA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7">
    <w:name w:val="Strong"/>
    <w:basedOn w:val="6"/>
    <w:qFormat/>
    <w:uiPriority w:val="0"/>
    <w:rPr>
      <w:b/>
    </w:rPr>
  </w:style>
  <w:style w:type="character" w:styleId="8">
    <w:name w:val="FollowedHyperlink"/>
    <w:basedOn w:val="6"/>
    <w:qFormat/>
    <w:uiPriority w:val="0"/>
    <w:rPr>
      <w:color w:val="454545"/>
      <w:u w:val="none"/>
    </w:rPr>
  </w:style>
  <w:style w:type="character" w:styleId="9">
    <w:name w:val="Hyperlink"/>
    <w:basedOn w:val="6"/>
    <w:qFormat/>
    <w:uiPriority w:val="0"/>
    <w:rPr>
      <w:color w:val="454545"/>
      <w:u w:val="none"/>
    </w:rPr>
  </w:style>
  <w:style w:type="paragraph" w:customStyle="1" w:styleId="11">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character" w:customStyle="1" w:styleId="12">
    <w:name w:val="layui-this"/>
    <w:basedOn w:val="6"/>
    <w:qFormat/>
    <w:uiPriority w:val="0"/>
    <w:rPr>
      <w:bdr w:val="single" w:color="EEEEEE" w:sz="6" w:space="0"/>
      <w:shd w:val="clear" w:color="010000" w:fill="FFFFFF"/>
    </w:rPr>
  </w:style>
  <w:style w:type="character" w:customStyle="1" w:styleId="13">
    <w:name w:val="pass"/>
    <w:basedOn w:val="6"/>
    <w:qFormat/>
    <w:uiPriority w:val="0"/>
    <w:rPr>
      <w:color w:val="D50512"/>
    </w:rPr>
  </w:style>
  <w:style w:type="character" w:customStyle="1" w:styleId="14">
    <w:name w:val="clear2"/>
    <w:basedOn w:val="6"/>
    <w:qFormat/>
    <w:uiPriority w:val="0"/>
    <w:rPr>
      <w:sz w:val="16"/>
      <w:szCs w:val="16"/>
    </w:rPr>
  </w:style>
  <w:style w:type="character" w:customStyle="1" w:styleId="15">
    <w:name w:val="first-child"/>
    <w:basedOn w:val="6"/>
    <w:qFormat/>
    <w:uiPriority w:val="0"/>
  </w:style>
  <w:style w:type="paragraph" w:customStyle="1"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afterLines="0"/>
    </w:pPr>
    <w:rPr>
      <w:rFonts w:ascii="Arial" w:hAnsi="Arial" w:eastAsia="宋体" w:cs="Arial"/>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2018-11-28T03:53:00Z</dcterms:created>
  <dc:creator>Administrator</dc:creator>
  <cp:lastModifiedBy>Administrator</cp:lastModifiedBy>
  <cp:lastPrinted>2020-08-18T03:38:00Z</cp:lastPrinted>
  <dcterms:modified xsi:type="dcterms:W3CDTF">2022-10-19T02:47:39Z</dcterms:modified>
  <dc:title>宁县商务局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