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wordWrap/>
        <w:adjustRightInd/>
        <w:snapToGrid/>
        <w:spacing w:line="57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宁县电子商务服务中心</w:t>
      </w:r>
    </w:p>
    <w:p>
      <w:pPr>
        <w:widowControl w:val="0"/>
        <w:wordWrap/>
        <w:adjustRightInd/>
        <w:snapToGrid/>
        <w:spacing w:line="570" w:lineRule="exact"/>
        <w:ind w:left="0" w:leftChars="0" w:right="0" w:firstLine="880" w:firstLineChars="200"/>
        <w:jc w:val="center"/>
        <w:textAlignment w:val="auto"/>
        <w:outlineLvl w:val="9"/>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整体支出绩效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r>
        <w:rPr>
          <w:rStyle w:val="7"/>
          <w:rFonts w:hint="eastAsia" w:ascii="FangSong_GB2312" w:hAnsi="FangSong_GB2312" w:eastAsia="FangSong_GB2312" w:cs="FangSong_GB2312"/>
          <w:b w:val="0"/>
          <w:bCs/>
          <w:color w:val="000000"/>
          <w:sz w:val="32"/>
          <w:szCs w:val="32"/>
          <w:lang w:eastAsia="zh-CN"/>
        </w:rPr>
        <w:t>县财政局：</w:t>
      </w:r>
    </w:p>
    <w:p>
      <w:pPr>
        <w:pStyle w:val="5"/>
        <w:shd w:val="clear" w:color="auto" w:fill="FFFFFF"/>
        <w:adjustRightInd/>
        <w:snapToGrid/>
        <w:spacing w:before="0" w:beforeAutospacing="0" w:after="0" w:afterAutospacing="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color w:val="000000"/>
          <w:sz w:val="32"/>
          <w:szCs w:val="32"/>
        </w:rPr>
        <w:t>为了</w:t>
      </w:r>
      <w:r>
        <w:rPr>
          <w:rFonts w:hint="eastAsia" w:ascii="FangSong_GB2312" w:hAnsi="FangSong_GB2312" w:eastAsia="FangSong_GB2312" w:cs="FangSong_GB2312"/>
          <w:color w:val="000000"/>
          <w:sz w:val="32"/>
          <w:szCs w:val="32"/>
          <w:lang w:eastAsia="zh-CN"/>
        </w:rPr>
        <w:t>进一步加强财政拨款资金管理，提高资金使用效益</w:t>
      </w:r>
      <w:r>
        <w:rPr>
          <w:rFonts w:hint="eastAsia" w:ascii="FangSong_GB2312" w:hAnsi="FangSong_GB2312" w:eastAsia="FangSong_GB2312" w:cs="FangSong_GB2312"/>
          <w:color w:val="000000"/>
          <w:sz w:val="32"/>
          <w:szCs w:val="32"/>
          <w:lang w:val="en-US" w:eastAsia="zh-CN"/>
        </w:rPr>
        <w:t>，</w:t>
      </w:r>
      <w:r>
        <w:rPr>
          <w:rFonts w:hint="eastAsia" w:ascii="FangSong_GB2312" w:hAnsi="FangSong_GB2312" w:eastAsia="FangSong_GB2312" w:cs="FangSong_GB2312"/>
          <w:kern w:val="32"/>
          <w:sz w:val="32"/>
          <w:szCs w:val="32"/>
        </w:rPr>
        <w:t>我</w:t>
      </w:r>
      <w:r>
        <w:rPr>
          <w:rFonts w:hint="eastAsia" w:ascii="FangSong_GB2312" w:hAnsi="FangSong_GB2312" w:eastAsia="FangSong_GB2312" w:cs="FangSong_GB2312"/>
          <w:kern w:val="32"/>
          <w:sz w:val="32"/>
          <w:szCs w:val="32"/>
          <w:lang w:val="en-US" w:eastAsia="zh-CN"/>
        </w:rPr>
        <w:t>单位</w:t>
      </w:r>
      <w:r>
        <w:rPr>
          <w:rFonts w:hint="eastAsia" w:ascii="FangSong_GB2312" w:hAnsi="FangSong_GB2312" w:eastAsia="FangSong_GB2312" w:cs="FangSong_GB2312"/>
          <w:kern w:val="32"/>
          <w:sz w:val="32"/>
          <w:szCs w:val="32"/>
          <w:lang w:eastAsia="zh-CN"/>
        </w:rPr>
        <w:t>对</w:t>
      </w:r>
      <w:r>
        <w:rPr>
          <w:rFonts w:hint="eastAsia" w:ascii="FangSong_GB2312" w:hAnsi="FangSong_GB2312" w:eastAsia="FangSong_GB2312" w:cs="FangSong_GB2312"/>
          <w:color w:val="000000"/>
          <w:sz w:val="32"/>
          <w:szCs w:val="32"/>
          <w:lang w:val="en-US" w:eastAsia="zh-CN"/>
        </w:rPr>
        <w:t>2021年全年财政拨款支出情况</w:t>
      </w:r>
      <w:r>
        <w:rPr>
          <w:rFonts w:hint="eastAsia" w:ascii="FangSong_GB2312" w:hAnsi="FangSong_GB2312" w:eastAsia="FangSong_GB2312" w:cs="FangSong_GB2312"/>
          <w:kern w:val="32"/>
          <w:sz w:val="32"/>
          <w:szCs w:val="32"/>
        </w:rPr>
        <w:t>进行了</w:t>
      </w:r>
      <w:r>
        <w:rPr>
          <w:rFonts w:hint="eastAsia" w:ascii="FangSong_GB2312" w:hAnsi="FangSong_GB2312" w:eastAsia="FangSong_GB2312" w:cs="FangSong_GB2312"/>
          <w:kern w:val="32"/>
          <w:sz w:val="32"/>
          <w:szCs w:val="32"/>
          <w:lang w:eastAsia="zh-CN"/>
        </w:rPr>
        <w:t>绩效自评</w:t>
      </w:r>
      <w:r>
        <w:rPr>
          <w:rFonts w:hint="eastAsia" w:ascii="FangSong_GB2312" w:hAnsi="FangSong_GB2312" w:eastAsia="FangSong_GB2312" w:cs="FangSong_GB2312"/>
          <w:kern w:val="32"/>
          <w:sz w:val="32"/>
          <w:szCs w:val="32"/>
        </w:rPr>
        <w:t>，现</w:t>
      </w:r>
      <w:r>
        <w:rPr>
          <w:rFonts w:hint="eastAsia" w:ascii="FangSong_GB2312" w:hAnsi="FangSong_GB2312" w:eastAsia="FangSong_GB2312" w:cs="FangSong_GB2312"/>
          <w:kern w:val="32"/>
          <w:sz w:val="32"/>
          <w:szCs w:val="32"/>
          <w:lang w:eastAsia="zh-CN"/>
        </w:rPr>
        <w:t>就自评</w:t>
      </w:r>
      <w:r>
        <w:rPr>
          <w:rFonts w:hint="eastAsia" w:ascii="FangSong_GB2312" w:hAnsi="FangSong_GB2312" w:eastAsia="FangSong_GB2312" w:cs="FangSong_GB2312"/>
          <w:kern w:val="32"/>
          <w:sz w:val="32"/>
          <w:szCs w:val="32"/>
        </w:rPr>
        <w:t>情况</w:t>
      </w:r>
      <w:r>
        <w:rPr>
          <w:rFonts w:hint="eastAsia" w:ascii="FangSong_GB2312" w:hAnsi="FangSong_GB2312" w:eastAsia="FangSong_GB2312" w:cs="FangSong_GB2312"/>
          <w:kern w:val="32"/>
          <w:sz w:val="32"/>
          <w:szCs w:val="32"/>
          <w:lang w:eastAsia="zh-CN"/>
        </w:rPr>
        <w:t>报告</w:t>
      </w:r>
      <w:r>
        <w:rPr>
          <w:rFonts w:hint="eastAsia" w:ascii="FangSong_GB2312" w:hAnsi="FangSong_GB2312" w:eastAsia="FangSong_GB2312" w:cs="FangSong_GB2312"/>
          <w:kern w:val="32"/>
          <w:sz w:val="32"/>
          <w:szCs w:val="32"/>
        </w:rPr>
        <w:t>如下：</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一、单位概况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（一）主要职责职能,组织架构、人员及资产等基本情况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1.主要职能</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rPr>
      </w:pPr>
      <w:r>
        <w:rPr>
          <w:rFonts w:hint="eastAsia" w:ascii="仿宋_GB2312" w:hAnsi="仿宋_GB2312" w:eastAsia="仿宋_GB2312" w:cs="仿宋_GB2312"/>
          <w:i w:val="0"/>
          <w:caps w:val="0"/>
          <w:color w:val="auto"/>
          <w:spacing w:val="0"/>
          <w:sz w:val="32"/>
          <w:szCs w:val="32"/>
          <w:shd w:val="clear" w:color="070000" w:fill="FFFFFF"/>
        </w:rPr>
        <w:t>宁县</w:t>
      </w:r>
      <w:r>
        <w:rPr>
          <w:rFonts w:hint="eastAsia" w:ascii="仿宋_GB2312" w:hAnsi="仿宋_GB2312" w:eastAsia="仿宋_GB2312" w:cs="仿宋_GB2312"/>
          <w:i w:val="0"/>
          <w:caps w:val="0"/>
          <w:color w:val="auto"/>
          <w:spacing w:val="0"/>
          <w:sz w:val="32"/>
          <w:szCs w:val="32"/>
          <w:shd w:val="clear" w:color="070000" w:fill="FFFFFF"/>
          <w:lang w:val="en-US" w:eastAsia="zh-CN"/>
        </w:rPr>
        <w:t>电子商务服务中心</w:t>
      </w:r>
      <w:r>
        <w:rPr>
          <w:rFonts w:hint="eastAsia" w:ascii="仿宋_GB2312" w:hAnsi="仿宋_GB2312" w:eastAsia="仿宋_GB2312" w:cs="仿宋_GB2312"/>
          <w:i w:val="0"/>
          <w:caps w:val="0"/>
          <w:color w:val="auto"/>
          <w:spacing w:val="0"/>
          <w:sz w:val="32"/>
          <w:szCs w:val="32"/>
          <w:shd w:val="clear" w:color="070000" w:fill="FFFFFF"/>
        </w:rPr>
        <w:t>是全额拨款</w:t>
      </w:r>
      <w:r>
        <w:rPr>
          <w:rFonts w:hint="eastAsia" w:ascii="仿宋_GB2312" w:hAnsi="仿宋_GB2312" w:eastAsia="仿宋_GB2312" w:cs="仿宋_GB2312"/>
          <w:i w:val="0"/>
          <w:caps w:val="0"/>
          <w:color w:val="auto"/>
          <w:spacing w:val="0"/>
          <w:sz w:val="32"/>
          <w:szCs w:val="32"/>
          <w:shd w:val="clear" w:color="070000" w:fill="FFFFFF"/>
          <w:lang w:val="en-US" w:eastAsia="zh-CN"/>
        </w:rPr>
        <w:t>事业</w:t>
      </w:r>
      <w:r>
        <w:rPr>
          <w:rFonts w:hint="eastAsia" w:ascii="仿宋_GB2312" w:hAnsi="仿宋_GB2312" w:eastAsia="仿宋_GB2312" w:cs="仿宋_GB2312"/>
          <w:i w:val="0"/>
          <w:caps w:val="0"/>
          <w:color w:val="auto"/>
          <w:spacing w:val="0"/>
          <w:sz w:val="32"/>
          <w:szCs w:val="32"/>
          <w:shd w:val="clear" w:color="070000" w:fill="FFFFFF"/>
        </w:rPr>
        <w:t>单位</w:t>
      </w:r>
      <w:r>
        <w:rPr>
          <w:rFonts w:hint="eastAsia" w:ascii="仿宋_GB2312" w:hAnsi="仿宋_GB2312" w:eastAsia="仿宋_GB2312" w:cs="仿宋_GB2312"/>
          <w:i w:val="0"/>
          <w:caps w:val="0"/>
          <w:color w:val="auto"/>
          <w:spacing w:val="0"/>
          <w:sz w:val="32"/>
          <w:szCs w:val="32"/>
          <w:shd w:val="clear" w:color="070000" w:fill="FFFFFF"/>
          <w:lang w:val="en-US" w:eastAsia="zh-CN"/>
        </w:rPr>
        <w:t>，</w:t>
      </w:r>
      <w:r>
        <w:rPr>
          <w:rFonts w:hint="eastAsia" w:ascii="仿宋_GB2312" w:hAnsi="仿宋_GB2312" w:eastAsia="仿宋_GB2312" w:cs="仿宋_GB2312"/>
          <w:i w:val="0"/>
          <w:caps w:val="0"/>
          <w:color w:val="auto"/>
          <w:spacing w:val="0"/>
          <w:sz w:val="32"/>
          <w:szCs w:val="32"/>
          <w:shd w:val="clear" w:color="070000" w:fill="FFFFFF"/>
        </w:rPr>
        <w:t>主要职责是：</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sz w:val="32"/>
          <w:szCs w:val="32"/>
          <w:shd w:val="clear" w:color="070000" w:fill="FFFFFF"/>
        </w:rPr>
        <w:t>贯彻落实国家、省、市关于电子商务发展的政策和法律法规，拟定全县电子商务产业发展规划，对各专项规划、计划进行指导、论证、协调、综合评估和衔接。</w:t>
      </w:r>
    </w:p>
    <w:p>
      <w:pPr>
        <w:ind w:firstLine="640" w:firstLineChars="200"/>
      </w:pPr>
      <w:r>
        <w:rPr>
          <w:rFonts w:hint="eastAsia" w:ascii="仿宋" w:hAnsi="仿宋" w:eastAsia="仿宋" w:cs="仿宋"/>
          <w:sz w:val="32"/>
          <w:szCs w:val="32"/>
          <w:lang w:val="en-US" w:eastAsia="zh-CN"/>
        </w:rPr>
        <w:t>2、</w:t>
      </w:r>
      <w:r>
        <w:rPr>
          <w:rFonts w:hint="eastAsia" w:ascii="仿宋_GB2312" w:hAnsi="仿宋_GB2312" w:eastAsia="仿宋_GB2312" w:cs="仿宋_GB2312"/>
          <w:sz w:val="32"/>
          <w:szCs w:val="32"/>
          <w:shd w:val="clear" w:color="070000" w:fill="FFFFFF"/>
        </w:rPr>
        <w:t>负责电子商务运营平台的建设和管理及电子商务的信息采集、监测统计和汇总上报。</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sz w:val="32"/>
          <w:szCs w:val="32"/>
          <w:shd w:val="clear" w:color="070000" w:fill="FFFFFF"/>
        </w:rPr>
        <w:t>负责电子商务市场监管、指导和扶持政策资金受理审核等工作。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_GB2312" w:hAnsi="仿宋_GB2312" w:eastAsia="仿宋_GB2312" w:cs="仿宋_GB2312"/>
          <w:sz w:val="32"/>
          <w:szCs w:val="32"/>
          <w:shd w:val="clear" w:color="070000" w:fill="FFFFFF"/>
        </w:rPr>
        <w:t>负责国内外知名电子商务企业的引进、本地电子商务企业的培育及电子商务应用人才的培养引进。</w:t>
      </w:r>
    </w:p>
    <w:p>
      <w:pPr>
        <w:pStyle w:val="11"/>
        <w:widowControl/>
        <w:shd w:val="clear" w:color="050000" w:fill="FFFFFF"/>
        <w:ind w:firstLine="640" w:firstLineChars="200"/>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sz w:val="32"/>
          <w:szCs w:val="32"/>
          <w:shd w:val="clear" w:color="070000" w:fill="FFFFFF"/>
        </w:rPr>
        <w:t>承办县委、县政府和上级主管部门交办的其它事项</w:t>
      </w:r>
      <w:r>
        <w:rPr>
          <w:rFonts w:hint="eastAsia" w:ascii="仿宋_GB2312" w:hAnsi="仿宋_GB2312" w:eastAsia="仿宋_GB2312" w:cs="仿宋_GB2312"/>
          <w:sz w:val="32"/>
          <w:szCs w:val="32"/>
          <w:shd w:val="clear" w:color="070000" w:fill="FFFFFF"/>
          <w:lang w:eastAsia="zh-CN"/>
        </w:rPr>
        <w:t>。</w:t>
      </w:r>
    </w:p>
    <w:p>
      <w:pPr>
        <w:pStyle w:val="5"/>
        <w:widowControl/>
        <w:shd w:val="clear" w:color="060000" w:fill="FFFFFF"/>
        <w:wordWrap/>
        <w:adjustRightInd/>
        <w:snapToGrid/>
        <w:spacing w:beforeAutospacing="0" w:afterAutospacing="0" w:line="570" w:lineRule="exact"/>
        <w:ind w:left="0" w:leftChars="0" w:right="0" w:firstLine="643" w:firstLineChars="200"/>
        <w:jc w:val="both"/>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机构设置</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val="en-US" w:eastAsia="zh-CN"/>
        </w:rPr>
        <w:t>电子商务服务中心</w:t>
      </w:r>
      <w:r>
        <w:rPr>
          <w:rFonts w:hint="eastAsia" w:ascii="仿宋_GB2312" w:hAnsi="仿宋_GB2312" w:eastAsia="仿宋_GB2312" w:cs="仿宋_GB2312"/>
          <w:sz w:val="32"/>
          <w:szCs w:val="32"/>
        </w:rPr>
        <w:t>隶属县商务局管理，正科级建制，为公益一类、财政全额拨款事业单位，内设人事秘书股、</w:t>
      </w:r>
      <w:r>
        <w:rPr>
          <w:rFonts w:hint="eastAsia" w:ascii="仿宋_GB2312" w:hAnsi="仿宋_GB2312" w:eastAsia="仿宋_GB2312" w:cs="仿宋_GB2312"/>
          <w:sz w:val="32"/>
          <w:szCs w:val="32"/>
          <w:lang w:val="en-US" w:eastAsia="zh-CN"/>
        </w:rPr>
        <w:t>电商运营</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val="en-US" w:eastAsia="zh-CN"/>
        </w:rPr>
        <w:t>电商监管</w:t>
      </w:r>
      <w:r>
        <w:rPr>
          <w:rFonts w:hint="eastAsia" w:ascii="仿宋_GB2312" w:hAnsi="仿宋_GB2312" w:eastAsia="仿宋_GB2312" w:cs="仿宋_GB2312"/>
          <w:sz w:val="32"/>
          <w:szCs w:val="32"/>
        </w:rPr>
        <w:t>股。</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实有编制</w:t>
      </w:r>
      <w:r>
        <w:rPr>
          <w:rFonts w:hint="eastAsia"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在职人员</w:t>
      </w:r>
      <w:r>
        <w:rPr>
          <w:rFonts w:hint="eastAsia" w:eastAsia="仿宋_GB2312" w:cs="Times New Roman"/>
          <w:sz w:val="32"/>
          <w:szCs w:val="32"/>
          <w:lang w:val="en-US" w:eastAsia="zh-CN"/>
        </w:rPr>
        <w:t>16</w:t>
      </w:r>
      <w:r>
        <w:rPr>
          <w:rFonts w:hint="eastAsia" w:ascii="仿宋_GB2312" w:hAnsi="仿宋_GB2312" w:eastAsia="仿宋_GB2312" w:cs="仿宋_GB2312"/>
          <w:sz w:val="32"/>
          <w:szCs w:val="32"/>
        </w:rPr>
        <w:t>人，其中参照公务员法管理事业人员</w:t>
      </w:r>
      <w:r>
        <w:rPr>
          <w:rFonts w:hint="eastAsia" w:eastAsia="仿宋_GB2312" w:cs="Times New Roman"/>
          <w:sz w:val="32"/>
          <w:szCs w:val="32"/>
          <w:lang w:val="en-US" w:eastAsia="zh-CN"/>
        </w:rPr>
        <w:t>4</w:t>
      </w:r>
      <w:r>
        <w:rPr>
          <w:rFonts w:hint="eastAsia" w:ascii="仿宋_GB2312" w:hAnsi="仿宋_GB2312" w:eastAsia="仿宋_GB2312" w:cs="仿宋_GB2312"/>
          <w:sz w:val="32"/>
          <w:szCs w:val="32"/>
        </w:rPr>
        <w:t>人，非参公事业人员</w:t>
      </w:r>
      <w:r>
        <w:rPr>
          <w:rFonts w:hint="eastAsia" w:eastAsia="仿宋_GB2312" w:cs="Times New Roman"/>
          <w:sz w:val="32"/>
          <w:szCs w:val="32"/>
          <w:lang w:val="en-US" w:eastAsia="zh-CN"/>
        </w:rPr>
        <w:t>12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w:t>
      </w:r>
      <w:r>
        <w:rPr>
          <w:rFonts w:hint="eastAsia" w:ascii="Times New Roman" w:hAnsi="Times New Roman" w:eastAsia="仿宋" w:cs="Times New Roman"/>
          <w:sz w:val="32"/>
          <w:szCs w:val="32"/>
          <w:lang w:val="en-US" w:eastAsia="zh-CN"/>
        </w:rPr>
        <w:t>减少5人。</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3.资产状况</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sz w:val="32"/>
          <w:szCs w:val="32"/>
          <w:shd w:val="clear" w:color="070000" w:fill="FFFFFF"/>
        </w:rPr>
      </w:pPr>
      <w:r>
        <w:rPr>
          <w:rFonts w:hint="eastAsia" w:ascii="仿宋_GB2312" w:hAnsi="仿宋_GB2312" w:eastAsia="仿宋_GB2312" w:cs="仿宋_GB2312"/>
          <w:sz w:val="32"/>
          <w:szCs w:val="32"/>
          <w:shd w:val="clear" w:color="070000" w:fill="FFFFFF"/>
        </w:rPr>
        <w:t>截至202</w:t>
      </w:r>
      <w:r>
        <w:rPr>
          <w:rFonts w:hint="eastAsia" w:ascii="仿宋_GB2312" w:hAnsi="仿宋_GB2312" w:eastAsia="仿宋_GB2312" w:cs="仿宋_GB2312"/>
          <w:sz w:val="32"/>
          <w:szCs w:val="32"/>
          <w:shd w:val="clear" w:color="070000" w:fill="FFFFFF"/>
          <w:lang w:val="en-US" w:eastAsia="zh-CN"/>
        </w:rPr>
        <w:t>1</w:t>
      </w:r>
      <w:r>
        <w:rPr>
          <w:rFonts w:hint="eastAsia" w:ascii="仿宋_GB2312" w:hAnsi="仿宋_GB2312" w:eastAsia="仿宋_GB2312" w:cs="仿宋_GB2312"/>
          <w:sz w:val="32"/>
          <w:szCs w:val="32"/>
          <w:shd w:val="clear" w:color="070000" w:fill="FFFFFF"/>
        </w:rPr>
        <w:t>年12月31日，国有资产原值210440.00元，固定资产累计折旧</w:t>
      </w:r>
      <w:r>
        <w:rPr>
          <w:rFonts w:hint="eastAsia" w:ascii="仿宋_GB2312" w:hAnsi="仿宋_GB2312" w:eastAsia="仿宋_GB2312" w:cs="仿宋_GB2312"/>
          <w:sz w:val="32"/>
          <w:szCs w:val="32"/>
          <w:shd w:val="clear" w:color="070000" w:fill="FFFFFF"/>
          <w:lang w:val="en-US" w:eastAsia="zh-CN"/>
        </w:rPr>
        <w:t>157639.59</w:t>
      </w:r>
      <w:r>
        <w:rPr>
          <w:rFonts w:hint="eastAsia" w:ascii="仿宋_GB2312" w:hAnsi="仿宋_GB2312" w:eastAsia="仿宋_GB2312" w:cs="仿宋_GB2312"/>
          <w:sz w:val="32"/>
          <w:szCs w:val="32"/>
          <w:shd w:val="clear" w:color="070000" w:fill="FFFFFF"/>
        </w:rPr>
        <w:t>元，固定资产净值</w:t>
      </w:r>
      <w:r>
        <w:rPr>
          <w:rFonts w:hint="eastAsia" w:ascii="仿宋_GB2312" w:hAnsi="仿宋_GB2312" w:eastAsia="仿宋_GB2312" w:cs="仿宋_GB2312"/>
          <w:sz w:val="32"/>
          <w:szCs w:val="32"/>
          <w:shd w:val="clear" w:color="070000" w:fill="FFFFFF"/>
          <w:lang w:val="en-US" w:eastAsia="zh-CN"/>
        </w:rPr>
        <w:t>52800.41</w:t>
      </w:r>
      <w:r>
        <w:rPr>
          <w:rFonts w:hint="eastAsia" w:ascii="仿宋_GB2312" w:hAnsi="仿宋_GB2312" w:eastAsia="仿宋_GB2312" w:cs="仿宋_GB2312"/>
          <w:sz w:val="32"/>
          <w:szCs w:val="32"/>
          <w:shd w:val="clear" w:color="070000" w:fill="FFFFFF"/>
        </w:rPr>
        <w:t>元。本单位无车辆</w:t>
      </w:r>
      <w:r>
        <w:rPr>
          <w:rFonts w:hint="eastAsia" w:ascii="仿宋_GB2312" w:hAnsi="仿宋_GB2312" w:eastAsia="仿宋_GB2312" w:cs="仿宋_GB2312"/>
          <w:sz w:val="32"/>
          <w:szCs w:val="32"/>
          <w:shd w:val="clear" w:color="070000" w:fill="FFFFFF"/>
          <w:lang w:eastAsia="zh-CN"/>
        </w:rPr>
        <w:t>，</w:t>
      </w:r>
      <w:r>
        <w:rPr>
          <w:rFonts w:hint="eastAsia" w:ascii="仿宋_GB2312" w:hAnsi="仿宋_GB2312" w:eastAsia="仿宋_GB2312" w:cs="仿宋_GB2312"/>
          <w:sz w:val="32"/>
          <w:szCs w:val="32"/>
          <w:shd w:val="clear" w:color="070000" w:fill="FFFFFF"/>
        </w:rPr>
        <w:t>无单价</w:t>
      </w:r>
      <w:r>
        <w:rPr>
          <w:rFonts w:hint="default" w:ascii="仿宋_GB2312" w:hAnsi="仿宋_GB2312" w:eastAsia="仿宋_GB2312" w:cs="仿宋_GB2312"/>
          <w:sz w:val="32"/>
          <w:szCs w:val="32"/>
          <w:shd w:val="clear" w:color="070000" w:fill="FFFFFF"/>
        </w:rPr>
        <w:t>50</w:t>
      </w:r>
      <w:r>
        <w:rPr>
          <w:rFonts w:hint="eastAsia" w:ascii="仿宋_GB2312" w:hAnsi="仿宋_GB2312" w:eastAsia="仿宋_GB2312" w:cs="仿宋_GB2312"/>
          <w:sz w:val="32"/>
          <w:szCs w:val="32"/>
          <w:shd w:val="clear" w:color="070000" w:fill="FFFFFF"/>
        </w:rPr>
        <w:t>万元以上通用设备，无单价</w:t>
      </w:r>
      <w:r>
        <w:rPr>
          <w:rFonts w:hint="default" w:ascii="仿宋_GB2312" w:hAnsi="仿宋_GB2312" w:eastAsia="仿宋_GB2312" w:cs="仿宋_GB2312"/>
          <w:sz w:val="32"/>
          <w:szCs w:val="32"/>
          <w:shd w:val="clear" w:color="070000" w:fill="FFFFFF"/>
        </w:rPr>
        <w:t>100</w:t>
      </w:r>
      <w:r>
        <w:rPr>
          <w:rFonts w:hint="eastAsia" w:ascii="仿宋_GB2312" w:hAnsi="仿宋_GB2312" w:eastAsia="仿宋_GB2312" w:cs="仿宋_GB2312"/>
          <w:sz w:val="32"/>
          <w:szCs w:val="32"/>
          <w:shd w:val="clear" w:color="070000" w:fill="FFFFFF"/>
        </w:rPr>
        <w:t>万元以上专用设备。</w:t>
      </w:r>
    </w:p>
    <w:p>
      <w:pPr>
        <w:widowControl w:val="0"/>
        <w:wordWrap/>
        <w:adjustRightInd/>
        <w:snapToGrid/>
        <w:spacing w:line="570" w:lineRule="exact"/>
        <w:ind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shd w:val="clear" w:color="070000" w:fill="FFFFFF"/>
          <w:lang w:val="en-US" w:eastAsia="zh-CN"/>
        </w:rPr>
        <w:t xml:space="preserve">  </w:t>
      </w:r>
      <w:bookmarkStart w:id="0" w:name="_GoBack"/>
      <w:bookmarkEnd w:id="0"/>
      <w:r>
        <w:rPr>
          <w:rFonts w:hint="eastAsia" w:ascii="仿宋_GB2312" w:hAnsi="仿宋_GB2312" w:eastAsia="仿宋_GB2312" w:cs="仿宋_GB2312"/>
          <w:b/>
          <w:bCs/>
          <w:sz w:val="32"/>
          <w:szCs w:val="32"/>
        </w:rPr>
        <w:t xml:space="preserve"> (二)履职总体目标、工作任务 </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1.履职总体目标</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FangSong_GB2312" w:hAnsi="FangSong_GB2312" w:eastAsia="FangSong_GB2312" w:cs="FangSong_GB2312"/>
          <w:kern w:val="32"/>
          <w:sz w:val="32"/>
          <w:szCs w:val="32"/>
          <w:lang w:val="en-US" w:eastAsia="zh-CN"/>
        </w:rPr>
      </w:pPr>
      <w:r>
        <w:rPr>
          <w:rFonts w:hint="eastAsia" w:ascii="FangSong_GB2312" w:hAnsi="FangSong_GB2312" w:eastAsia="FangSong_GB2312" w:cs="FangSong_GB2312"/>
          <w:kern w:val="32"/>
          <w:sz w:val="32"/>
          <w:szCs w:val="32"/>
          <w:lang w:val="en-US" w:eastAsia="zh-CN"/>
        </w:rPr>
        <w:t>一是严格按照相关管理规定支付人员经费，保障单位工作人员的基本工资、津贴补贴、生活性补贴、工会会费、福利费等各项费用，二是严格按照财务管理规定支付单位公用经费，保障单位办公费、水电费、邮电费、劳务费等各项费用，保障各项工作顺利开展。三是严格按照项目资金管理办法，拨付和使用专项资金，保障单位所实施的各种项目资金合规合法，最对大化发挥项目资金使用效益。</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工作任务</w:t>
      </w:r>
    </w:p>
    <w:p>
      <w:pPr>
        <w:pStyle w:val="5"/>
        <w:widowControl/>
        <w:numPr>
          <w:ilvl w:val="0"/>
          <w:numId w:val="0"/>
        </w:numPr>
        <w:adjustRightInd/>
        <w:snapToGrid/>
        <w:spacing w:before="0" w:beforeAutospacing="0" w:after="0" w:afterAutospacing="0" w:line="570" w:lineRule="exact"/>
        <w:ind w:left="0" w:leftChars="0" w:right="0"/>
        <w:jc w:val="left"/>
        <w:textAlignment w:val="auto"/>
        <w:outlineLvl w:val="9"/>
        <w:rPr>
          <w:rFonts w:hint="default" w:ascii="楷体" w:hAnsi="楷体" w:eastAsia="楷体" w:cs="楷体"/>
          <w:b/>
          <w:bCs/>
          <w:i w:val="0"/>
          <w:caps w:val="0"/>
          <w:color w:val="000000"/>
          <w:spacing w:val="0"/>
          <w:sz w:val="32"/>
          <w:szCs w:val="32"/>
          <w:shd w:val="clear" w:color="090000" w:fill="FFFFFF"/>
          <w:lang w:val="en-US" w:eastAsia="zh-CN"/>
        </w:rPr>
      </w:pPr>
      <w:r>
        <w:rPr>
          <w:rFonts w:hint="eastAsia" w:ascii="FangSong_GB2312" w:hAnsi="FangSong_GB2312" w:eastAsia="FangSong_GB2312" w:cs="FangSong_GB2312"/>
          <w:kern w:val="32"/>
          <w:sz w:val="32"/>
          <w:szCs w:val="32"/>
          <w:lang w:val="en-US" w:eastAsia="zh-CN"/>
        </w:rPr>
        <w:t xml:space="preserve">    一是规范支出人员经费</w:t>
      </w:r>
      <w:r>
        <w:rPr>
          <w:rFonts w:hint="eastAsia" w:ascii="Times New Roman" w:hAnsi="Times New Roman" w:eastAsia="仿宋_GB2312" w:cs="Times New Roman"/>
          <w:sz w:val="32"/>
          <w:szCs w:val="32"/>
          <w:shd w:val="clear" w:color="070000" w:fill="FFFFFF"/>
          <w:lang w:val="en-US" w:eastAsia="zh-CN"/>
        </w:rPr>
        <w:t>1643650.28</w:t>
      </w:r>
      <w:r>
        <w:rPr>
          <w:rFonts w:hint="eastAsia" w:ascii="FangSong_GB2312" w:hAnsi="FangSong_GB2312" w:eastAsia="FangSong_GB2312" w:cs="FangSong_GB2312"/>
          <w:kern w:val="32"/>
          <w:sz w:val="32"/>
          <w:szCs w:val="32"/>
          <w:lang w:val="en-US" w:eastAsia="zh-CN"/>
        </w:rPr>
        <w:t>元，保障本单位16名干部职工顺利完成各个岗位工作职责，日常公用经费支出</w:t>
      </w:r>
      <w:r>
        <w:rPr>
          <w:rFonts w:hint="eastAsia" w:ascii="Times New Roman" w:hAnsi="Times New Roman" w:eastAsia="仿宋_GB2312" w:cs="Times New Roman"/>
          <w:sz w:val="32"/>
          <w:szCs w:val="32"/>
          <w:shd w:val="clear" w:color="070000" w:fill="FFFFFF"/>
          <w:lang w:val="en-US" w:eastAsia="zh-CN"/>
        </w:rPr>
        <w:t>126177.21</w:t>
      </w:r>
      <w:r>
        <w:rPr>
          <w:rFonts w:hint="eastAsia" w:ascii="FangSong_GB2312" w:hAnsi="FangSong_GB2312" w:eastAsia="FangSong_GB2312" w:cs="FangSong_GB2312"/>
          <w:kern w:val="32"/>
          <w:sz w:val="32"/>
          <w:szCs w:val="32"/>
          <w:lang w:val="en-US" w:eastAsia="zh-CN"/>
        </w:rPr>
        <w:t>元，保障单位各种办公费、差旅费、工会福利费、电费、水费等各项开支，保障单位各项工作顺利运转；项目资金支出234970元，保障单位所承担的招商引资项目顺利完成，最大化发挥项目资金使用效益。</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（三）整体支出绩效目标</w:t>
      </w:r>
    </w:p>
    <w:p>
      <w:pPr>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本单位2021年度财政拨款支出总计</w:t>
      </w:r>
      <w:r>
        <w:rPr>
          <w:rFonts w:hint="default" w:ascii="Times New Roman" w:hAnsi="Times New Roman" w:eastAsia="仿宋_GB2312" w:cs="Times New Roman"/>
          <w:sz w:val="32"/>
          <w:szCs w:val="32"/>
          <w:shd w:val="clear" w:color="070000" w:fill="FFFFFF"/>
        </w:rPr>
        <w:t>2</w:t>
      </w:r>
      <w:r>
        <w:rPr>
          <w:rFonts w:hint="eastAsia" w:ascii="Times New Roman" w:hAnsi="Times New Roman" w:eastAsia="仿宋_GB2312" w:cs="Times New Roman"/>
          <w:sz w:val="32"/>
          <w:szCs w:val="32"/>
          <w:shd w:val="clear" w:color="070000" w:fill="FFFFFF"/>
          <w:lang w:val="en-US" w:eastAsia="zh-CN"/>
        </w:rPr>
        <w:t>004797</w:t>
      </w:r>
      <w:r>
        <w:rPr>
          <w:rFonts w:hint="eastAsia" w:ascii="仿宋_GB2312" w:hAnsi="仿宋_GB2312" w:eastAsia="仿宋_GB2312" w:cs="仿宋_GB2312"/>
          <w:sz w:val="32"/>
          <w:szCs w:val="32"/>
          <w:shd w:val="clear" w:color="070000" w:fill="FFFFFF"/>
        </w:rPr>
        <w:t>.</w:t>
      </w:r>
      <w:r>
        <w:rPr>
          <w:rFonts w:hint="default" w:ascii="Times New Roman" w:hAnsi="Times New Roman" w:eastAsia="仿宋_GB2312" w:cs="Times New Roman"/>
          <w:sz w:val="32"/>
          <w:szCs w:val="32"/>
          <w:shd w:val="clear" w:color="070000" w:fill="FFFFFF"/>
        </w:rPr>
        <w:t>49</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元。较上年减少</w:t>
      </w:r>
      <w:r>
        <w:rPr>
          <w:rFonts w:hint="eastAsia" w:ascii="Times New Roman" w:hAnsi="Times New Roman" w:eastAsia="仿宋_GB2312" w:cs="Times New Roman"/>
          <w:sz w:val="32"/>
          <w:szCs w:val="32"/>
          <w:shd w:val="clear" w:color="070000" w:fill="FFFFFF"/>
          <w:lang w:val="en-US" w:eastAsia="zh-CN"/>
        </w:rPr>
        <w:t>177373</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元，减少</w:t>
      </w:r>
      <w:r>
        <w:rPr>
          <w:rFonts w:hint="eastAsia" w:ascii="Times New Roman" w:hAnsi="Times New Roman" w:eastAsia="仿宋_GB2312" w:cs="Times New Roman"/>
          <w:sz w:val="32"/>
          <w:szCs w:val="32"/>
          <w:shd w:val="clear" w:color="070000" w:fill="FFFFFF"/>
          <w:lang w:val="en-US" w:eastAsia="zh-CN"/>
        </w:rPr>
        <w:t>8.13</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%，原因为：</w:t>
      </w:r>
      <w:r>
        <w:rPr>
          <w:rFonts w:hint="eastAsia" w:ascii="Times New Roman" w:hAnsi="Times New Roman" w:eastAsia="仿宋_GB2312"/>
          <w:color w:val="000000"/>
          <w:sz w:val="32"/>
          <w:szCs w:val="32"/>
        </w:rPr>
        <w:t>在职人员</w:t>
      </w:r>
      <w:r>
        <w:rPr>
          <w:rFonts w:hint="eastAsia" w:ascii="Times New Roman" w:hAnsi="Times New Roman" w:eastAsia="仿宋_GB2312"/>
          <w:color w:val="000000"/>
          <w:sz w:val="32"/>
          <w:szCs w:val="32"/>
          <w:lang w:val="en-US" w:eastAsia="zh-CN"/>
        </w:rPr>
        <w:t>数减少。</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2021年度财政拨款支出主要用于以下方面：社会保障和就业支出</w:t>
      </w:r>
      <w:r>
        <w:rPr>
          <w:rFonts w:hint="default" w:ascii="Times New Roman" w:hAnsi="Times New Roman" w:eastAsia="仿宋_GB2312" w:cs="Times New Roman"/>
          <w:color w:val="000000"/>
          <w:sz w:val="32"/>
          <w:szCs w:val="32"/>
        </w:rPr>
        <w:t>96857.76</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元，</w:t>
      </w:r>
      <w:r>
        <w:rPr>
          <w:rFonts w:hint="eastAsia" w:ascii="Times New Roman" w:hAnsi="Times New Roman" w:eastAsia="仿宋_GB2312" w:cs="Times New Roman"/>
          <w:color w:val="000000"/>
          <w:sz w:val="32"/>
          <w:szCs w:val="32"/>
        </w:rPr>
        <w:t>占本年财政拨款支出</w:t>
      </w:r>
      <w:r>
        <w:rPr>
          <w:rFonts w:hint="eastAsia" w:ascii="Times New Roman" w:hAnsi="Times New Roman" w:eastAsia="仿宋_GB2312" w:cs="Times New Roman"/>
          <w:sz w:val="32"/>
          <w:szCs w:val="32"/>
          <w:shd w:val="clear" w:color="070000" w:fill="FFFFFF"/>
          <w:lang w:val="en-US" w:eastAsia="zh-CN"/>
        </w:rPr>
        <w:t>4.83%</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；卫生健康支出81403.92元，占4.06%；农林水支出10000元，占0.5%。资源勘探工业信息等支出1591565.81，占总支出的79.39%。一般公共服务支出224970元，占总支出的11.22%。</w:t>
      </w:r>
    </w:p>
    <w:p>
      <w:pPr>
        <w:numPr>
          <w:ilvl w:val="0"/>
          <w:numId w:val="1"/>
        </w:numPr>
        <w:pBdr>
          <w:top w:val="none" w:color="000000" w:sz="0" w:space="7"/>
          <w:bottom w:val="none" w:color="000000" w:sz="0" w:space="7"/>
        </w:pBdr>
        <w:shd w:val="solid" w:color="FFFFFF" w:fill="auto"/>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预算绩效管理开展情况</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val="en-US" w:eastAsia="zh-CN"/>
        </w:rPr>
      </w:pPr>
      <w:r>
        <w:rPr>
          <w:rFonts w:hint="eastAsia" w:ascii="仿宋_GB2312" w:hAnsi="仿宋_GB2312" w:eastAsia="仿宋_GB2312" w:cs="仿宋_GB2312"/>
          <w:b w:val="0"/>
          <w:i w:val="0"/>
          <w:color w:val="2F2F2F"/>
          <w:sz w:val="32"/>
          <w:szCs w:val="32"/>
          <w:shd w:val="clear" w:color="auto" w:fill="FFFFFF"/>
          <w:lang w:val="en-US" w:eastAsia="zh-CN"/>
        </w:rPr>
        <w:t>本单位2021年度整体绩效评价自评分数95分，结果为</w:t>
      </w:r>
      <w:r>
        <w:rPr>
          <w:rFonts w:hint="eastAsia" w:ascii="仿宋_GB2312" w:hAnsi="仿宋_GB2312" w:eastAsia="仿宋_GB2312" w:cs="仿宋_GB2312"/>
          <w:b w:val="0"/>
          <w:i w:val="0"/>
          <w:color w:val="2F2F2F"/>
          <w:sz w:val="32"/>
          <w:szCs w:val="32"/>
          <w:shd w:val="clear" w:color="auto" w:fill="FFFFFF"/>
          <w:lang w:eastAsia="zh-CN"/>
        </w:rPr>
        <w:t>“优”</w:t>
      </w:r>
      <w:r>
        <w:rPr>
          <w:rFonts w:hint="eastAsia" w:ascii="仿宋_GB2312" w:hAnsi="仿宋_GB2312" w:eastAsia="仿宋_GB2312" w:cs="仿宋_GB2312"/>
          <w:b w:val="0"/>
          <w:i w:val="0"/>
          <w:color w:val="2F2F2F"/>
          <w:sz w:val="32"/>
          <w:szCs w:val="32"/>
          <w:shd w:val="clear" w:color="auto" w:fill="FFFFFF"/>
          <w:lang w:val="en-US" w:eastAsia="zh-CN"/>
        </w:rPr>
        <w:t>。</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eastAsia="zh-CN"/>
        </w:rPr>
        <w:t>一是预算执行有效。单位本年度预算完成数与预算数的比率小于100%；结转结余率控制在合理范围；本单位对项目支出的组织领导、项目实施过程的监督管理建立和落实了相应的管理机制；对项目支出的组织领导、项目实施过程的监督管理都建立和落实了相应的管理机制；本单位本年度“三公经费”实际支出数与预算安排数的比率小于100%，控制在预算管理规范。本单位为加强预算管理、规范财务行为而制定的管理制度健全完整；本单位严格按照政府信息公开有关规定公开相关预决算信息；本单位使用预算资金符合相关的预算财务管理制度的规定。</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0" w:firstLineChars="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val="en-US" w:eastAsia="zh-CN"/>
        </w:rPr>
        <w:t xml:space="preserve">    </w:t>
      </w:r>
      <w:r>
        <w:rPr>
          <w:rFonts w:hint="eastAsia" w:ascii="仿宋_GB2312" w:hAnsi="仿宋_GB2312" w:eastAsia="仿宋_GB2312" w:cs="仿宋_GB2312"/>
          <w:b w:val="0"/>
          <w:i w:val="0"/>
          <w:color w:val="2F2F2F"/>
          <w:sz w:val="32"/>
          <w:szCs w:val="32"/>
          <w:shd w:val="clear" w:color="auto" w:fill="FFFFFF"/>
          <w:lang w:eastAsia="zh-CN"/>
        </w:rPr>
        <w:t>二是预算参照规定。根据</w:t>
      </w:r>
      <w:r>
        <w:rPr>
          <w:rFonts w:hint="eastAsia" w:ascii="仿宋_GB2312" w:hAnsi="仿宋_GB2312" w:eastAsia="仿宋_GB2312" w:cs="仿宋_GB2312"/>
          <w:b w:val="0"/>
          <w:i w:val="0"/>
          <w:color w:val="2F2F2F"/>
          <w:sz w:val="32"/>
          <w:szCs w:val="32"/>
          <w:shd w:val="clear" w:color="auto" w:fill="FFFFFF"/>
          <w:lang w:val="en-US" w:eastAsia="zh-CN"/>
        </w:rPr>
        <w:t>电商中心</w:t>
      </w:r>
      <w:r>
        <w:rPr>
          <w:rFonts w:hint="eastAsia" w:ascii="仿宋_GB2312" w:hAnsi="仿宋_GB2312" w:eastAsia="仿宋_GB2312" w:cs="仿宋_GB2312"/>
          <w:b w:val="0"/>
          <w:i w:val="0"/>
          <w:color w:val="2F2F2F"/>
          <w:sz w:val="32"/>
          <w:szCs w:val="32"/>
          <w:shd w:val="clear" w:color="auto" w:fill="FFFFFF"/>
          <w:lang w:eastAsia="zh-CN"/>
        </w:rPr>
        <w:t>工作职责及2021年度重点工作，制定2021年度绩效管理工作的总体目标和政策，明确2021年度绩效管理的工作重心和方向，确定相应的绩效管理策略和目标;根据2021年度预算执行情况适时跟进、反馈和调整跟进工作项目，适当调整和优化，确保年度绩效管理工作计划顺利完成。根据2021年度绩效管理工作的总体目标、方向、管理策略、工作重点以及组织方式等，开展具体的绩效管理体系规划，包括绩效管理制度、考核办法、考核方案、考核流程及相关表单等。</w:t>
      </w:r>
    </w:p>
    <w:p>
      <w:pPr>
        <w:widowControl w:val="0"/>
        <w:numPr>
          <w:ilvl w:val="0"/>
          <w:numId w:val="1"/>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预算及执行情况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年我单位根据宁县财政局《关于编制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年全县部门预算的通知》要求，严格按照预算编制方法和口径，在认真核实各项数据的基础上科学、规范编制</w:t>
      </w:r>
      <w:r>
        <w:rPr>
          <w:rFonts w:hint="eastAsia" w:ascii="仿宋_GB2312" w:hAnsi="仿宋_GB2312" w:eastAsia="仿宋_GB2312" w:cs="仿宋_GB2312"/>
          <w:sz w:val="32"/>
          <w:szCs w:val="32"/>
          <w:lang w:val="en-US" w:eastAsia="zh-CN"/>
        </w:rPr>
        <w:t>和执行</w:t>
      </w:r>
      <w:r>
        <w:rPr>
          <w:rFonts w:hint="eastAsia" w:ascii="仿宋_GB2312" w:hAnsi="仿宋_GB2312" w:eastAsia="仿宋_GB2312" w:cs="仿宋_GB2312"/>
          <w:sz w:val="32"/>
          <w:szCs w:val="32"/>
        </w:rPr>
        <w:t>部门预算。</w:t>
      </w:r>
    </w:p>
    <w:p>
      <w:pPr>
        <w:widowControl w:val="0"/>
        <w:numPr>
          <w:ilvl w:val="0"/>
          <w:numId w:val="2"/>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单位整体支出绩效实现情况 </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履职完成</w:t>
      </w:r>
      <w:r>
        <w:rPr>
          <w:rFonts w:hint="eastAsia" w:ascii="仿宋_GB2312" w:hAnsi="仿宋_GB2312" w:eastAsia="仿宋_GB2312" w:cs="仿宋_GB2312"/>
          <w:b/>
          <w:bCs/>
          <w:sz w:val="32"/>
          <w:szCs w:val="32"/>
          <w:lang w:val="en-US" w:eastAsia="zh-CN"/>
        </w:rPr>
        <w:t>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FangSong_GB2312" w:hAnsi="FangSong_GB2312" w:eastAsia="FangSong_GB2312" w:cs="FangSong_GB2312"/>
          <w:kern w:val="32"/>
          <w:sz w:val="32"/>
          <w:szCs w:val="32"/>
          <w:lang w:val="en-US" w:eastAsia="zh-CN"/>
        </w:rPr>
        <w:t>一是规范支出人员经费</w:t>
      </w:r>
      <w:r>
        <w:rPr>
          <w:rFonts w:hint="eastAsia" w:ascii="Times New Roman" w:hAnsi="Times New Roman" w:eastAsia="仿宋_GB2312" w:cs="Times New Roman"/>
          <w:sz w:val="32"/>
          <w:szCs w:val="32"/>
          <w:shd w:val="clear" w:color="070000" w:fill="FFFFFF"/>
          <w:lang w:val="en-US" w:eastAsia="zh-CN"/>
        </w:rPr>
        <w:t>1643650.28</w:t>
      </w:r>
      <w:r>
        <w:rPr>
          <w:rFonts w:hint="eastAsia" w:ascii="FangSong_GB2312" w:hAnsi="FangSong_GB2312" w:eastAsia="FangSong_GB2312" w:cs="FangSong_GB2312"/>
          <w:kern w:val="32"/>
          <w:sz w:val="32"/>
          <w:szCs w:val="32"/>
          <w:lang w:val="en-US" w:eastAsia="zh-CN"/>
        </w:rPr>
        <w:t>元，保障全局16名干部职工顺利完成各个岗位工作职责，日常公用经费支出</w:t>
      </w:r>
      <w:r>
        <w:rPr>
          <w:rFonts w:hint="eastAsia" w:ascii="Times New Roman" w:hAnsi="Times New Roman" w:eastAsia="仿宋_GB2312" w:cs="Times New Roman"/>
          <w:sz w:val="32"/>
          <w:szCs w:val="32"/>
          <w:shd w:val="clear" w:color="070000" w:fill="FFFFFF"/>
          <w:lang w:val="en-US" w:eastAsia="zh-CN"/>
        </w:rPr>
        <w:t>126177.21</w:t>
      </w:r>
      <w:r>
        <w:rPr>
          <w:rFonts w:hint="eastAsia" w:ascii="FangSong_GB2312" w:hAnsi="FangSong_GB2312" w:eastAsia="FangSong_GB2312" w:cs="FangSong_GB2312"/>
          <w:kern w:val="32"/>
          <w:sz w:val="32"/>
          <w:szCs w:val="32"/>
          <w:lang w:val="en-US" w:eastAsia="zh-CN"/>
        </w:rPr>
        <w:t>元，保障单位各种办公费、差旅费、工会福利费、电费、水费等各项开支，保障单位各项工作顺利运转；项目资金支出234970元，保障单位所承担的消费扶贫、招商引资、电子商务等各种项目顺利完成，最大化发挥项目资金使用效益。</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（二）履职效果情况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经济效益。</w:t>
      </w:r>
      <w:r>
        <w:rPr>
          <w:rFonts w:hint="eastAsia" w:ascii="仿宋_GB2312" w:hAnsi="仿宋_GB2312" w:eastAsia="仿宋_GB2312" w:cs="仿宋_GB2312"/>
          <w:sz w:val="32"/>
          <w:szCs w:val="32"/>
          <w:lang w:val="en-US" w:eastAsia="zh-CN"/>
        </w:rPr>
        <w:t>电商</w:t>
      </w:r>
      <w:r>
        <w:rPr>
          <w:rFonts w:hint="eastAsia" w:ascii="仿宋_GB2312" w:hAnsi="仿宋_GB2312" w:eastAsia="仿宋_GB2312" w:cs="仿宋_GB2312"/>
          <w:sz w:val="32"/>
          <w:szCs w:val="32"/>
        </w:rPr>
        <w:t>工作在</w:t>
      </w:r>
      <w:r>
        <w:rPr>
          <w:rFonts w:hint="eastAsia" w:ascii="仿宋_GB2312" w:hAnsi="仿宋_GB2312" w:eastAsia="仿宋_GB2312" w:cs="仿宋_GB2312"/>
          <w:sz w:val="32"/>
          <w:szCs w:val="32"/>
          <w:lang w:val="en-US" w:eastAsia="zh-CN"/>
        </w:rPr>
        <w:t>电子商务</w:t>
      </w:r>
      <w:r>
        <w:rPr>
          <w:rFonts w:hint="eastAsia" w:ascii="仿宋_GB2312" w:hAnsi="仿宋_GB2312" w:eastAsia="仿宋_GB2312" w:cs="仿宋_GB2312"/>
          <w:sz w:val="32"/>
          <w:szCs w:val="32"/>
        </w:rPr>
        <w:t>方面彰显作用。</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r>
        <w:rPr>
          <w:rFonts w:hint="eastAsia" w:ascii="仿宋_GB2312" w:hAnsi="仿宋_GB2312" w:eastAsia="仿宋_GB2312" w:cs="仿宋_GB2312"/>
          <w:sz w:val="32"/>
          <w:szCs w:val="32"/>
          <w:lang w:val="en-US" w:eastAsia="zh-CN"/>
        </w:rPr>
        <w:t>电商中心社会形象、政治地位、发展空间日益提高，机关效能明显提升。</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3、行政效能。</w:t>
      </w:r>
      <w:r>
        <w:rPr>
          <w:rFonts w:hint="eastAsia" w:ascii="仿宋_GB2312" w:hAnsi="仿宋_GB2312" w:eastAsia="仿宋_GB2312" w:cs="仿宋_GB2312"/>
          <w:sz w:val="32"/>
          <w:szCs w:val="32"/>
          <w:lang w:val="en-US" w:eastAsia="zh-CN"/>
        </w:rPr>
        <w:t>电商中心</w:t>
      </w:r>
      <w:r>
        <w:rPr>
          <w:rFonts w:hint="eastAsia" w:ascii="仿宋_GB2312" w:hAnsi="仿宋_GB2312" w:eastAsia="仿宋_GB2312" w:cs="仿宋_GB2312"/>
          <w:sz w:val="32"/>
          <w:szCs w:val="32"/>
        </w:rPr>
        <w:t>不断</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管理、严格经费及资产管理，厉行节约，提高了效率，降低了成本。</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（三）社会满意度及可持续性影响</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val="en-US" w:eastAsia="zh-CN"/>
        </w:rPr>
        <w:t>电子商务服务中心</w:t>
      </w:r>
      <w:r>
        <w:rPr>
          <w:rFonts w:hint="eastAsia" w:ascii="仿宋_GB2312" w:hAnsi="仿宋_GB2312" w:eastAsia="仿宋_GB2312" w:cs="仿宋_GB2312"/>
          <w:sz w:val="32"/>
          <w:szCs w:val="32"/>
        </w:rPr>
        <w:t>可持续性影响继续加大，立足县域实际，服务全县工作大局，为全县经济社会高质量发展提供了有力思想保证和强大精神动力，社会满意度明显增强。</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rPr>
        <w:t>三、单位整体支出绩效中存在问题及改进措施</w:t>
      </w:r>
      <w:r>
        <w:rPr>
          <w:rFonts w:hint="eastAsia" w:ascii="黑体" w:hAnsi="黑体" w:eastAsia="黑体" w:cs="黑体"/>
          <w:b/>
          <w:bCs/>
          <w:sz w:val="32"/>
          <w:szCs w:val="32"/>
        </w:rPr>
        <w:t xml:space="preserve">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（一）主要问题及原因分析 </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单位部分项目实施人员对项目资金使用绩效管理思想认识不够高，项目管理程序性有待进一步规范。</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（二）改进的方向和具体措施 </w:t>
      </w:r>
    </w:p>
    <w:p>
      <w:pPr>
        <w:widowControl/>
        <w:numPr>
          <w:ilvl w:val="0"/>
          <w:numId w:val="0"/>
        </w:numPr>
        <w:pBdr>
          <w:top w:val="none" w:color="auto" w:sz="0" w:space="0"/>
          <w:left w:val="none" w:color="auto" w:sz="0" w:space="0"/>
          <w:bottom w:val="none" w:color="auto" w:sz="0" w:space="0"/>
          <w:right w:val="none" w:color="auto" w:sz="0" w:space="0"/>
        </w:pBdr>
        <w:shd w:val="clear" w:color="070000" w:fill="FFFFFF"/>
        <w:wordWrap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建议通过以会代训的方式加强对单位项目实施人员项目绩效管理培训，建立培训长效机制，形成项目资金绩效管理关键在项目实施人员而不是会计的思想意识，全流程监管项目运行全过程，最大化发挥项目资金使用效益。</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四、绩效自评结果拟应用和公开情况 </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按照年度工作计划和支出标准合理编制</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数据按要求及时报送。并依据预算信息公开要求，按时按期在宁县人民政府网站公开。</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pPr>
        <w:widowControl w:val="0"/>
        <w:wordWrap/>
        <w:adjustRightInd/>
        <w:snapToGrid/>
        <w:spacing w:line="570" w:lineRule="exact"/>
        <w:ind w:left="0" w:leftChars="0" w:right="0" w:firstLine="640" w:firstLineChars="200"/>
        <w:textAlignment w:val="auto"/>
        <w:outlineLvl w:val="9"/>
        <w:rPr>
          <w:rFonts w:hint="default" w:ascii="仿宋_GB2312" w:hAnsi="仿宋_GB2312" w:eastAsia="仿宋_GB2312" w:cs="仿宋_GB2312"/>
          <w:kern w:val="32"/>
          <w:sz w:val="32"/>
          <w:szCs w:val="32"/>
          <w:lang w:val="en-US" w:eastAsia="zh-CN"/>
        </w:rPr>
      </w:pPr>
      <w:r>
        <w:rPr>
          <w:rFonts w:hint="eastAsia" w:ascii="仿宋_GB2312" w:hAnsi="仿宋_GB2312" w:eastAsia="仿宋_GB2312" w:cs="仿宋_GB2312"/>
          <w:sz w:val="32"/>
          <w:szCs w:val="32"/>
        </w:rPr>
        <w:t>无其他说明。</w:t>
      </w:r>
      <w:r>
        <w:rPr>
          <w:rStyle w:val="7"/>
          <w:rFonts w:hint="eastAsia" w:ascii="楷体" w:hAnsi="楷体" w:eastAsia="楷体" w:cs="楷体"/>
          <w:b/>
          <w:color w:val="000000"/>
          <w:sz w:val="32"/>
          <w:szCs w:val="32"/>
          <w:lang w:val="en-US" w:eastAsia="zh-CN"/>
        </w:rPr>
        <w:t xml:space="preserve">    </w:t>
      </w:r>
    </w:p>
    <w:sectPr>
      <w:footerReference r:id="rId3" w:type="default"/>
      <w:pgSz w:w="11906" w:h="16838"/>
      <w:pgMar w:top="2098" w:right="1531" w:bottom="187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1104231">
    <w:nsid w:val="6F86C8E7"/>
    <w:multiLevelType w:val="singleLevel"/>
    <w:tmpl w:val="6F86C8E7"/>
    <w:lvl w:ilvl="0" w:tentative="1">
      <w:start w:val="4"/>
      <w:numFmt w:val="chineseCounting"/>
      <w:suff w:val="nothing"/>
      <w:lvlText w:val="（%1）"/>
      <w:lvlJc w:val="left"/>
      <w:rPr>
        <w:rFonts w:hint="eastAsia"/>
      </w:rPr>
    </w:lvl>
  </w:abstractNum>
  <w:abstractNum w:abstractNumId="1597721873">
    <w:nsid w:val="5F3B4D11"/>
    <w:multiLevelType w:val="singleLevel"/>
    <w:tmpl w:val="5F3B4D11"/>
    <w:lvl w:ilvl="0" w:tentative="1">
      <w:start w:val="2"/>
      <w:numFmt w:val="chineseCounting"/>
      <w:suff w:val="nothing"/>
      <w:lvlText w:val="%1、"/>
      <w:lvlJc w:val="left"/>
    </w:lvl>
  </w:abstractNum>
  <w:num w:numId="1">
    <w:abstractNumId w:val="1871104231"/>
  </w:num>
  <w:num w:numId="2">
    <w:abstractNumId w:val="1597721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U1MjBhZTQ0YjFhMmYxZTg3MjFkMmJiOWZiMWNkODIifQ=="/>
  </w:docVars>
  <w:rsids>
    <w:rsidRoot w:val="1C784162"/>
    <w:rsid w:val="007057C1"/>
    <w:rsid w:val="00B13D24"/>
    <w:rsid w:val="00CD42D8"/>
    <w:rsid w:val="01B06D43"/>
    <w:rsid w:val="01C63DDC"/>
    <w:rsid w:val="01FC3156"/>
    <w:rsid w:val="02B80C87"/>
    <w:rsid w:val="032E7EE9"/>
    <w:rsid w:val="048145D4"/>
    <w:rsid w:val="05666120"/>
    <w:rsid w:val="066127E9"/>
    <w:rsid w:val="075F25DE"/>
    <w:rsid w:val="08D41DEF"/>
    <w:rsid w:val="093A1318"/>
    <w:rsid w:val="09EC0D0C"/>
    <w:rsid w:val="0BB61D66"/>
    <w:rsid w:val="0BED394E"/>
    <w:rsid w:val="0C2A5542"/>
    <w:rsid w:val="0D905ED8"/>
    <w:rsid w:val="0DF50580"/>
    <w:rsid w:val="0EBF6DF4"/>
    <w:rsid w:val="0F503353"/>
    <w:rsid w:val="10EB5342"/>
    <w:rsid w:val="11490B7B"/>
    <w:rsid w:val="11B86C3C"/>
    <w:rsid w:val="12EC4394"/>
    <w:rsid w:val="12F70B8A"/>
    <w:rsid w:val="13593ADD"/>
    <w:rsid w:val="13657B6B"/>
    <w:rsid w:val="140A7A2F"/>
    <w:rsid w:val="144D6F65"/>
    <w:rsid w:val="14FE2566"/>
    <w:rsid w:val="150578D0"/>
    <w:rsid w:val="167D50B9"/>
    <w:rsid w:val="1758119F"/>
    <w:rsid w:val="17C4206D"/>
    <w:rsid w:val="18F744EA"/>
    <w:rsid w:val="19563C87"/>
    <w:rsid w:val="1A1F0E99"/>
    <w:rsid w:val="1B75309B"/>
    <w:rsid w:val="1BB20A7F"/>
    <w:rsid w:val="1C5C1463"/>
    <w:rsid w:val="1C784162"/>
    <w:rsid w:val="1CD10714"/>
    <w:rsid w:val="1DB87DFE"/>
    <w:rsid w:val="20E56C76"/>
    <w:rsid w:val="20ED0418"/>
    <w:rsid w:val="220A15FD"/>
    <w:rsid w:val="22372689"/>
    <w:rsid w:val="223B234E"/>
    <w:rsid w:val="238B58C0"/>
    <w:rsid w:val="24434389"/>
    <w:rsid w:val="2598586B"/>
    <w:rsid w:val="25D501DC"/>
    <w:rsid w:val="26594BD1"/>
    <w:rsid w:val="26784E59"/>
    <w:rsid w:val="28015267"/>
    <w:rsid w:val="284A5520"/>
    <w:rsid w:val="29F226EE"/>
    <w:rsid w:val="2ACE1147"/>
    <w:rsid w:val="2B594965"/>
    <w:rsid w:val="2C8B7D62"/>
    <w:rsid w:val="2D3173B4"/>
    <w:rsid w:val="2D7C703B"/>
    <w:rsid w:val="2E06500C"/>
    <w:rsid w:val="2E5B0CEB"/>
    <w:rsid w:val="2F7F6916"/>
    <w:rsid w:val="301D28BC"/>
    <w:rsid w:val="31E4547D"/>
    <w:rsid w:val="32113321"/>
    <w:rsid w:val="32527151"/>
    <w:rsid w:val="34FA1307"/>
    <w:rsid w:val="34FD39D2"/>
    <w:rsid w:val="35D73707"/>
    <w:rsid w:val="35D82B73"/>
    <w:rsid w:val="35E127B4"/>
    <w:rsid w:val="36986539"/>
    <w:rsid w:val="36D864EC"/>
    <w:rsid w:val="39045E37"/>
    <w:rsid w:val="3B280780"/>
    <w:rsid w:val="3B7D6D0C"/>
    <w:rsid w:val="3CDF7777"/>
    <w:rsid w:val="3DC07271"/>
    <w:rsid w:val="3DD263DD"/>
    <w:rsid w:val="3DE83CA7"/>
    <w:rsid w:val="3E810387"/>
    <w:rsid w:val="3E860686"/>
    <w:rsid w:val="40900BB6"/>
    <w:rsid w:val="414400EC"/>
    <w:rsid w:val="41A25007"/>
    <w:rsid w:val="4279052F"/>
    <w:rsid w:val="42CA4793"/>
    <w:rsid w:val="43AB2613"/>
    <w:rsid w:val="459C30E5"/>
    <w:rsid w:val="4608022C"/>
    <w:rsid w:val="46501AB3"/>
    <w:rsid w:val="46A43C08"/>
    <w:rsid w:val="4730764D"/>
    <w:rsid w:val="47AC0726"/>
    <w:rsid w:val="47CE554A"/>
    <w:rsid w:val="48BF0BFF"/>
    <w:rsid w:val="49631927"/>
    <w:rsid w:val="49752BDF"/>
    <w:rsid w:val="4A334ECA"/>
    <w:rsid w:val="4A537390"/>
    <w:rsid w:val="4B2827E0"/>
    <w:rsid w:val="4C292E03"/>
    <w:rsid w:val="4E282508"/>
    <w:rsid w:val="4E414BDC"/>
    <w:rsid w:val="507E748B"/>
    <w:rsid w:val="51670A05"/>
    <w:rsid w:val="51CD294B"/>
    <w:rsid w:val="51E146EA"/>
    <w:rsid w:val="52316BC3"/>
    <w:rsid w:val="52EC4286"/>
    <w:rsid w:val="531C1D62"/>
    <w:rsid w:val="544E197E"/>
    <w:rsid w:val="54B479C4"/>
    <w:rsid w:val="558711F1"/>
    <w:rsid w:val="55955E52"/>
    <w:rsid w:val="55D50940"/>
    <w:rsid w:val="55FB094E"/>
    <w:rsid w:val="567262D5"/>
    <w:rsid w:val="582C21AD"/>
    <w:rsid w:val="58C06D53"/>
    <w:rsid w:val="59394F3D"/>
    <w:rsid w:val="5995768C"/>
    <w:rsid w:val="5A406F34"/>
    <w:rsid w:val="5B0016AF"/>
    <w:rsid w:val="5B064CD2"/>
    <w:rsid w:val="5B776F2A"/>
    <w:rsid w:val="5BEA2C97"/>
    <w:rsid w:val="5DCD334D"/>
    <w:rsid w:val="5F0E1615"/>
    <w:rsid w:val="5F30650C"/>
    <w:rsid w:val="61651BD7"/>
    <w:rsid w:val="622B25AE"/>
    <w:rsid w:val="62936169"/>
    <w:rsid w:val="63017A16"/>
    <w:rsid w:val="64D45073"/>
    <w:rsid w:val="657753D0"/>
    <w:rsid w:val="65825F10"/>
    <w:rsid w:val="66D65A5B"/>
    <w:rsid w:val="66F90EED"/>
    <w:rsid w:val="68716BCB"/>
    <w:rsid w:val="68FC7E59"/>
    <w:rsid w:val="6932506E"/>
    <w:rsid w:val="6AED6B62"/>
    <w:rsid w:val="6B216E43"/>
    <w:rsid w:val="6B8E31F0"/>
    <w:rsid w:val="6BB21943"/>
    <w:rsid w:val="6D535020"/>
    <w:rsid w:val="6D5D4708"/>
    <w:rsid w:val="6F803F83"/>
    <w:rsid w:val="70AE527B"/>
    <w:rsid w:val="70D05666"/>
    <w:rsid w:val="71F369DC"/>
    <w:rsid w:val="72A36B2F"/>
    <w:rsid w:val="73F45247"/>
    <w:rsid w:val="74336673"/>
    <w:rsid w:val="74991897"/>
    <w:rsid w:val="752C6E4D"/>
    <w:rsid w:val="75EE427A"/>
    <w:rsid w:val="769B6E27"/>
    <w:rsid w:val="773C459C"/>
    <w:rsid w:val="794456F6"/>
    <w:rsid w:val="7A36160D"/>
    <w:rsid w:val="7D01190D"/>
    <w:rsid w:val="7D59637D"/>
    <w:rsid w:val="7D7F4AF0"/>
    <w:rsid w:val="7D8B1E38"/>
    <w:rsid w:val="7D9B719E"/>
    <w:rsid w:val="7DBC6A49"/>
    <w:rsid w:val="7E0E622E"/>
    <w:rsid w:val="7E166E69"/>
    <w:rsid w:val="7EC403B0"/>
    <w:rsid w:val="7F721A9F"/>
    <w:rsid w:val="7F8312EB"/>
    <w:rsid w:val="7FB87DA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Strong"/>
    <w:basedOn w:val="6"/>
    <w:qFormat/>
    <w:uiPriority w:val="0"/>
    <w:rPr>
      <w:b/>
    </w:rPr>
  </w:style>
  <w:style w:type="character" w:styleId="8">
    <w:name w:val="FollowedHyperlink"/>
    <w:basedOn w:val="6"/>
    <w:qFormat/>
    <w:uiPriority w:val="0"/>
    <w:rPr>
      <w:color w:val="454545"/>
      <w:u w:val="none"/>
    </w:rPr>
  </w:style>
  <w:style w:type="character" w:styleId="9">
    <w:name w:val="Hyperlink"/>
    <w:basedOn w:val="6"/>
    <w:qFormat/>
    <w:uiPriority w:val="0"/>
    <w:rPr>
      <w:color w:val="454545"/>
      <w:u w:val="none"/>
    </w:rPr>
  </w:style>
  <w:style w:type="paragraph" w:customStyle="1" w:styleId="1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2">
    <w:name w:val="layui-this"/>
    <w:basedOn w:val="6"/>
    <w:qFormat/>
    <w:uiPriority w:val="0"/>
    <w:rPr>
      <w:bdr w:val="single" w:color="EEEEEE" w:sz="6" w:space="0"/>
      <w:shd w:val="clear" w:color="010000" w:fill="FFFFFF"/>
    </w:rPr>
  </w:style>
  <w:style w:type="character" w:customStyle="1" w:styleId="13">
    <w:name w:val="pass"/>
    <w:basedOn w:val="6"/>
    <w:qFormat/>
    <w:uiPriority w:val="0"/>
    <w:rPr>
      <w:color w:val="D50512"/>
    </w:rPr>
  </w:style>
  <w:style w:type="character" w:customStyle="1" w:styleId="14">
    <w:name w:val="clear2"/>
    <w:basedOn w:val="6"/>
    <w:qFormat/>
    <w:uiPriority w:val="0"/>
    <w:rPr>
      <w:sz w:val="16"/>
      <w:szCs w:val="16"/>
    </w:rPr>
  </w:style>
  <w:style w:type="character" w:customStyle="1" w:styleId="15">
    <w:name w:val="first-child"/>
    <w:basedOn w:val="6"/>
    <w:qFormat/>
    <w:uiPriority w:val="0"/>
  </w:style>
  <w:style w:type="paragraph" w:customStyle="1"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3173</Words>
  <Characters>3399</Characters>
  <Lines>0</Lines>
  <Paragraphs>0</Paragraphs>
  <TotalTime>0</TotalTime>
  <ScaleCrop>false</ScaleCrop>
  <LinksUpToDate>false</LinksUpToDate>
  <CharactersWithSpaces>3430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2018-11-28T03:53:00Z</dcterms:created>
  <dc:creator>Administrator</dc:creator>
  <cp:lastModifiedBy>Administrator</cp:lastModifiedBy>
  <cp:lastPrinted>2020-08-18T03:38:00Z</cp:lastPrinted>
  <dcterms:modified xsi:type="dcterms:W3CDTF">2022-10-30T13:26:47Z</dcterms:modified>
  <dc:title>宁县商务局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50B92D1861744CDF8CF851EA1AEDEC7B</vt:lpwstr>
  </property>
</Properties>
</file>