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2209" w:firstLineChars="500"/>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宁县</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公共资源交易中心</w:t>
      </w:r>
    </w:p>
    <w:p>
      <w:pPr>
        <w:keepNext w:val="0"/>
        <w:keepLines w:val="0"/>
        <w:pageBreakBefore w:val="0"/>
        <w:widowControl w:val="0"/>
        <w:kinsoku/>
        <w:wordWrap/>
        <w:overflowPunct/>
        <w:topLinePunct w:val="0"/>
        <w:autoSpaceDE/>
        <w:autoSpaceDN/>
        <w:bidi w:val="0"/>
        <w:adjustRightInd/>
        <w:snapToGrid/>
        <w:spacing w:line="640" w:lineRule="exact"/>
        <w:ind w:firstLine="883" w:firstLineChars="200"/>
        <w:textAlignment w:val="auto"/>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202</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年度部门整体支出绩效评价报告</w:t>
      </w:r>
    </w:p>
    <w:p>
      <w:pPr>
        <w:spacing w:line="578" w:lineRule="exact"/>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根据县财政局预算绩效管理要求，为提高财政资金使用效益，做好绩效评价工作。我单位高度重视，认真安排部署，组织开展2022年度预算资金绩效评价工作。现将开展情况报告如下：</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r>
        <w:rPr>
          <w:rFonts w:hint="default" w:ascii="Times New Roman" w:hAnsi="Times New Roman" w:eastAsia="黑体" w:cs="Times New Roman"/>
          <w:b w:val="0"/>
          <w:bCs/>
          <w:color w:val="000000" w:themeColor="text1"/>
          <w:kern w:val="0"/>
          <w:sz w:val="32"/>
          <w:szCs w:val="32"/>
          <w14:textFill>
            <w14:solidFill>
              <w14:schemeClr w14:val="tx1"/>
            </w14:solidFill>
          </w14:textFill>
        </w:rPr>
        <w:t>一</w:t>
      </w:r>
      <w:r>
        <w:rPr>
          <w:rFonts w:hint="default" w:ascii="Times New Roman" w:hAnsi="Times New Roman" w:eastAsia="黑体"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黑体" w:cs="Times New Roman"/>
          <w:b w:val="0"/>
          <w:bCs/>
          <w:color w:val="000000" w:themeColor="text1"/>
          <w:kern w:val="0"/>
          <w:sz w:val="32"/>
          <w:szCs w:val="32"/>
          <w14:textFill>
            <w14:solidFill>
              <w14:schemeClr w14:val="tx1"/>
            </w14:solidFill>
          </w14:textFill>
        </w:rPr>
        <w:t>单位概况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heme="majorEastAsia" w:hAnsiTheme="majorEastAsia" w:eastAsiaTheme="majorEastAsia" w:cstheme="majorEastAsia"/>
          <w:b w:val="0"/>
          <w:bCs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一</w:t>
      </w:r>
      <w:r>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32"/>
          <w:szCs w:val="32"/>
          <w14:textFill>
            <w14:solidFill>
              <w14:schemeClr w14:val="tx1"/>
            </w14:solidFill>
          </w14:textFill>
        </w:rPr>
        <w:t>主要职能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宁县公共资源交易中心贯彻落实党中央、省委、市委和县委关于公共资源交易工作的方针政策和决策部署，在履行职责过程中坚持和加强党对公共资源交易工作的集中统一领导。主要职责是：</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1.负责全县政府采购，国家限额以下、不进入市级平台且需要招标的各类公共资源交易活动的组织实施；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2.负责为公共资源交易活动提供场所、设施和服务；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3.负责公共资源交易平台建设、管理和维护；</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4.负责公共资源交易信息的收集、存储和发布等工作；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5.承办县委、县政府和上级业务主管部门交办的其他工作任务。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w:t>
      </w: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二</w:t>
      </w: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）机构及人员情况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宁县公共资源交易中心是全额拨款事业单位，隶属于县政府</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核定</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事业</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编制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8名。实有</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在职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人员10名</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，其中：主任1名，副主任1名，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事业干部5名，事业工人3名。</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经费由县财政全额供给。</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内设</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办公室</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监督监察</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建设工程</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政府采购</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股</w:t>
      </w:r>
      <w:r>
        <w:rPr>
          <w:rFonts w:hint="eastAsia" w:asciiTheme="minorEastAsia" w:hAnsiTheme="minorEastAsia" w:eastAsiaTheme="minorEastAsia" w:cstheme="minorEastAsia"/>
          <w:color w:val="000000" w:themeColor="text1"/>
          <w:sz w:val="32"/>
          <w:szCs w:val="32"/>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技术信息股、市场服务股、国有产权及土地矿产资源交易股七</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个股室。</w:t>
      </w:r>
    </w:p>
    <w:p>
      <w:pPr>
        <w:keepNext w:val="0"/>
        <w:keepLines w:val="0"/>
        <w:pageBreakBefore w:val="0"/>
        <w:widowControl/>
        <w:kinsoku/>
        <w:wordWrap/>
        <w:overflowPunct/>
        <w:topLinePunct w:val="0"/>
        <w:autoSpaceDE/>
        <w:autoSpaceDN/>
        <w:bidi w:val="0"/>
        <w:adjustRightInd/>
        <w:snapToGrid/>
        <w:spacing w:before="100" w:beforeLines="0" w:after="100" w:afterLines="0" w:line="578" w:lineRule="exact"/>
        <w:ind w:firstLine="640" w:firstLineChars="200"/>
        <w:jc w:val="left"/>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kern w:val="0"/>
          <w:sz w:val="32"/>
          <w:szCs w:val="32"/>
          <w:shd w:val="clear" w:color="auto" w:fill="FFFFFF"/>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年财政拨款收入为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137.55万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其中：人员经费65.77万元、公用经费54.94万元、项目16.84万元。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年总支出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137.55万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元。基本支出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120.71万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元，占总支出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87.76</w:t>
      </w:r>
      <w:r>
        <w:rPr>
          <w:rFonts w:hint="eastAsia" w:asciiTheme="minorEastAsia" w:hAnsiTheme="minorEastAsia" w:eastAsiaTheme="minorEastAsia" w:cstheme="minorEastAsia"/>
          <w:color w:val="000000" w:themeColor="text1"/>
          <w:sz w:val="32"/>
          <w:szCs w:val="32"/>
          <w14:textFill>
            <w14:solidFill>
              <w14:schemeClr w14:val="tx1"/>
            </w14:solidFill>
          </w14:textFill>
        </w:rPr>
        <w:t>%（其中：工资福利支出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65.77万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54.49</w:t>
      </w:r>
      <w:r>
        <w:rPr>
          <w:rFonts w:hint="eastAsia" w:asciiTheme="minorEastAsia" w:hAnsiTheme="minorEastAsia" w:eastAsiaTheme="minorEastAsia" w:cstheme="minorEastAsia"/>
          <w:color w:val="000000" w:themeColor="text1"/>
          <w:sz w:val="32"/>
          <w:szCs w:val="32"/>
          <w14:textFill>
            <w14:solidFill>
              <w14:schemeClr w14:val="tx1"/>
            </w14:solidFill>
          </w14:textFill>
        </w:rPr>
        <w:t>%；商品和服务支出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22.09万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18.30</w:t>
      </w:r>
      <w:r>
        <w:rPr>
          <w:rFonts w:hint="eastAsia" w:asciiTheme="minorEastAsia" w:hAnsiTheme="minorEastAsia" w:eastAsiaTheme="minorEastAsia" w:cstheme="minorEastAsia"/>
          <w:color w:val="000000" w:themeColor="text1"/>
          <w:sz w:val="32"/>
          <w:szCs w:val="32"/>
          <w14:textFill>
            <w14:solidFill>
              <w14:schemeClr w14:val="tx1"/>
            </w14:solidFill>
          </w14:textFill>
        </w:rPr>
        <w:t>%；其他资本性支出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32.85万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27.21</w:t>
      </w:r>
      <w:r>
        <w:rPr>
          <w:rFonts w:hint="eastAsia" w:asciiTheme="minorEastAsia" w:hAnsiTheme="minorEastAsia" w:eastAsiaTheme="minorEastAsia" w:cstheme="minorEastAsia"/>
          <w:color w:val="000000" w:themeColor="text1"/>
          <w:sz w:val="32"/>
          <w:szCs w:val="32"/>
          <w14:textFill>
            <w14:solidFill>
              <w14:schemeClr w14:val="tx1"/>
            </w14:solidFill>
          </w14:textFill>
        </w:rPr>
        <w:t>%。）。 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年项目支出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16.84万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元。其中:业务用房维修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16.84万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2.三公经费支出情况：202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年部门预算安排“三公”经费0万元，实际支出0万元。其中公务接待费0万元，无公务车运行维护费和因公出国（境）费用。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（三）资产状况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32"/>
          <w:szCs w:val="32"/>
          <w14:textFill>
            <w14:solidFill>
              <w14:schemeClr w14:val="tx1"/>
            </w14:solidFill>
          </w14:textFill>
        </w:rPr>
        <w:t>单位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14:textFill>
            <w14:solidFill>
              <w14:schemeClr w14:val="tx1"/>
            </w14:solidFill>
          </w14:textFill>
        </w:rPr>
        <w:t>初固定资产</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60422元</w:t>
      </w:r>
      <w:r>
        <w:rPr>
          <w:rFonts w:hint="eastAsia" w:asciiTheme="minorEastAsia" w:hAnsiTheme="minorEastAsia" w:eastAsiaTheme="minorEastAsia" w:cstheme="minorEastAsia"/>
          <w:color w:val="000000" w:themeColor="text1"/>
          <w:sz w:val="32"/>
          <w:szCs w:val="32"/>
          <w14:textFill>
            <w14:solidFill>
              <w14:schemeClr w14:val="tx1"/>
            </w14:solidFill>
          </w14:textFill>
        </w:rPr>
        <w:t>，年内购置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通用设备232950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家具和用具95530元，</w:t>
      </w:r>
      <w:r>
        <w:rPr>
          <w:rFonts w:hint="eastAsia" w:asciiTheme="minorEastAsia" w:hAnsiTheme="minorEastAsia" w:eastAsiaTheme="minorEastAsia" w:cstheme="minorEastAsia"/>
          <w:color w:val="000000" w:themeColor="text1"/>
          <w:sz w:val="32"/>
          <w:szCs w:val="32"/>
          <w14:textFill>
            <w14:solidFill>
              <w14:schemeClr w14:val="tx1"/>
            </w14:solidFill>
          </w14:textFill>
        </w:rPr>
        <w:t>年末固定资产为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388902</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其中通用设备293372元，家具和用具95530元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履职总体目标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年，宁县公共资源交易中心在县委、县政府的正确领导下，</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全面学习宣传</w:t>
      </w:r>
      <w:r>
        <w:rPr>
          <w:rFonts w:hint="eastAsia" w:asciiTheme="minorEastAsia" w:hAnsiTheme="minorEastAsia" w:eastAsiaTheme="minorEastAsia" w:cstheme="minorEastAsia"/>
          <w:color w:val="000000" w:themeColor="text1"/>
          <w:sz w:val="32"/>
          <w:szCs w:val="32"/>
          <w14:textFill>
            <w14:solidFill>
              <w14:schemeClr w14:val="tx1"/>
            </w14:solidFill>
          </w14:textFill>
        </w:rPr>
        <w:t>贯彻党的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32"/>
          <w:szCs w:val="32"/>
          <w14:textFill>
            <w14:solidFill>
              <w14:schemeClr w14:val="tx1"/>
            </w14:solidFill>
          </w14:textFill>
        </w:rPr>
        <w:t>十大精神，认真学习了习近平总书记系列重要讲话精神，紧盯中央、省、市和县委决策部署，围绕</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全领域、全流程电子化开评标和“远程异地评标”</w:t>
      </w:r>
      <w:r>
        <w:rPr>
          <w:rFonts w:hint="eastAsia" w:asciiTheme="minorEastAsia" w:hAnsiTheme="minorEastAsia" w:eastAsiaTheme="minorEastAsia" w:cstheme="minorEastAsia"/>
          <w:color w:val="000000" w:themeColor="text1"/>
          <w:sz w:val="32"/>
          <w:szCs w:val="32"/>
          <w14:textFill>
            <w14:solidFill>
              <w14:schemeClr w14:val="tx1"/>
            </w14:solidFill>
          </w14:textFill>
        </w:rPr>
        <w:t>建设目标，锐意进取，开拓创新，实干担当，全县公共资源交易工作</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迈上新台阶</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、整体支出绩效目标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（一）基本支出</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年总支出</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137.55</w:t>
      </w:r>
      <w:r>
        <w:rPr>
          <w:rFonts w:hint="eastAsia" w:asciiTheme="minorEastAsia" w:hAnsiTheme="minorEastAsia" w:eastAsiaTheme="minorEastAsia" w:cstheme="minorEastAsia"/>
          <w:color w:val="000000" w:themeColor="text1"/>
          <w:sz w:val="32"/>
          <w:szCs w:val="32"/>
          <w14:textFill>
            <w14:solidFill>
              <w14:schemeClr w14:val="tx1"/>
            </w14:solidFill>
          </w14:textFill>
        </w:rPr>
        <w:t>元。基本支出</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120.71</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元，占总支出</w:t>
      </w:r>
      <w:r>
        <w:rPr>
          <w:rFonts w:hint="eastAsia" w:asciiTheme="minorEastAsia" w:hAnsiTheme="minorEastAsia" w:eastAsiaTheme="minorEastAsia" w:cstheme="minorEastAsia"/>
          <w:color w:val="000000" w:themeColor="text1"/>
          <w:sz w:val="32"/>
          <w:szCs w:val="32"/>
          <w:lang w:val="zh-CN"/>
          <w14:textFill>
            <w14:solidFill>
              <w14:schemeClr w14:val="tx1"/>
            </w14:solidFill>
          </w14:textFill>
        </w:rPr>
        <w:t>87.76</w:t>
      </w:r>
      <w:r>
        <w:rPr>
          <w:rFonts w:hint="eastAsia" w:asciiTheme="minorEastAsia" w:hAnsiTheme="minorEastAsia" w:eastAsiaTheme="minorEastAsia" w:cstheme="minorEastAsia"/>
          <w:color w:val="000000" w:themeColor="text1"/>
          <w:sz w:val="32"/>
          <w:szCs w:val="32"/>
          <w14:textFill>
            <w14:solidFill>
              <w14:schemeClr w14:val="tx1"/>
            </w14:solidFill>
          </w14:textFill>
        </w:rPr>
        <w:t>%（其中：工资福利支出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65.77万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54.49</w:t>
      </w:r>
      <w:r>
        <w:rPr>
          <w:rFonts w:hint="eastAsia" w:asciiTheme="minorEastAsia" w:hAnsiTheme="minorEastAsia" w:eastAsiaTheme="minorEastAsia" w:cstheme="minorEastAsia"/>
          <w:color w:val="000000" w:themeColor="text1"/>
          <w:sz w:val="32"/>
          <w:szCs w:val="32"/>
          <w14:textFill>
            <w14:solidFill>
              <w14:schemeClr w14:val="tx1"/>
            </w14:solidFill>
          </w14:textFill>
        </w:rPr>
        <w:t>%；商品和服务支出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22.09万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18.30</w:t>
      </w:r>
      <w:r>
        <w:rPr>
          <w:rFonts w:hint="eastAsia" w:asciiTheme="minorEastAsia" w:hAnsiTheme="minorEastAsia" w:eastAsiaTheme="minorEastAsia" w:cstheme="minorEastAsia"/>
          <w:color w:val="000000" w:themeColor="text1"/>
          <w:sz w:val="32"/>
          <w:szCs w:val="32"/>
          <w14:textFill>
            <w14:solidFill>
              <w14:schemeClr w14:val="tx1"/>
            </w14:solidFill>
          </w14:textFill>
        </w:rPr>
        <w:t>%；其他资本性支出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32.85万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元，占基本支出的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27.21</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（二）项目支出</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年项目支出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16.84万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元。其中:业务用房维修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16.84万</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五、预算绩效管理开展情况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eastAsia" w:asciiTheme="minorEastAsia" w:hAnsiTheme="minorEastAsia" w:eastAsiaTheme="minorEastAsia" w:cstheme="minorEastAsia"/>
          <w:i w:val="0"/>
          <w:iCs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t>本单位预算坚持量入为出和实事求是的原则，根据收入和财力的可能安排预算，做到量入为出，量力而行，不列赤字预算，确保预算收支平衡。坚持综合预算原则，各项收支纳入部门预算统一管理，统筹安排。坚持公开透明，讲求绩效原则，预算编制做到公开透明，主动接受县人大、审计及社会各界监督。全面推进预算绩效管理，加强预算执行进度和资金使用绩效考核，强化绩效评价结果运用。</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r>
        <w:rPr>
          <w:rFonts w:hint="default" w:ascii="Times New Roman" w:hAnsi="Times New Roman" w:eastAsia="黑体" w:cs="Times New Roman"/>
          <w:b w:val="0"/>
          <w:bCs/>
          <w:color w:val="000000" w:themeColor="text1"/>
          <w:kern w:val="0"/>
          <w:sz w:val="32"/>
          <w:szCs w:val="32"/>
          <w14:textFill>
            <w14:solidFill>
              <w14:schemeClr w14:val="tx1"/>
            </w14:solidFill>
          </w14:textFill>
        </w:rPr>
        <w:t>六、预算及执行情况</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t>我中心根据宁县财政局《关于编制2022年全县部门预算的通知》要求，严格按照预算编制方法和口径，在认真核实各项数据的基础上科学、规范编制部门预算。我单位2022年预算收入137.55万元，预算支出137.55万元。</w:t>
      </w:r>
    </w:p>
    <w:p>
      <w:pPr>
        <w:pStyle w:val="1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14:textFill>
            <w14:solidFill>
              <w14:schemeClr w14:val="tx1"/>
            </w14:solidFill>
          </w14:textFill>
        </w:rPr>
        <w:t>七、</w:t>
      </w: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 xml:space="preserve">单位整体支出绩效实现情况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w:t>
      </w: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一</w:t>
      </w:r>
      <w:r>
        <w:rPr>
          <w:rFonts w:hint="default"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w:t>
      </w: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绩效评价概述</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1．绩效评价的目的</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通过开展部门整体支出绩效评价，科学地评价中心对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32"/>
          <w:szCs w:val="32"/>
          <w14:textFill>
            <w14:solidFill>
              <w14:schemeClr w14:val="tx1"/>
            </w14:solidFill>
          </w14:textFill>
        </w:rPr>
        <w:t>管理工作水平，为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招标工作</w:t>
      </w:r>
      <w:r>
        <w:rPr>
          <w:rFonts w:hint="eastAsia" w:asciiTheme="minorEastAsia" w:hAnsiTheme="minorEastAsia" w:eastAsiaTheme="minorEastAsia" w:cstheme="minorEastAsia"/>
          <w:color w:val="000000" w:themeColor="text1"/>
          <w:sz w:val="32"/>
          <w:szCs w:val="32"/>
          <w14:textFill>
            <w14:solidFill>
              <w14:schemeClr w14:val="tx1"/>
            </w14:solidFill>
          </w14:textFill>
        </w:rPr>
        <w:t>发挥作用，同时促进部门从整体上提高预算绩效管理工作水平，强化部门支出责任，规范资金管理行为，提高财政资金使用效益，保障部门更好地履行职责。</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2"/>
          <w:szCs w:val="32"/>
          <w:lang w:eastAsia="zh-CN"/>
          <w14:textFill>
            <w14:solidFill>
              <w14:schemeClr w14:val="tx1"/>
            </w14:solidFill>
          </w14:textFill>
        </w:rPr>
        <w:t>2．绩效评价实施过程</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根据县财政局预算绩效管理要求，</w:t>
      </w:r>
      <w:r>
        <w:rPr>
          <w:rFonts w:hint="eastAsia" w:asciiTheme="minorEastAsia" w:hAnsiTheme="minorEastAsia" w:eastAsiaTheme="minorEastAsia" w:cstheme="minorEastAsia"/>
          <w:color w:val="000000" w:themeColor="text1"/>
          <w:sz w:val="32"/>
          <w:szCs w:val="32"/>
          <w14:textFill>
            <w14:solidFill>
              <w14:schemeClr w14:val="tx1"/>
            </w14:solidFill>
          </w14:textFill>
        </w:rPr>
        <w:t>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公共资源交易</w:t>
      </w:r>
      <w:r>
        <w:rPr>
          <w:rFonts w:hint="eastAsia" w:asciiTheme="minorEastAsia" w:hAnsiTheme="minorEastAsia" w:eastAsiaTheme="minorEastAsia" w:cstheme="minorEastAsia"/>
          <w:color w:val="000000" w:themeColor="text1"/>
          <w:sz w:val="32"/>
          <w:szCs w:val="32"/>
          <w14:textFill>
            <w14:solidFill>
              <w14:schemeClr w14:val="tx1"/>
            </w14:solidFill>
          </w14:textFill>
        </w:rPr>
        <w:t>中心及时组织工作人员开展部门整体支出绩效评价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（1）核实数据。对202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年度部门整体支出数据的准确性、真实性进行核实。</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（2）查阅资料。查阅202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年度预算安排，预算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调整</w:t>
      </w:r>
      <w:r>
        <w:rPr>
          <w:rFonts w:hint="eastAsia" w:asciiTheme="minorEastAsia" w:hAnsiTheme="minorEastAsia" w:eastAsiaTheme="minorEastAsia" w:cstheme="minorEastAsia"/>
          <w:color w:val="000000" w:themeColor="text1"/>
          <w:sz w:val="32"/>
          <w:szCs w:val="32"/>
          <w14:textFill>
            <w14:solidFill>
              <w14:schemeClr w14:val="tx1"/>
            </w14:solidFill>
          </w14:textFill>
        </w:rPr>
        <w:t>、资金管理、经费支出、资产管理等相关文件资料和财务凭证。</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（3）归纳汇总。对提供的材料及自评报告，结合现场评价情况进行综合分析、归纳汇总。</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（4）形成绩效评价报告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（二）履职完成情况</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1、加强理论学习，全面提高党员干部政治素质。</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以干部教育管理为抓手，着力提升干部素质，坚定理想信念，筑牢拒腐防变思想堡垒</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。制定了交易中心学习计划，建立了逢会必学的常态化学习机制，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w:t>
      </w:r>
      <w:r>
        <w:rPr>
          <w:rFonts w:hint="eastAsia" w:asciiTheme="minorEastAsia" w:hAnsiTheme="minorEastAsia" w:eastAsiaTheme="minorEastAsia" w:cstheme="minorEastAsia"/>
          <w:color w:val="000000" w:themeColor="text1"/>
          <w:sz w:val="32"/>
          <w:szCs w:val="32"/>
          <w14:textFill>
            <w14:solidFill>
              <w14:schemeClr w14:val="tx1"/>
            </w14:solidFill>
          </w14:textFill>
        </w:rPr>
        <w:t>共计开展集体学习共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32"/>
          <w:szCs w:val="32"/>
          <w14:textFill>
            <w14:solidFill>
              <w14:schemeClr w14:val="tx1"/>
            </w14:solidFill>
          </w14:textFill>
        </w:rPr>
        <w:t>余次，认真学习了习近平新时代中国特色社会主义思想、</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党的二十大</w:t>
      </w:r>
      <w:r>
        <w:rPr>
          <w:rFonts w:hint="eastAsia" w:asciiTheme="minorEastAsia" w:hAnsiTheme="minorEastAsia" w:eastAsiaTheme="minorEastAsia" w:cstheme="minorEastAsia"/>
          <w:color w:val="000000" w:themeColor="text1"/>
          <w:sz w:val="32"/>
          <w:szCs w:val="32"/>
          <w14:textFill>
            <w14:solidFill>
              <w14:schemeClr w14:val="tx1"/>
            </w14:solidFill>
          </w14:textFill>
        </w:rPr>
        <w:t>精神、习总书记系列</w:t>
      </w:r>
      <w:r>
        <w:rPr>
          <w:rFonts w:hint="eastAsia" w:asciiTheme="minorEastAsia" w:hAnsiTheme="minorEastAsia" w:cstheme="minorEastAsia"/>
          <w:color w:val="000000" w:themeColor="text1"/>
          <w:sz w:val="32"/>
          <w:szCs w:val="32"/>
          <w:lang w:val="en-US" w:eastAsia="zh-CN"/>
          <w14:textFill>
            <w14:solidFill>
              <w14:schemeClr w14:val="tx1"/>
            </w14:solidFill>
          </w14:textFill>
        </w:rPr>
        <w:t>重要</w:t>
      </w:r>
      <w:r>
        <w:rPr>
          <w:rFonts w:hint="eastAsia" w:asciiTheme="minorEastAsia" w:hAnsiTheme="minorEastAsia" w:eastAsiaTheme="minorEastAsia" w:cstheme="minorEastAsia"/>
          <w:color w:val="000000" w:themeColor="text1"/>
          <w:sz w:val="32"/>
          <w:szCs w:val="32"/>
          <w14:textFill>
            <w14:solidFill>
              <w14:schemeClr w14:val="tx1"/>
            </w14:solidFill>
          </w14:textFill>
        </w:rPr>
        <w:t>讲话精神，党史、新中国史等内容，干部理论素质进一步提升。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32"/>
          <w:szCs w:val="32"/>
          <w:lang w:val="en-US" w:eastAsia="zh-CN" w:bidi="ar-SA"/>
          <w14:textFill>
            <w14:solidFill>
              <w14:schemeClr w14:val="tx1"/>
            </w14:solidFill>
          </w14:textFill>
        </w:rPr>
        <w:t>2、创新工作理念，高标准完成各项重点任务。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领域、全流程电子化开评标和“远程异地评标”，既是2022年全省公共资源交易系统重点任务，又是优化营商环境87个二级指标中的其中两个。2021年，政府采购和房建市政类的工程已实现电子化开评标，交通、水利等行业的电子化成为实现全领域、全流程开评标的“最后一公里”。对此，我们多次赴市公共资源交易中心汇报衔接，按照市县一体化系统部署要求，主动梳理完善硬件设施、提早部署法正等开评标系统，优化升级相应软件系统，按照全省最新评标专家专业类别，实现市县专家并库共享。市县一体化系统于今年10月份全面部署并成功启运，成为全市最早运行市县一体化系统的县区公共资源交易平台。市县一体化系统启运后，无论是政府采购项目，还是工程建设类项目的招投标工作，从项目受理、公告公示、开标评标、中标通告书核发、投标保证金缴退等所有环节，全部实现了电子化，具备了市、县“远程异地评标”的条件。市县一体化系统包括</w:t>
      </w:r>
      <w:r>
        <w:rPr>
          <w:rFonts w:hint="eastAsia" w:asciiTheme="minorEastAsia" w:hAnsiTheme="minorEastAsia" w:eastAsiaTheme="minorEastAsia" w:cstheme="minorEastAsia"/>
          <w:color w:val="000000" w:themeColor="text1"/>
          <w:sz w:val="32"/>
          <w:szCs w:val="32"/>
          <w14:textFill>
            <w14:solidFill>
              <w14:schemeClr w14:val="tx1"/>
            </w14:solidFill>
          </w14:textFill>
        </w:rPr>
        <w:t>电子服务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电子交易</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电子监管、</w:t>
      </w:r>
      <w:r>
        <w:rPr>
          <w:rFonts w:hint="eastAsia" w:asciiTheme="minorEastAsia" w:hAnsiTheme="minorEastAsia" w:eastAsiaTheme="minorEastAsia" w:cstheme="minorEastAsia"/>
          <w:color w:val="000000" w:themeColor="text1"/>
          <w:sz w:val="32"/>
          <w:szCs w:val="32"/>
          <w14:textFill>
            <w14:solidFill>
              <w14:schemeClr w14:val="tx1"/>
            </w14:solidFill>
          </w14:textFill>
        </w:rPr>
        <w:t>电子开评标</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电子档案</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电子门禁等6大系统，配套建设（配备）的高标准机房、高清监控室，投资21.6万元购置的高精度光盘刻录设备，</w:t>
      </w:r>
      <w:r>
        <w:rPr>
          <w:rFonts w:hint="eastAsia" w:asciiTheme="minorEastAsia" w:hAnsiTheme="minorEastAsia" w:eastAsiaTheme="minorEastAsia" w:cstheme="minorEastAsia"/>
          <w:color w:val="000000" w:themeColor="text1"/>
          <w:sz w:val="32"/>
          <w:szCs w:val="32"/>
          <w14:textFill>
            <w14:solidFill>
              <w14:schemeClr w14:val="tx1"/>
            </w14:solidFill>
          </w14:textFill>
        </w:rPr>
        <w:t>形成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了</w:t>
      </w:r>
      <w:r>
        <w:rPr>
          <w:rFonts w:hint="eastAsia" w:asciiTheme="minorEastAsia" w:hAnsiTheme="minorEastAsia" w:eastAsiaTheme="minorEastAsia" w:cstheme="minorEastAsia"/>
          <w:color w:val="000000" w:themeColor="text1"/>
          <w:sz w:val="32"/>
          <w:szCs w:val="32"/>
          <w14:textFill>
            <w14:solidFill>
              <w14:schemeClr w14:val="tx1"/>
            </w14:solidFill>
          </w14:textFill>
        </w:rPr>
        <w:t>“开标全公开、评标全封闭、监控全覆盖”的工作格局。宁县公共资源交易中心虽然起步较晚，但在硬件设施建设，功能区块设置，流程规范管理等方面达到了全市最优，得到了市中心充分肯定和高度评价。202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0日，全市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公共资源交易调研督查组莅临指导</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给予了较高</w:t>
      </w:r>
      <w:r>
        <w:rPr>
          <w:rFonts w:hint="eastAsia" w:asciiTheme="minorEastAsia" w:hAnsiTheme="minorEastAsia" w:eastAsiaTheme="minorEastAsia" w:cstheme="minorEastAsia"/>
          <w:color w:val="000000" w:themeColor="text1"/>
          <w:sz w:val="32"/>
          <w:szCs w:val="32"/>
          <w14:textFill>
            <w14:solidFill>
              <w14:schemeClr w14:val="tx1"/>
            </w14:solidFill>
          </w14:textFill>
        </w:rPr>
        <w:t>评价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6月28日，我中心在全市公共资源交易平台建设运行管理工作推进会上做了典型经验交流发言</w:t>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32"/>
          <w:szCs w:val="32"/>
          <w:lang w:val="en-US" w:eastAsia="zh-CN" w:bidi="ar-SA"/>
          <w14:textFill>
            <w14:solidFill>
              <w14:schemeClr w14:val="tx1"/>
            </w14:solidFill>
          </w14:textFill>
        </w:rPr>
        <w:t>3、优化营商环境，规范化开展项目交易。</w:t>
      </w:r>
      <w:r>
        <w:rPr>
          <w:rFonts w:hint="eastAsia" w:asciiTheme="minorEastAsia" w:hAnsiTheme="minorEastAsia" w:eastAsiaTheme="minorEastAsia" w:cstheme="minorEastAsia"/>
          <w:color w:val="000000" w:themeColor="text1"/>
          <w:sz w:val="32"/>
          <w:szCs w:val="32"/>
          <w14:textFill>
            <w14:solidFill>
              <w14:schemeClr w14:val="tx1"/>
            </w14:solidFill>
          </w14:textFill>
        </w:rPr>
        <w:t>按照县委、县政府《关于进一步优化全县营商环境的实施意见》，</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我中心积极组织学习，认真研究讨论，结合工作实际，印发了《宁县公共资源交易中心优化营商环境实施意见》、《宁县公共资源交易中心创建“两型”机关工作实施方案》和《宁县公共资源交易中心关于开展政府采购和招投标领域突出问题专项整治工作实施方案》，并成立了相应工作领导小组，扎实开展优化营商环境工作。认真贯彻落实政府采购专项小组和招标投标管理专项小组工作方案精神，按时报送工作进展情况及工作建议。对照《宁县优化营商环境2022年度工作任务清单》，梳理任务7条，建立工作台账、紧盯时限要求，整改完成7条，报送简报20期，按时完成了各项工作任务。9月5日，县融媒体中心对我单位进行了专题采访，持续提升交易平台功能，着力解决企业和群众办事难点、痛点、堵点，增强企业和群众获得感和满意度方面赢得了服务对象的广泛好评。专题采访先后在庆阳电视台和宁县电视台报道。扎实创建“两型”机关：</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一是突出宣传引导、凝聚宣传氛围。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在交易大厅、开标室、评标室等公共场所，设置宣传版面、悬挂宣传标语、开展宣传活动。</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二是突出制度刚性，强化制度落实。</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修订完善机关管理、业务管理等各项制度，建立首问责任制度和末位问责制度。按照制度上墙、责任公开、全员监督的工作原则，在工作区域悬挂制度30面，接受广大干部群众监督。加大监督检查力度，靠实监督检查责任，全程跟进，督促检查制度落实情况，把制度落实情况和评优选模挂钩，将平时督促检查内容作为绩效考核依据。</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三是突出监督责任，强化行为约束。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积极配合县公管办和行业部门履行监管责任，推动完善权力配置和监督机制。安装工作评价系统，接受办事人员满意度评价。畅通投诉举报渠道，公开监督电话，广泛征集问题线索和意见建议，接受社会监督。</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四是突出服务意识，增强服务效能。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落实亮牌服务，按照县“两型办”统一模板，为全体职工制作了岗位“桌牌”和人员“工牌”，并统一摆放和规范佩戴；实行职责公示，详细梳理单位职能，按照组织机构、人员分工、岗位职能、工作流程等内容，制作职责公示版面，在办公区醒目位置张贴上墙，方便群众办事，接受社会监督；推进限时办结，制定限时办结清单，明确“法定时限”和“承诺时限”，严格按照要求按时办结。全面推行“一表申请”、“一网通办”，实现“不来即享”，提高了服务效率，降低了交易成本，减轻了企业负担。扎实开展“三自”活动，按照宁县优化营商环境工作领导小组办公室印发《关于在全县机关单位开展优化营商环境“干部扪心自问、股室问题自查、部门作风自改”活动实施方案》的通知精神，迅速动员部署、及时召开专题会议，提出工作措施，靠实工作责任。围绕“六问、三查、三改”重点任务，通过群众提、上级点、自己找、互相帮等措施，查摆梳理问题，建立问题清单，结合“两型机关”创建，明确整改要求，压实整改责任。及时组织召开专题民主生活会，认真查摆单位在作风方面的问题，形成问题清单，建立台账和整改方案，明确每名班子成员的职责分工，每个问题的整改时限。个人、股室和班子作风方面的6个问题已全部整改到位。</w:t>
      </w:r>
      <w:r>
        <w:rPr>
          <w:rFonts w:hint="eastAsia" w:asciiTheme="minorEastAsia" w:hAnsiTheme="minorEastAsia" w:eastAsiaTheme="minorEastAsia" w:cstheme="minorEastAsia"/>
          <w:color w:val="000000" w:themeColor="text1"/>
          <w:sz w:val="32"/>
          <w:szCs w:val="32"/>
          <w14:textFill>
            <w14:solidFill>
              <w14:schemeClr w14:val="tx1"/>
            </w14:solidFill>
          </w14:textFill>
        </w:rPr>
        <w:t>全年累计进场交易项目</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247</w:t>
      </w:r>
      <w:r>
        <w:rPr>
          <w:rFonts w:hint="eastAsia" w:asciiTheme="minorEastAsia" w:hAnsiTheme="minorEastAsia" w:eastAsiaTheme="minorEastAsia" w:cstheme="minorEastAsia"/>
          <w:color w:val="000000" w:themeColor="text1"/>
          <w:sz w:val="32"/>
          <w:szCs w:val="32"/>
          <w14:textFill>
            <w14:solidFill>
              <w14:schemeClr w14:val="tx1"/>
            </w14:solidFill>
          </w14:textFill>
        </w:rPr>
        <w:t>个，交易金额</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7.55</w:t>
      </w:r>
      <w:r>
        <w:rPr>
          <w:rFonts w:hint="eastAsia" w:asciiTheme="minorEastAsia" w:hAnsiTheme="minorEastAsia" w:eastAsiaTheme="minorEastAsia" w:cstheme="minorEastAsia"/>
          <w:color w:val="000000" w:themeColor="text1"/>
          <w:sz w:val="32"/>
          <w:szCs w:val="32"/>
          <w14:textFill>
            <w14:solidFill>
              <w14:schemeClr w14:val="tx1"/>
            </w14:solidFill>
          </w14:textFill>
        </w:rPr>
        <w:t>亿元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其中工程建设</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109</w:t>
      </w:r>
      <w:r>
        <w:rPr>
          <w:rFonts w:hint="eastAsia" w:asciiTheme="minorEastAsia" w:hAnsiTheme="minorEastAsia" w:eastAsiaTheme="minorEastAsia" w:cstheme="minorEastAsia"/>
          <w:color w:val="000000" w:themeColor="text1"/>
          <w:sz w:val="32"/>
          <w:szCs w:val="32"/>
          <w14:textFill>
            <w14:solidFill>
              <w14:schemeClr w14:val="tx1"/>
            </w14:solidFill>
          </w14:textFill>
        </w:rPr>
        <w:t>个，交易金额</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6.04</w:t>
      </w:r>
      <w:r>
        <w:rPr>
          <w:rFonts w:hint="eastAsia" w:asciiTheme="minorEastAsia" w:hAnsiTheme="minorEastAsia" w:eastAsiaTheme="minorEastAsia" w:cstheme="minorEastAsia"/>
          <w:color w:val="000000" w:themeColor="text1"/>
          <w:sz w:val="32"/>
          <w:szCs w:val="32"/>
          <w14:textFill>
            <w14:solidFill>
              <w14:schemeClr w14:val="tx1"/>
            </w14:solidFill>
          </w14:textFill>
        </w:rPr>
        <w:t>亿元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政府采购</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138</w:t>
      </w:r>
      <w:r>
        <w:rPr>
          <w:rFonts w:hint="eastAsia" w:asciiTheme="minorEastAsia" w:hAnsiTheme="minorEastAsia" w:eastAsiaTheme="minorEastAsia" w:cstheme="minorEastAsia"/>
          <w:color w:val="000000" w:themeColor="text1"/>
          <w:sz w:val="32"/>
          <w:szCs w:val="32"/>
          <w14:textFill>
            <w14:solidFill>
              <w14:schemeClr w14:val="tx1"/>
            </w14:solidFill>
          </w14:textFill>
        </w:rPr>
        <w:t>个</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交易金额</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1.51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亿</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节约资金283.19万元</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w:t>
      </w:r>
      <w:r>
        <w:rPr>
          <w:rFonts w:hint="eastAsia" w:asciiTheme="minorEastAsia" w:hAnsiTheme="minorEastAsia" w:eastAsiaTheme="minorEastAsia" w:cstheme="minorEastAsia"/>
          <w:color w:val="000000" w:themeColor="text1"/>
          <w:sz w:val="32"/>
          <w:szCs w:val="32"/>
          <w14:textFill>
            <w14:solidFill>
              <w14:schemeClr w14:val="tx1"/>
            </w14:solidFill>
          </w14:textFill>
        </w:rPr>
        <w:t>共收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缴</w:t>
      </w:r>
      <w:r>
        <w:rPr>
          <w:rFonts w:hint="eastAsia" w:asciiTheme="minorEastAsia" w:hAnsiTheme="minorEastAsia" w:eastAsiaTheme="minorEastAsia" w:cstheme="minorEastAsia"/>
          <w:color w:val="000000" w:themeColor="text1"/>
          <w:sz w:val="32"/>
          <w:szCs w:val="32"/>
          <w14:textFill>
            <w14:solidFill>
              <w14:schemeClr w14:val="tx1"/>
            </w14:solidFill>
          </w14:textFill>
        </w:rPr>
        <w:t>上解非税系统交易平台服务费</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106.54</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万元，享受“扶贫、教育”减免服务费政策</w:t>
      </w:r>
      <w:r>
        <w:rPr>
          <w:rFonts w:hint="eastAsia" w:asciiTheme="minorEastAsia" w:hAnsiTheme="minorEastAsia" w:eastAsiaTheme="minorEastAsia" w:cstheme="minorEastAsia"/>
          <w:color w:val="000000" w:themeColor="text1"/>
          <w:sz w:val="32"/>
          <w:szCs w:val="32"/>
          <w:u w:val="none"/>
          <w:lang w:val="en-US" w:eastAsia="zh-CN"/>
          <w14:textFill>
            <w14:solidFill>
              <w14:schemeClr w14:val="tx1"/>
            </w14:solidFill>
          </w14:textFill>
        </w:rPr>
        <w:t>10.29</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（三）履职效果情况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1、经济效益。</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全领域、全流程电子化开评标和“远程异地评标”，</w:t>
      </w:r>
      <w:r>
        <w:rPr>
          <w:rFonts w:hint="eastAsia" w:asciiTheme="minorEastAsia" w:hAnsiTheme="minorEastAsia" w:eastAsiaTheme="minorEastAsia" w:cstheme="minorEastAsia"/>
          <w:color w:val="000000" w:themeColor="text1"/>
          <w:sz w:val="32"/>
          <w:szCs w:val="32"/>
          <w14:textFill>
            <w14:solidFill>
              <w14:schemeClr w14:val="tx1"/>
            </w14:solidFill>
          </w14:textFill>
        </w:rPr>
        <w:t>达到了县级标准化公共资源交易平台建设目标，形成“开标全公开、评标全封闭、监控全覆盖”的工作格局。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2、社会效益。</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强化民生保障，突出重点项目，助推全县发展。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3、行政效能。进一步明确工作职责，不断完善征管制度、严格经费和资产管理，提高行政效率和效能，降低行政成本。</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（四）社会满意度及可持续性影响</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我中心克服各种困难，推进我县公共资源交易工作公开、透明、公平、公正规范开展，优化</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营商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环境，增加财政收入，为我县的社会经济事业发展做出应有的贡献。</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八、单位整体支出绩效中存在问题及改进措施</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 xml:space="preserve">（一）主要问题及原因分析 </w:t>
      </w:r>
    </w:p>
    <w:p>
      <w:pPr>
        <w:keepNext w:val="0"/>
        <w:keepLines w:val="0"/>
        <w:pageBreakBefore w:val="0"/>
        <w:widowControl/>
        <w:kinsoku/>
        <w:wordWrap/>
        <w:overflowPunct/>
        <w:topLinePunct w:val="0"/>
        <w:autoSpaceDE/>
        <w:autoSpaceDN/>
        <w:bidi w:val="0"/>
        <w:spacing w:line="578" w:lineRule="exact"/>
        <w:ind w:firstLine="600" w:firstLineChars="200"/>
        <w:jc w:val="left"/>
        <w:textAlignment w:val="auto"/>
        <w:rPr>
          <w:rFonts w:hint="eastAsia"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预算编制工作有待细化。预算编制不够明确和细化，预算编制的合理性需要提高，预算执行力度还要进一步加强。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pPr>
      <w:r>
        <w:rPr>
          <w:rFonts w:hint="default" w:asciiTheme="majorEastAsia" w:hAnsiTheme="majorEastAsia" w:eastAsiaTheme="majorEastAsia" w:cstheme="majorEastAsia"/>
          <w:b w:val="0"/>
          <w:bCs w:val="0"/>
          <w:color w:val="000000" w:themeColor="text1"/>
          <w:sz w:val="32"/>
          <w:szCs w:val="32"/>
          <w:lang w:val="en-US" w:eastAsia="zh-CN"/>
          <w14:textFill>
            <w14:solidFill>
              <w14:schemeClr w14:val="tx1"/>
            </w14:solidFill>
          </w14:textFill>
        </w:rPr>
        <w:t xml:space="preserve">（二）改进的方向和具体措施 </w:t>
      </w:r>
    </w:p>
    <w:p>
      <w:pPr>
        <w:keepNext w:val="0"/>
        <w:keepLines w:val="0"/>
        <w:pageBreakBefore w:val="0"/>
        <w:widowControl/>
        <w:kinsoku/>
        <w:wordWrap/>
        <w:overflowPunct/>
        <w:topLinePunct w:val="0"/>
        <w:autoSpaceDE/>
        <w:autoSpaceDN/>
        <w:bidi w:val="0"/>
        <w:spacing w:line="578"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1、细化预算编制工作，认真做好预算的编制。严格按照预</w:t>
      </w:r>
      <w:bookmarkStart w:id="0" w:name="_GoBack"/>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算编制的相关制度和要求进行预算编制；提高预算编制的科学性、</w:t>
      </w:r>
      <w:bookmarkEnd w:id="0"/>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严谨性和可控性。</w:t>
      </w:r>
    </w:p>
    <w:p>
      <w:pPr>
        <w:keepNext w:val="0"/>
        <w:keepLines w:val="0"/>
        <w:pageBreakBefore w:val="0"/>
        <w:widowControl/>
        <w:kinsoku/>
        <w:wordWrap/>
        <w:overflowPunct/>
        <w:topLinePunct w:val="0"/>
        <w:autoSpaceDE/>
        <w:autoSpaceDN/>
        <w:bidi w:val="0"/>
        <w:spacing w:line="578" w:lineRule="exact"/>
        <w:ind w:firstLine="640" w:firstLineChars="200"/>
        <w:jc w:val="left"/>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2、加强财务管理，严格财务审核。在费用报账支付时，按照预算规定的费用和用途进行资金使用审核、列报支付，杜绝</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违规</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现象的发生。</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0"/>
          <w:sz w:val="32"/>
          <w:szCs w:val="32"/>
          <w:lang w:val="en-US" w:eastAsia="zh-CN"/>
          <w14:textFill>
            <w14:solidFill>
              <w14:schemeClr w14:val="tx1"/>
            </w14:solidFill>
          </w14:textFill>
        </w:rPr>
        <w:t>加强财务</w:t>
      </w: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t xml:space="preserve">人员培训，特别是针对《预算法》、《行政事业单位会计制度》等学习培训，规范部门预算收支核算，切实提高部门预算收支管理水平。   </w:t>
      </w:r>
    </w:p>
    <w:p>
      <w:pPr>
        <w:keepNext w:val="0"/>
        <w:keepLines w:val="0"/>
        <w:pageBreakBefore w:val="0"/>
        <w:widowControl/>
        <w:shd w:val="clear" w:color="auto" w:fill="FFFFFF"/>
        <w:kinsoku/>
        <w:wordWrap/>
        <w:overflowPunct/>
        <w:topLinePunct w:val="0"/>
        <w:autoSpaceDE/>
        <w:autoSpaceDN/>
        <w:bidi w:val="0"/>
        <w:spacing w:line="578" w:lineRule="exact"/>
        <w:ind w:firstLine="60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kern w:val="0"/>
          <w:sz w:val="30"/>
          <w:szCs w:val="30"/>
          <w14:textFill>
            <w14:solidFill>
              <w14:schemeClr w14:val="tx1"/>
            </w14:solidFill>
          </w14:textFill>
        </w:rPr>
        <w:t xml:space="preserve">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九、绩效自评结果拟应用和公开情况 </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年单位预算编制基础数据真实可靠，按照年度工作计划和支出标准合理编制预算方案，预算数据按要求及时报送。并依据预算信息公开要求，按时按期在宁县人民政府网站公开。</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default" w:ascii="Times New Roman" w:hAnsi="Times New Roman" w:eastAsia="黑体" w:cs="Times New Roman"/>
          <w:b w:val="0"/>
          <w:bCs w:val="0"/>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十、其他需要说明的问题</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无其他说明。</w:t>
      </w:r>
    </w:p>
    <w:p>
      <w:pPr>
        <w:keepNext w:val="0"/>
        <w:keepLines w:val="0"/>
        <w:pageBreakBefore w:val="0"/>
        <w:widowControl/>
        <w:kinsoku/>
        <w:wordWrap/>
        <w:overflowPunct/>
        <w:topLinePunct w:val="0"/>
        <w:autoSpaceDE/>
        <w:autoSpaceDN/>
        <w:bidi w:val="0"/>
        <w:spacing w:line="500" w:lineRule="exact"/>
        <w:ind w:firstLine="420" w:firstLineChars="200"/>
        <w:textAlignment w:val="auto"/>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spacing w:line="578"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78" w:lineRule="exact"/>
        <w:ind w:firstLine="4800" w:firstLineChars="15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宁县公共资源交易中心</w:t>
      </w:r>
    </w:p>
    <w:p>
      <w:pPr>
        <w:ind w:firstLine="5120" w:firstLineChars="1600"/>
        <w:rPr>
          <w:rFonts w:hint="default"/>
          <w:color w:val="000000" w:themeColor="text1"/>
          <w:lang w:val="en-US" w:eastAsia="zh-CN"/>
          <w14:textFill>
            <w14:solidFill>
              <w14:schemeClr w14:val="tx1"/>
            </w14:solidFill>
          </w14:textFill>
        </w:rPr>
      </w:pPr>
      <w:r>
        <w:rPr>
          <w:rFonts w:hint="eastAsia" w:ascii="Times New Roman" w:hAnsi="Times New Roman" w:eastAsia="仿宋_GB2312" w:cs="黑体"/>
          <w:color w:val="000000" w:themeColor="text1"/>
          <w:sz w:val="32"/>
          <w:szCs w:val="32"/>
          <w14:textFill>
            <w14:solidFill>
              <w14:schemeClr w14:val="tx1"/>
            </w14:solidFill>
          </w14:textFill>
        </w:rPr>
        <w:t>202</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3</w:t>
      </w:r>
      <w:r>
        <w:rPr>
          <w:rFonts w:hint="eastAsia" w:ascii="Times New Roman" w:hAnsi="Times New Roman" w:eastAsia="仿宋_GB2312" w:cs="黑体"/>
          <w:color w:val="000000" w:themeColor="text1"/>
          <w:sz w:val="32"/>
          <w:szCs w:val="32"/>
          <w14:textFill>
            <w14:solidFill>
              <w14:schemeClr w14:val="tx1"/>
            </w14:solidFill>
          </w14:textFill>
        </w:rPr>
        <w:t>年</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10</w:t>
      </w:r>
      <w:r>
        <w:rPr>
          <w:rFonts w:hint="eastAsia" w:ascii="Times New Roman" w:hAnsi="Times New Roman" w:eastAsia="仿宋_GB2312" w:cs="黑体"/>
          <w:color w:val="000000" w:themeColor="text1"/>
          <w:sz w:val="32"/>
          <w:szCs w:val="32"/>
          <w14:textFill>
            <w14:solidFill>
              <w14:schemeClr w14:val="tx1"/>
            </w14:solidFill>
          </w14:textFill>
        </w:rPr>
        <w:t>月1</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8</w:t>
      </w:r>
      <w:r>
        <w:rPr>
          <w:rFonts w:hint="eastAsia" w:ascii="Times New Roman" w:hAnsi="Times New Roman" w:eastAsia="仿宋_GB2312" w:cs="黑体"/>
          <w:color w:val="000000" w:themeColor="text1"/>
          <w:sz w:val="32"/>
          <w:szCs w:val="32"/>
          <w14:textFill>
            <w14:solidFill>
              <w14:schemeClr w14:val="tx1"/>
            </w14:solidFill>
          </w14:textFill>
        </w:rPr>
        <w:t>日</w:t>
      </w:r>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EA0FC"/>
    <w:multiLevelType w:val="singleLevel"/>
    <w:tmpl w:val="245EA0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E83949"/>
    <w:rsid w:val="00005035"/>
    <w:rsid w:val="00010279"/>
    <w:rsid w:val="00021920"/>
    <w:rsid w:val="00022C26"/>
    <w:rsid w:val="00023673"/>
    <w:rsid w:val="00070F5C"/>
    <w:rsid w:val="0009144E"/>
    <w:rsid w:val="000B479B"/>
    <w:rsid w:val="000D3540"/>
    <w:rsid w:val="000D4C2E"/>
    <w:rsid w:val="000E795B"/>
    <w:rsid w:val="000F0471"/>
    <w:rsid w:val="001243C6"/>
    <w:rsid w:val="001509AF"/>
    <w:rsid w:val="00172C0F"/>
    <w:rsid w:val="00175150"/>
    <w:rsid w:val="001819F9"/>
    <w:rsid w:val="001922D0"/>
    <w:rsid w:val="001A2604"/>
    <w:rsid w:val="001B61C5"/>
    <w:rsid w:val="001E359F"/>
    <w:rsid w:val="00200DF1"/>
    <w:rsid w:val="00206515"/>
    <w:rsid w:val="00207818"/>
    <w:rsid w:val="0021481E"/>
    <w:rsid w:val="00221BA3"/>
    <w:rsid w:val="00231BEC"/>
    <w:rsid w:val="0025051F"/>
    <w:rsid w:val="00256B4F"/>
    <w:rsid w:val="00260986"/>
    <w:rsid w:val="0026363A"/>
    <w:rsid w:val="00281DB3"/>
    <w:rsid w:val="00282CBA"/>
    <w:rsid w:val="002C62A9"/>
    <w:rsid w:val="00314C3B"/>
    <w:rsid w:val="003275F6"/>
    <w:rsid w:val="00335322"/>
    <w:rsid w:val="0033743F"/>
    <w:rsid w:val="0037473C"/>
    <w:rsid w:val="003901B7"/>
    <w:rsid w:val="00397D83"/>
    <w:rsid w:val="003B35FB"/>
    <w:rsid w:val="003B5C71"/>
    <w:rsid w:val="00467FE6"/>
    <w:rsid w:val="004724F9"/>
    <w:rsid w:val="00474799"/>
    <w:rsid w:val="00495E0F"/>
    <w:rsid w:val="004A0E30"/>
    <w:rsid w:val="004A3407"/>
    <w:rsid w:val="004B3EDA"/>
    <w:rsid w:val="004F41F9"/>
    <w:rsid w:val="004F4D5C"/>
    <w:rsid w:val="00524565"/>
    <w:rsid w:val="00553A5C"/>
    <w:rsid w:val="00555158"/>
    <w:rsid w:val="0057155B"/>
    <w:rsid w:val="00577C73"/>
    <w:rsid w:val="00593050"/>
    <w:rsid w:val="005E4C46"/>
    <w:rsid w:val="005F0C1C"/>
    <w:rsid w:val="006169DC"/>
    <w:rsid w:val="0062273A"/>
    <w:rsid w:val="00624F74"/>
    <w:rsid w:val="00641961"/>
    <w:rsid w:val="00673796"/>
    <w:rsid w:val="006778B7"/>
    <w:rsid w:val="006C2389"/>
    <w:rsid w:val="006C7931"/>
    <w:rsid w:val="006F4910"/>
    <w:rsid w:val="00714EFD"/>
    <w:rsid w:val="00754CED"/>
    <w:rsid w:val="0076439E"/>
    <w:rsid w:val="007801EB"/>
    <w:rsid w:val="007860D3"/>
    <w:rsid w:val="00790FFB"/>
    <w:rsid w:val="007935CA"/>
    <w:rsid w:val="00795E77"/>
    <w:rsid w:val="007A1ECF"/>
    <w:rsid w:val="007A6D44"/>
    <w:rsid w:val="007A790A"/>
    <w:rsid w:val="007C6B1F"/>
    <w:rsid w:val="007F7D3D"/>
    <w:rsid w:val="008245B9"/>
    <w:rsid w:val="008245DD"/>
    <w:rsid w:val="0083607A"/>
    <w:rsid w:val="00844E7A"/>
    <w:rsid w:val="00855779"/>
    <w:rsid w:val="008819C5"/>
    <w:rsid w:val="00896803"/>
    <w:rsid w:val="008B5B9E"/>
    <w:rsid w:val="008D38E9"/>
    <w:rsid w:val="008D751D"/>
    <w:rsid w:val="008F46ED"/>
    <w:rsid w:val="008F4CE2"/>
    <w:rsid w:val="008F6F1E"/>
    <w:rsid w:val="0090666E"/>
    <w:rsid w:val="00910B56"/>
    <w:rsid w:val="009112F9"/>
    <w:rsid w:val="00915D46"/>
    <w:rsid w:val="00925385"/>
    <w:rsid w:val="0092759C"/>
    <w:rsid w:val="00942E9B"/>
    <w:rsid w:val="00983349"/>
    <w:rsid w:val="009C3B1C"/>
    <w:rsid w:val="009F16E4"/>
    <w:rsid w:val="00A1395B"/>
    <w:rsid w:val="00A20267"/>
    <w:rsid w:val="00A311DE"/>
    <w:rsid w:val="00A328DB"/>
    <w:rsid w:val="00A335DC"/>
    <w:rsid w:val="00A423B0"/>
    <w:rsid w:val="00A71873"/>
    <w:rsid w:val="00A779A2"/>
    <w:rsid w:val="00A850AB"/>
    <w:rsid w:val="00AA5868"/>
    <w:rsid w:val="00AB1D5D"/>
    <w:rsid w:val="00AB546F"/>
    <w:rsid w:val="00AB64D9"/>
    <w:rsid w:val="00AD03C3"/>
    <w:rsid w:val="00B05007"/>
    <w:rsid w:val="00B13CBE"/>
    <w:rsid w:val="00B15DA0"/>
    <w:rsid w:val="00B33C41"/>
    <w:rsid w:val="00B4012B"/>
    <w:rsid w:val="00B6312C"/>
    <w:rsid w:val="00B76660"/>
    <w:rsid w:val="00B77F3F"/>
    <w:rsid w:val="00B83E66"/>
    <w:rsid w:val="00B9106F"/>
    <w:rsid w:val="00B91B6D"/>
    <w:rsid w:val="00BB5A0B"/>
    <w:rsid w:val="00BC42B1"/>
    <w:rsid w:val="00BE0DEC"/>
    <w:rsid w:val="00C06F99"/>
    <w:rsid w:val="00C329E9"/>
    <w:rsid w:val="00C372F1"/>
    <w:rsid w:val="00C42398"/>
    <w:rsid w:val="00C47EF2"/>
    <w:rsid w:val="00C510E2"/>
    <w:rsid w:val="00C67508"/>
    <w:rsid w:val="00C87CE8"/>
    <w:rsid w:val="00CC4DBC"/>
    <w:rsid w:val="00CD68F3"/>
    <w:rsid w:val="00D024E9"/>
    <w:rsid w:val="00D27E15"/>
    <w:rsid w:val="00D624D9"/>
    <w:rsid w:val="00D93B2A"/>
    <w:rsid w:val="00DA302A"/>
    <w:rsid w:val="00DC2331"/>
    <w:rsid w:val="00DC23C8"/>
    <w:rsid w:val="00DD2231"/>
    <w:rsid w:val="00DF0B4A"/>
    <w:rsid w:val="00E118AE"/>
    <w:rsid w:val="00E1554B"/>
    <w:rsid w:val="00E23F82"/>
    <w:rsid w:val="00E309CB"/>
    <w:rsid w:val="00E425C8"/>
    <w:rsid w:val="00E54D24"/>
    <w:rsid w:val="00E83949"/>
    <w:rsid w:val="00E874E6"/>
    <w:rsid w:val="00EC2AE7"/>
    <w:rsid w:val="00ED4665"/>
    <w:rsid w:val="00EF309E"/>
    <w:rsid w:val="00EF4711"/>
    <w:rsid w:val="00F14577"/>
    <w:rsid w:val="00F200BF"/>
    <w:rsid w:val="00F226A9"/>
    <w:rsid w:val="00F40C11"/>
    <w:rsid w:val="00F608F6"/>
    <w:rsid w:val="00F70D2A"/>
    <w:rsid w:val="00F74F67"/>
    <w:rsid w:val="00F901A0"/>
    <w:rsid w:val="00F9697F"/>
    <w:rsid w:val="00FD1BEB"/>
    <w:rsid w:val="00FF7F62"/>
    <w:rsid w:val="0431554D"/>
    <w:rsid w:val="049B1833"/>
    <w:rsid w:val="05281683"/>
    <w:rsid w:val="05483AD3"/>
    <w:rsid w:val="08A2174C"/>
    <w:rsid w:val="09D27E0F"/>
    <w:rsid w:val="0A070F9B"/>
    <w:rsid w:val="0BDC4F75"/>
    <w:rsid w:val="0C963376"/>
    <w:rsid w:val="0DA67939"/>
    <w:rsid w:val="0DBA12E6"/>
    <w:rsid w:val="100625C1"/>
    <w:rsid w:val="106317C1"/>
    <w:rsid w:val="11447845"/>
    <w:rsid w:val="11875983"/>
    <w:rsid w:val="13765CAF"/>
    <w:rsid w:val="145558C5"/>
    <w:rsid w:val="14A05E55"/>
    <w:rsid w:val="156A53A0"/>
    <w:rsid w:val="174F0CF1"/>
    <w:rsid w:val="18E165E6"/>
    <w:rsid w:val="1916004E"/>
    <w:rsid w:val="1A3D12D5"/>
    <w:rsid w:val="1B041DF3"/>
    <w:rsid w:val="1B065B6B"/>
    <w:rsid w:val="1B2129A5"/>
    <w:rsid w:val="1BA55384"/>
    <w:rsid w:val="1D1069B2"/>
    <w:rsid w:val="1D412E8A"/>
    <w:rsid w:val="1DE008F5"/>
    <w:rsid w:val="1E460EF7"/>
    <w:rsid w:val="1E725CB5"/>
    <w:rsid w:val="1ED63AA6"/>
    <w:rsid w:val="1EE47F71"/>
    <w:rsid w:val="1FB02549"/>
    <w:rsid w:val="203B6768"/>
    <w:rsid w:val="212D5020"/>
    <w:rsid w:val="216435EB"/>
    <w:rsid w:val="21E169EA"/>
    <w:rsid w:val="22124DF5"/>
    <w:rsid w:val="23241284"/>
    <w:rsid w:val="23892362"/>
    <w:rsid w:val="23F549CE"/>
    <w:rsid w:val="272C4BAB"/>
    <w:rsid w:val="284D6B87"/>
    <w:rsid w:val="2A133E00"/>
    <w:rsid w:val="2A916E34"/>
    <w:rsid w:val="2AA35184"/>
    <w:rsid w:val="2B4F0E68"/>
    <w:rsid w:val="2B9169EF"/>
    <w:rsid w:val="2BCC4267"/>
    <w:rsid w:val="2BDA5F04"/>
    <w:rsid w:val="2BEE4AB0"/>
    <w:rsid w:val="2C8903AA"/>
    <w:rsid w:val="2CDD64C6"/>
    <w:rsid w:val="2DD91C74"/>
    <w:rsid w:val="2E9821CF"/>
    <w:rsid w:val="2F827DB7"/>
    <w:rsid w:val="2FA71273"/>
    <w:rsid w:val="30CC6AB7"/>
    <w:rsid w:val="3239015F"/>
    <w:rsid w:val="33745ADE"/>
    <w:rsid w:val="339D0A94"/>
    <w:rsid w:val="33BE7D28"/>
    <w:rsid w:val="34F3587B"/>
    <w:rsid w:val="351A4B0B"/>
    <w:rsid w:val="36CA1CEB"/>
    <w:rsid w:val="38431D54"/>
    <w:rsid w:val="39861EF9"/>
    <w:rsid w:val="399129D3"/>
    <w:rsid w:val="3BB865B6"/>
    <w:rsid w:val="3C7B3B74"/>
    <w:rsid w:val="3D0733E0"/>
    <w:rsid w:val="3D4A148F"/>
    <w:rsid w:val="3D580F1D"/>
    <w:rsid w:val="3E6F5651"/>
    <w:rsid w:val="3E7762B4"/>
    <w:rsid w:val="3E986769"/>
    <w:rsid w:val="3EEE2A1B"/>
    <w:rsid w:val="3F3423F7"/>
    <w:rsid w:val="401E220F"/>
    <w:rsid w:val="40C57B79"/>
    <w:rsid w:val="40EA5E09"/>
    <w:rsid w:val="41211416"/>
    <w:rsid w:val="41686388"/>
    <w:rsid w:val="41721E60"/>
    <w:rsid w:val="4266351A"/>
    <w:rsid w:val="43117BA3"/>
    <w:rsid w:val="4396542E"/>
    <w:rsid w:val="44086C26"/>
    <w:rsid w:val="44B32413"/>
    <w:rsid w:val="450D1720"/>
    <w:rsid w:val="462C207A"/>
    <w:rsid w:val="48812D46"/>
    <w:rsid w:val="4A062BE2"/>
    <w:rsid w:val="4AAA7A11"/>
    <w:rsid w:val="4B7818BD"/>
    <w:rsid w:val="4BC36FDC"/>
    <w:rsid w:val="4C687B84"/>
    <w:rsid w:val="4C932A0A"/>
    <w:rsid w:val="4CBB7CB4"/>
    <w:rsid w:val="4CC528E0"/>
    <w:rsid w:val="4E7C16C5"/>
    <w:rsid w:val="4E7E543D"/>
    <w:rsid w:val="4F3F181A"/>
    <w:rsid w:val="52293911"/>
    <w:rsid w:val="52815086"/>
    <w:rsid w:val="530B7D50"/>
    <w:rsid w:val="537B4760"/>
    <w:rsid w:val="549A0AF6"/>
    <w:rsid w:val="551E34D6"/>
    <w:rsid w:val="55654C60"/>
    <w:rsid w:val="5579695E"/>
    <w:rsid w:val="57EB74C0"/>
    <w:rsid w:val="58472D43"/>
    <w:rsid w:val="58BA3515"/>
    <w:rsid w:val="5B5E178C"/>
    <w:rsid w:val="5F2B0CC9"/>
    <w:rsid w:val="614918DA"/>
    <w:rsid w:val="6166423A"/>
    <w:rsid w:val="61AE5BE1"/>
    <w:rsid w:val="61D57E6A"/>
    <w:rsid w:val="62D33B51"/>
    <w:rsid w:val="644A1BF1"/>
    <w:rsid w:val="66996D8A"/>
    <w:rsid w:val="672D1356"/>
    <w:rsid w:val="682E69B9"/>
    <w:rsid w:val="692E06C5"/>
    <w:rsid w:val="6A2C3B47"/>
    <w:rsid w:val="6B013226"/>
    <w:rsid w:val="6B2A6BDE"/>
    <w:rsid w:val="6BBD0EFB"/>
    <w:rsid w:val="6C270A6A"/>
    <w:rsid w:val="6CC62031"/>
    <w:rsid w:val="6EFC7910"/>
    <w:rsid w:val="6F03756C"/>
    <w:rsid w:val="6F614138"/>
    <w:rsid w:val="6F7B7635"/>
    <w:rsid w:val="6F993A2D"/>
    <w:rsid w:val="70293003"/>
    <w:rsid w:val="717B62C9"/>
    <w:rsid w:val="71CA69D1"/>
    <w:rsid w:val="72ED2BCD"/>
    <w:rsid w:val="73F90F3E"/>
    <w:rsid w:val="74B11E41"/>
    <w:rsid w:val="762304F4"/>
    <w:rsid w:val="770A79A4"/>
    <w:rsid w:val="780A371A"/>
    <w:rsid w:val="79D8139A"/>
    <w:rsid w:val="79DA0A76"/>
    <w:rsid w:val="79DA7E71"/>
    <w:rsid w:val="7A1E3F52"/>
    <w:rsid w:val="7A2F56B9"/>
    <w:rsid w:val="7C1F52BA"/>
    <w:rsid w:val="7DE642E1"/>
    <w:rsid w:val="7EC32874"/>
    <w:rsid w:val="7FF9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宋体" w:hAnsi="宋体" w:eastAsia="宋体"/>
      <w:sz w:val="32"/>
    </w:rPr>
  </w:style>
  <w:style w:type="paragraph" w:styleId="3">
    <w:name w:val="Body Text Indent 2"/>
    <w:basedOn w:val="1"/>
    <w:next w:val="1"/>
    <w:link w:val="10"/>
    <w:qFormat/>
    <w:uiPriority w:val="0"/>
    <w:pPr>
      <w:spacing w:line="480" w:lineRule="auto"/>
      <w:ind w:left="420" w:leftChars="200"/>
    </w:p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paragraph" w:styleId="7">
    <w:name w:val="Title"/>
    <w:basedOn w:val="1"/>
    <w:next w:val="1"/>
    <w:qFormat/>
    <w:uiPriority w:val="0"/>
    <w:pPr>
      <w:widowControl/>
      <w:tabs>
        <w:tab w:val="left" w:pos="0"/>
      </w:tabs>
      <w:adjustRightInd w:val="0"/>
      <w:snapToGrid w:val="0"/>
      <w:spacing w:before="312" w:beforeLines="100" w:after="312" w:afterLines="100"/>
      <w:jc w:val="center"/>
    </w:pPr>
    <w:rPr>
      <w:rFonts w:ascii="Tahoma" w:hAnsi="Arial" w:eastAsia="微软雅黑" w:cs="Arial"/>
      <w:b/>
      <w:bCs/>
      <w:kern w:val="0"/>
      <w:sz w:val="48"/>
      <w:szCs w:val="32"/>
    </w:rPr>
  </w:style>
  <w:style w:type="character" w:customStyle="1" w:styleId="10">
    <w:name w:val="正文文本缩进 2 Char"/>
    <w:basedOn w:val="9"/>
    <w:link w:val="3"/>
    <w:qFormat/>
    <w:uiPriority w:val="0"/>
    <w:rPr>
      <w:szCs w:val="24"/>
    </w:rPr>
  </w:style>
  <w:style w:type="character" w:customStyle="1" w:styleId="11">
    <w:name w:val="正文文本 Char"/>
    <w:basedOn w:val="9"/>
    <w:link w:val="2"/>
    <w:qFormat/>
    <w:uiPriority w:val="0"/>
    <w:rPr>
      <w:rFonts w:ascii="宋体" w:hAnsi="宋体" w:eastAsia="宋体"/>
      <w:sz w:val="32"/>
      <w:szCs w:val="24"/>
    </w:rPr>
  </w:style>
  <w:style w:type="character" w:customStyle="1" w:styleId="12">
    <w:name w:val="页脚 Char"/>
    <w:basedOn w:val="9"/>
    <w:link w:val="4"/>
    <w:qFormat/>
    <w:uiPriority w:val="0"/>
    <w:rPr>
      <w:sz w:val="18"/>
      <w:szCs w:val="24"/>
    </w:rPr>
  </w:style>
  <w:style w:type="paragraph" w:customStyle="1" w:styleId="13">
    <w:name w:val="p0"/>
    <w:basedOn w:val="1"/>
    <w:qFormat/>
    <w:uiPriority w:val="0"/>
    <w:pPr>
      <w:widowControl/>
    </w:pPr>
    <w:rPr>
      <w:kern w:val="0"/>
      <w:szCs w:val="21"/>
    </w:rPr>
  </w:style>
  <w:style w:type="paragraph" w:styleId="14">
    <w:name w:val="List Paragraph"/>
    <w:basedOn w:val="1"/>
    <w:unhideWhenUsed/>
    <w:qFormat/>
    <w:uiPriority w:val="99"/>
    <w:pPr>
      <w:ind w:firstLine="420" w:firstLineChars="200"/>
    </w:pPr>
  </w:style>
  <w:style w:type="character" w:customStyle="1" w:styleId="15">
    <w:name w:val="页眉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4571</Words>
  <Characters>4832</Characters>
  <Lines>40</Lines>
  <Paragraphs>11</Paragraphs>
  <TotalTime>28</TotalTime>
  <ScaleCrop>false</ScaleCrop>
  <LinksUpToDate>false</LinksUpToDate>
  <CharactersWithSpaces>4843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2022-09-15T03:51:00Z</dcterms:created>
  <dc:creator>User</dc:creator>
  <cp:lastModifiedBy>WPS_1660046246</cp:lastModifiedBy>
  <cp:lastPrinted>2023-10-20T02:16:00Z</cp:lastPrinted>
  <dcterms:modified xsi:type="dcterms:W3CDTF">2024-06-25T09:27:30Z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0AA487BB10D9427F9DE408F392CB2D91_13</vt:lpwstr>
  </property>
</Properties>
</file>