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578" w:lineRule="exact"/>
        <w:ind w:left="0" w:leftChars="0" w:right="104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578" w:lineRule="exact"/>
        <w:ind w:left="0" w:leftChars="0" w:right="104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 xml:space="preserve">       宁县早胜镇人民政府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578" w:lineRule="exact"/>
        <w:ind w:left="0" w:leftChars="0" w:right="104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 xml:space="preserve">       2022年部门整体支出绩效评价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74"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1、依法行政，主持镇政府全面工作，执行上级党委、政府和同级党委、人</w:t>
      </w:r>
      <w:r>
        <w:rPr>
          <w:rFonts w:hint="eastAsia" w:ascii="仿宋_GB2312" w:hAnsi="仿宋_GB2312" w:eastAsia="仿宋_GB2312" w:cs="仿宋_GB2312"/>
          <w:lang w:eastAsia="zh-CN"/>
        </w:rPr>
        <w:t>民</w:t>
      </w:r>
      <w:r>
        <w:rPr>
          <w:rFonts w:hint="eastAsia" w:ascii="仿宋_GB2312" w:hAnsi="仿宋_GB2312" w:eastAsia="仿宋_GB2312" w:cs="仿宋_GB2312"/>
        </w:rPr>
        <w:t>代表大会决定、决议，并报告政府工作。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3"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2、制定镇政府各项工作，发展总体规划和年度目标管理，并组织实施。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3、负责执行镇行政区域内的经济和社会发展计划，加强公共设施的建设和管理，发展各项服务事业。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3"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4、抓好全镇政治思想工作和廉政建设，保持政府机关廉洁高效，密切联系群众，在群众中树立良好形象。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3"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5、积极探索全镇经济建设新路子，采取切实可行的措施， </w:t>
      </w:r>
      <w:r>
        <w:rPr>
          <w:rFonts w:hint="eastAsia" w:ascii="仿宋_GB2312" w:hAnsi="仿宋_GB2312" w:eastAsia="仿宋_GB2312" w:cs="仿宋_GB2312"/>
          <w:spacing w:val="-11"/>
          <w:w w:val="95"/>
        </w:rPr>
        <w:t xml:space="preserve">强化各种机制，使全镇经济建设得到稳步发展，经济效益逐步提 </w:t>
      </w:r>
      <w:r>
        <w:rPr>
          <w:rFonts w:hint="eastAsia" w:ascii="仿宋_GB2312" w:hAnsi="仿宋_GB2312" w:eastAsia="仿宋_GB2312" w:cs="仿宋_GB2312"/>
          <w:spacing w:val="-11"/>
        </w:rPr>
        <w:t>高，经济目标得到实现，人民生活不断改善。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6、与镇党委、镇</w:t>
      </w:r>
      <w:r>
        <w:rPr>
          <w:rFonts w:hint="eastAsia" w:ascii="仿宋_GB2312" w:hAnsi="仿宋_GB2312" w:eastAsia="仿宋_GB2312" w:cs="仿宋_GB2312"/>
          <w:lang w:eastAsia="zh-CN"/>
        </w:rPr>
        <w:t>人民代表大会</w:t>
      </w:r>
      <w:r>
        <w:rPr>
          <w:rFonts w:hint="eastAsia" w:ascii="仿宋_GB2312" w:hAnsi="仿宋_GB2312" w:eastAsia="仿宋_GB2312" w:cs="仿宋_GB2312"/>
        </w:rPr>
        <w:t>密切配合，在镇党委的领导下，协调开展各项工作。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7、对上级政府交办的各项临时任务和本级政府各项中心工作，负责组织安排和实施。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二、机构及人员情况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县早胜镇人民政府为机关行政单位。下设党政综合办公室、党建工作办公室、经济发展和社会事务办公室（加挂卫生健康办公室牌子）、社会治理和应急管理办公室、生态环境办公室。镇政府直属事业单位服务中心5个，分别为农业农村综合服务中心（加挂农产品质量检测服务中心、农村公路管理所牌子）、公共事务服务中心（加挂退役军人服务站、综合文化站牌子）、政务（便民）服务中心、社会治安综合治理中心、综合行政执法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2022年末早胜镇人民政府实有编制72个，其中：行政编制25个，机关工勤编制2个，事业编制43个，临时工2个。实有在职人员96名，其中：机关行政19人，机关工勤1人，临时工2人，事业人员74人。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8" w:lineRule="exact"/>
        <w:ind w:left="747"/>
        <w:jc w:val="both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三</w:t>
      </w:r>
      <w:r>
        <w:rPr>
          <w:rFonts w:hint="eastAsia" w:ascii="黑体" w:eastAsia="黑体"/>
        </w:rPr>
        <w:t>、部门整体支出绩效情况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149" w:line="578" w:lineRule="exact"/>
        <w:ind w:right="114" w:firstLine="638"/>
        <w:jc w:val="both"/>
        <w:textAlignment w:val="auto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</w:rPr>
        <w:t xml:space="preserve">我单位重视单位内部管理制度建设及监督，加强财务管理， </w:t>
      </w:r>
      <w:r>
        <w:rPr>
          <w:rFonts w:hint="eastAsia" w:ascii="仿宋_GB2312" w:hAnsi="仿宋_GB2312" w:eastAsia="仿宋_GB2312" w:cs="仿宋_GB2312"/>
          <w:spacing w:val="-11"/>
        </w:rPr>
        <w:t>强化财务监督，增强法纪观念，遵守规章制度，为保证财务管理</w:t>
      </w:r>
      <w:r>
        <w:rPr>
          <w:rFonts w:hint="eastAsia" w:ascii="仿宋_GB2312" w:hAnsi="仿宋_GB2312" w:eastAsia="仿宋_GB2312" w:cs="仿宋_GB2312"/>
          <w:spacing w:val="-16"/>
        </w:rPr>
        <w:t>工作规范有序进行，对各项资金的管理、经费收支审批等均做了</w:t>
      </w:r>
      <w:r>
        <w:rPr>
          <w:rFonts w:hint="eastAsia" w:ascii="仿宋_GB2312" w:hAnsi="仿宋_GB2312" w:eastAsia="仿宋_GB2312" w:cs="仿宋_GB2312"/>
          <w:spacing w:val="-20"/>
        </w:rPr>
        <w:t>明确规定，正确组织资金筹集。调度和使用，债权债务及时结算、</w:t>
      </w:r>
      <w:r>
        <w:rPr>
          <w:rFonts w:hint="eastAsia" w:ascii="仿宋_GB2312" w:hAnsi="仿宋_GB2312" w:eastAsia="仿宋_GB2312" w:cs="仿宋_GB2312"/>
          <w:spacing w:val="-10"/>
        </w:rPr>
        <w:t>结清。各项经费支出实行限额把关、审核审批程序，加强对公务</w:t>
      </w:r>
      <w:r>
        <w:rPr>
          <w:rFonts w:hint="eastAsia" w:ascii="仿宋_GB2312" w:hAnsi="仿宋_GB2312" w:eastAsia="仿宋_GB2312" w:cs="仿宋_GB2312"/>
          <w:spacing w:val="-13"/>
        </w:rPr>
        <w:t>用车的管理，“三公”经费严格控制在预算范围内。加强事前事</w:t>
      </w:r>
      <w:r>
        <w:rPr>
          <w:rFonts w:hint="eastAsia" w:ascii="仿宋_GB2312" w:hAnsi="仿宋_GB2312" w:eastAsia="仿宋_GB2312" w:cs="仿宋_GB2312"/>
          <w:spacing w:val="-14"/>
        </w:rPr>
        <w:t>中事后监督，严格资产管理制度，年底对财产物资进行清查、盘</w:t>
      </w:r>
      <w:r>
        <w:rPr>
          <w:rFonts w:hint="eastAsia" w:ascii="仿宋_GB2312" w:hAnsi="仿宋_GB2312" w:eastAsia="仿宋_GB2312" w:cs="仿宋_GB2312"/>
          <w:spacing w:val="-12"/>
        </w:rPr>
        <w:t>点、核对、处理。对取得的资产物资及时进行会计核算。通过加</w:t>
      </w:r>
      <w:r>
        <w:rPr>
          <w:rFonts w:hint="eastAsia" w:ascii="仿宋_GB2312" w:hAnsi="仿宋_GB2312" w:eastAsia="仿宋_GB2312" w:cs="仿宋_GB2312"/>
          <w:spacing w:val="-15"/>
        </w:rPr>
        <w:t>强预算收支管理，不断建立健全内部管理制度，梳理内部管理流</w:t>
      </w:r>
      <w:r>
        <w:rPr>
          <w:rFonts w:hint="eastAsia" w:ascii="仿宋_GB2312" w:hAnsi="仿宋_GB2312" w:eastAsia="仿宋_GB2312" w:cs="仿宋_GB2312"/>
          <w:spacing w:val="-11"/>
          <w:w w:val="95"/>
        </w:rPr>
        <w:t xml:space="preserve">程，部门整体支出管理水平得到提升，保证了财务管理工作规范 </w:t>
      </w:r>
      <w:r>
        <w:rPr>
          <w:rFonts w:hint="eastAsia" w:ascii="仿宋_GB2312" w:hAnsi="仿宋_GB2312" w:eastAsia="仿宋_GB2312" w:cs="仿宋_GB2312"/>
          <w:spacing w:val="-11"/>
        </w:rPr>
        <w:t>有序进行。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（一）整体支出绩效目标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8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1937.12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5.43万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元,占77.71%；项目支出431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.70万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元,占22.29%。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</w:t>
      </w:r>
      <w:r>
        <w:rPr>
          <w:rFonts w:hint="default" w:ascii="仿宋_GB2312" w:hAnsi="仿宋_GB2312" w:eastAsia="仿宋_GB2312" w:cs="仿宋_GB2312"/>
          <w:sz w:val="32"/>
          <w:szCs w:val="32"/>
        </w:rPr>
        <w:t>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1937.12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</w:rPr>
        <w:t>（其中基本支出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5.43万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</w:rPr>
        <w:t>，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431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.70万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</w:rPr>
        <w:t>），其中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1052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.48万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</w:rPr>
        <w:t>，社会保障和就业支出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.34万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.00万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.35万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.61万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654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.35万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元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（二）预算绩效管理开展情况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预算执行有效。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我单位本年度预算完成数与预算数的比率小于100%；无结转结余；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年度全镇立项实施的项目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个，涉及资金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万元，其中重点项目0万元，一般项目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对项目支出的组织领导、项目实施过程的监督管理都建立和落实了相应的管理机制；本年度“三公经费”实际支出数与预算安排数的比率小于100%。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预算管理规范。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为加强预算管理、规范财务行为而制定的管理制度健全完整；严格按照政府信息公开有关规定公开相关预决算信息；使用预算资金符合相关的预算财务管理制度的规定。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预算参照规定。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2022年度重点工作，制定2022年度绩效管理工作的总体目标和政策，明确2022年度绩效管理的工作重心和方向，确定相应的绩效管理策略和目标;根据2022年度预算执行情况适时跟进、反馈和调整跟进工作项目，适当调整和优化，确保年度绩效管理工作计划顺利完成；根据2022年度绩效管理工作的总体目标、方向、管理策略、工作重点以及组织方式等，开展具体的绩效管理体系规划，包括绩效管理制度、考核办法、考核方案、考核流程及相关表单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（三）预算及执行情况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2022年我单位根据宁县财政局要求，严格按照预算编制方法和口径，在认真核实各项数据的基础上科学、规范编制部门预算。2022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在职人员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94人。预算收入889.81万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889.81万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四、单位整体支出绩效中存在问题及改进措施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（一）主要问题及原因分析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一是财政工作按部就班，在精度和深度上有所欠缺，尤其在采购、固定资产管理方面还有待进一步加强；二是评价结果的应用还不到位；三是绩效评价的方法比较单一。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（二）改进的方向和具体措施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针对以上问题，我单位将根据自身实际，进一步创新工作方面，完善绩效评价制度，推进绩效评价工作规范化、制度化。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五、绩效自评结果拟应用和公开情况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2022年单位预算编制基础数据真实可靠，按照年度工作计划和支出标准合理编制预算方案，预算数据按要求及时报送，并依据预算信息公开要求，按时按期在宁县人民政府网站公开。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六、其他需要说明的问题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无其他说明。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ordWrap w:val="0"/>
        <w:spacing w:line="578" w:lineRule="exact"/>
        <w:ind w:firstLine="3840" w:firstLineChars="1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早胜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年10月1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5" w:type="default"/>
      <w:pgSz w:w="11910" w:h="16840"/>
      <w:pgMar w:top="2098" w:right="1531" w:bottom="1984" w:left="1531" w:header="0" w:footer="13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9711690</wp:posOffset>
              </wp:positionV>
              <wp:extent cx="359410" cy="22352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7.8pt;margin-top:764.7pt;height:17.6pt;width:28.3pt;mso-position-horizontal-relative:page;mso-position-vertical-relative:page;z-index:-251657216;mso-width-relative:page;mso-height-relative:page;" filled="f" stroked="f" coordsize="21600,21600" o:gfxdata="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Gs1ztsAAAANAQAADwAAAAAAAAABACAAAAAiAAAAZHJzL2Rvd25yZXYueG1s&#10;UEsBAhQAFAAAAAgAh07iQHzZ1/O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TY0ZTVkYWYxMTkyYTU5NGQxMWU0YmRiMjM0M2EifQ=="/>
  </w:docVars>
  <w:rsids>
    <w:rsidRoot w:val="00000000"/>
    <w:rsid w:val="045F2899"/>
    <w:rsid w:val="090E25BE"/>
    <w:rsid w:val="09BF1E8A"/>
    <w:rsid w:val="09FD7308"/>
    <w:rsid w:val="0E451EA1"/>
    <w:rsid w:val="0EF755B1"/>
    <w:rsid w:val="23F70985"/>
    <w:rsid w:val="272B53A7"/>
    <w:rsid w:val="2CAE7C0A"/>
    <w:rsid w:val="324B2B75"/>
    <w:rsid w:val="35115D6F"/>
    <w:rsid w:val="37891574"/>
    <w:rsid w:val="3B4B5C09"/>
    <w:rsid w:val="47FE503F"/>
    <w:rsid w:val="488A26CF"/>
    <w:rsid w:val="60A47D33"/>
    <w:rsid w:val="651354CA"/>
    <w:rsid w:val="730A6B1A"/>
    <w:rsid w:val="7801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747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  <w:style w:type="paragraph" w:styleId="4">
    <w:name w:val="Body Text"/>
    <w:basedOn w:val="1"/>
    <w:qFormat/>
    <w:uiPriority w:val="1"/>
    <w:pPr>
      <w:ind w:left="108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before="29"/>
      <w:ind w:left="882" w:right="1047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lang w:val="en-US" w:eastAsia="zh-CN" w:bidi="ar-SA"/>
    </w:rPr>
  </w:style>
  <w:style w:type="paragraph" w:customStyle="1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afterLines="0"/>
    </w:pPr>
    <w:rPr>
      <w:rFonts w:ascii="Arial" w:hAnsi="Arial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2165</Characters>
  <TotalTime>1</TotalTime>
  <ScaleCrop>false</ScaleCrop>
  <LinksUpToDate>false</LinksUpToDate>
  <CharactersWithSpaces>2176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2020-08-19T05:11:00Z</dcterms:created>
  <dc:creator>Administrator</dc:creator>
  <cp:lastModifiedBy>Administrator</cp:lastModifiedBy>
  <cp:lastPrinted>2023-10-23T07:50:00Z</cp:lastPrinted>
  <dcterms:modified xsi:type="dcterms:W3CDTF">2023-10-24T03:51:12Z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3AFB1A8741EE4FE19AE529CBC7543577</vt:lpwstr>
  </property>
</Properties>
</file>